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0AAE" w14:textId="4839776D" w:rsidR="00884C4C" w:rsidRDefault="00B773E5" w:rsidP="00165678">
      <w:pPr>
        <w:pStyle w:val="BodyText"/>
        <w:spacing w:before="1440" w:after="220" w:line="288" w:lineRule="auto"/>
        <w:jc w:val="center"/>
        <w:rPr>
          <w:rFonts w:ascii="Garamond" w:hAnsi="Garamond"/>
          <w:sz w:val="56"/>
          <w:szCs w:val="56"/>
          <w:lang w:val="en-AU"/>
        </w:rPr>
      </w:pPr>
      <w:bookmarkStart w:id="0" w:name="_Toc481844687"/>
      <w:bookmarkStart w:id="1" w:name="_Toc481845033"/>
      <w:bookmarkStart w:id="2" w:name="_GoBack"/>
      <w:bookmarkEnd w:id="2"/>
      <w:r w:rsidRPr="002F0E6F">
        <w:rPr>
          <w:b w:val="0"/>
          <w:noProof/>
          <w:lang w:val="en-AU" w:eastAsia="en-GB"/>
        </w:rPr>
        <w:drawing>
          <wp:inline distT="0" distB="0" distL="0" distR="0" wp14:anchorId="13B60F75" wp14:editId="4A7BB56C">
            <wp:extent cx="4876800" cy="812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812800"/>
                    </a:xfrm>
                    <a:prstGeom prst="rect">
                      <a:avLst/>
                    </a:prstGeom>
                    <a:noFill/>
                  </pic:spPr>
                </pic:pic>
              </a:graphicData>
            </a:graphic>
          </wp:inline>
        </w:drawing>
      </w:r>
      <w:bookmarkEnd w:id="0"/>
      <w:bookmarkEnd w:id="1"/>
    </w:p>
    <w:p w14:paraId="5FA77CCB" w14:textId="77777777" w:rsidR="00FA41D5" w:rsidRPr="002F0E6F" w:rsidRDefault="00FA41D5" w:rsidP="000B69AE">
      <w:pPr>
        <w:pStyle w:val="BodyText"/>
        <w:spacing w:before="840" w:after="220" w:line="288" w:lineRule="auto"/>
        <w:jc w:val="center"/>
        <w:rPr>
          <w:rFonts w:ascii="Garamond" w:hAnsi="Garamond"/>
          <w:sz w:val="56"/>
          <w:szCs w:val="56"/>
          <w:lang w:val="en-AU"/>
        </w:rPr>
      </w:pPr>
    </w:p>
    <w:p w14:paraId="115C8C62" w14:textId="43A9CD20" w:rsidR="00165678" w:rsidRPr="002F0E6F" w:rsidRDefault="00285825" w:rsidP="00165678">
      <w:pPr>
        <w:pStyle w:val="BodyText"/>
        <w:spacing w:before="1440" w:after="220" w:line="288" w:lineRule="auto"/>
        <w:jc w:val="center"/>
        <w:rPr>
          <w:rFonts w:ascii="Times New Roman" w:hAnsi="Times New Roman" w:cs="Times New Roman"/>
          <w:sz w:val="72"/>
          <w:szCs w:val="72"/>
          <w:lang w:val="en-AU"/>
        </w:rPr>
      </w:pPr>
      <w:r w:rsidRPr="002F0E6F">
        <w:rPr>
          <w:rFonts w:ascii="Times New Roman" w:hAnsi="Times New Roman" w:cs="Times New Roman"/>
          <w:sz w:val="72"/>
          <w:szCs w:val="72"/>
          <w:lang w:val="en-AU"/>
        </w:rPr>
        <w:t xml:space="preserve">Should Tasmania Introduce </w:t>
      </w:r>
      <w:r w:rsidRPr="002F0E6F">
        <w:rPr>
          <w:rFonts w:ascii="Times New Roman" w:hAnsi="Times New Roman" w:cs="Times New Roman"/>
          <w:sz w:val="72"/>
          <w:szCs w:val="72"/>
          <w:lang w:val="en-AU"/>
        </w:rPr>
        <w:br/>
        <w:t>‘Notional Estate’ Laws?</w:t>
      </w:r>
    </w:p>
    <w:p w14:paraId="26824573" w14:textId="77777777" w:rsidR="00165678" w:rsidRPr="002F0E6F" w:rsidRDefault="00165678" w:rsidP="00165678"/>
    <w:p w14:paraId="6EAF08F1" w14:textId="77777777" w:rsidR="00165678" w:rsidRPr="002F0E6F" w:rsidRDefault="00165678" w:rsidP="00165678"/>
    <w:p w14:paraId="4BF70048" w14:textId="77777777" w:rsidR="00165678" w:rsidRPr="002F0E6F" w:rsidRDefault="00165678" w:rsidP="00165678"/>
    <w:p w14:paraId="5DD2B860" w14:textId="77777777" w:rsidR="00165678" w:rsidRPr="002F0E6F" w:rsidRDefault="00165678" w:rsidP="00165678">
      <w:pPr>
        <w:pStyle w:val="BackgroundHeadingTLRI"/>
        <w:spacing w:before="220" w:line="288" w:lineRule="auto"/>
        <w:ind w:left="0"/>
        <w:jc w:val="both"/>
        <w:rPr>
          <w:rFonts w:ascii="Garamond" w:hAnsi="Garamond"/>
        </w:rPr>
      </w:pPr>
    </w:p>
    <w:p w14:paraId="77F81C21" w14:textId="77777777" w:rsidR="00165678" w:rsidRPr="002F0E6F" w:rsidRDefault="00165678" w:rsidP="00165678"/>
    <w:p w14:paraId="045C155A" w14:textId="623DFA90" w:rsidR="00165678" w:rsidRPr="002F0E6F" w:rsidRDefault="00165678" w:rsidP="00165678"/>
    <w:p w14:paraId="7B0C8C85" w14:textId="659A7998" w:rsidR="00165678" w:rsidRPr="002F0E6F" w:rsidRDefault="00285825" w:rsidP="002F2D8C">
      <w:pPr>
        <w:spacing w:before="960" w:after="360" w:line="288" w:lineRule="auto"/>
        <w:jc w:val="center"/>
        <w:outlineLvl w:val="0"/>
        <w:rPr>
          <w:rFonts w:ascii="Times New Roman" w:hAnsi="Times New Roman" w:cs="Times New Roman"/>
          <w:smallCaps/>
          <w:color w:val="000000"/>
          <w:sz w:val="32"/>
          <w:szCs w:val="32"/>
        </w:rPr>
      </w:pPr>
      <w:r w:rsidRPr="002F0E6F">
        <w:rPr>
          <w:rFonts w:ascii="Times New Roman" w:hAnsi="Times New Roman" w:cs="Times New Roman"/>
          <w:smallCaps/>
          <w:color w:val="000000"/>
          <w:sz w:val="32"/>
          <w:szCs w:val="32"/>
        </w:rPr>
        <w:t>Issues Paper</w:t>
      </w:r>
      <w:r w:rsidR="00165678" w:rsidRPr="002F0E6F">
        <w:rPr>
          <w:rFonts w:ascii="Times New Roman" w:hAnsi="Times New Roman" w:cs="Times New Roman"/>
          <w:smallCaps/>
          <w:color w:val="000000"/>
          <w:sz w:val="32"/>
          <w:szCs w:val="32"/>
        </w:rPr>
        <w:t xml:space="preserve"> No</w:t>
      </w:r>
      <w:r w:rsidR="00F44CF0">
        <w:rPr>
          <w:rFonts w:ascii="Times New Roman" w:hAnsi="Times New Roman" w:cs="Times New Roman"/>
          <w:smallCaps/>
          <w:color w:val="000000"/>
          <w:sz w:val="32"/>
          <w:szCs w:val="32"/>
        </w:rPr>
        <w:t>.</w:t>
      </w:r>
      <w:r w:rsidR="00165678" w:rsidRPr="002F0E6F">
        <w:rPr>
          <w:rFonts w:ascii="Times New Roman" w:hAnsi="Times New Roman" w:cs="Times New Roman"/>
          <w:smallCaps/>
          <w:color w:val="000000"/>
          <w:sz w:val="32"/>
          <w:szCs w:val="32"/>
        </w:rPr>
        <w:t xml:space="preserve"> </w:t>
      </w:r>
      <w:r w:rsidR="00A06036" w:rsidRPr="002F0E6F">
        <w:rPr>
          <w:rFonts w:ascii="Times New Roman" w:hAnsi="Times New Roman" w:cs="Times New Roman"/>
          <w:smallCaps/>
          <w:color w:val="000000"/>
          <w:sz w:val="32"/>
          <w:szCs w:val="32"/>
        </w:rPr>
        <w:t>28</w:t>
      </w:r>
    </w:p>
    <w:p w14:paraId="2B77B671" w14:textId="14FEF207" w:rsidR="00165678" w:rsidRPr="002F0E6F" w:rsidRDefault="00A06036" w:rsidP="00165678">
      <w:pPr>
        <w:spacing w:before="220" w:after="220" w:line="288" w:lineRule="auto"/>
        <w:jc w:val="center"/>
        <w:outlineLvl w:val="0"/>
        <w:rPr>
          <w:rFonts w:ascii="Times New Roman" w:hAnsi="Times New Roman" w:cs="Times New Roman"/>
          <w:smallCaps/>
          <w:color w:val="000000"/>
          <w:sz w:val="32"/>
          <w:szCs w:val="32"/>
        </w:rPr>
      </w:pPr>
      <w:r w:rsidRPr="002F0E6F">
        <w:rPr>
          <w:rFonts w:ascii="Times New Roman" w:hAnsi="Times New Roman" w:cs="Times New Roman"/>
          <w:smallCaps/>
          <w:color w:val="000000"/>
          <w:sz w:val="32"/>
          <w:szCs w:val="32"/>
        </w:rPr>
        <w:t>March</w:t>
      </w:r>
      <w:r w:rsidR="00285825" w:rsidRPr="002F0E6F">
        <w:rPr>
          <w:rFonts w:ascii="Times New Roman" w:hAnsi="Times New Roman" w:cs="Times New Roman"/>
          <w:smallCaps/>
          <w:color w:val="000000"/>
          <w:sz w:val="32"/>
          <w:szCs w:val="32"/>
        </w:rPr>
        <w:t xml:space="preserve"> 2019</w:t>
      </w:r>
    </w:p>
    <w:p w14:paraId="2A9EC4B9" w14:textId="77777777" w:rsidR="00165678" w:rsidRPr="002F0E6F" w:rsidRDefault="00165678" w:rsidP="00165678"/>
    <w:p w14:paraId="27EDC579" w14:textId="77777777" w:rsidR="00165678" w:rsidRPr="002F0E6F" w:rsidRDefault="00165678" w:rsidP="00165678">
      <w:pPr>
        <w:sectPr w:rsidR="00165678" w:rsidRPr="002F0E6F" w:rsidSect="000F2AEC">
          <w:footerReference w:type="even" r:id="rId9"/>
          <w:footerReference w:type="default" r:id="rId10"/>
          <w:footerReference w:type="first" r:id="rId11"/>
          <w:pgSz w:w="11906" w:h="16838" w:code="9"/>
          <w:pgMar w:top="1440" w:right="1440" w:bottom="1440" w:left="1440" w:header="709" w:footer="709" w:gutter="0"/>
          <w:pgNumType w:fmt="lowerRoman" w:start="1"/>
          <w:cols w:space="708"/>
          <w:titlePg/>
          <w:docGrid w:linePitch="360"/>
        </w:sectPr>
      </w:pPr>
    </w:p>
    <w:p w14:paraId="08D2E6E8" w14:textId="77777777" w:rsidR="000F2AEC" w:rsidRDefault="000F2AEC" w:rsidP="00887711">
      <w:pPr>
        <w:spacing w:after="480"/>
        <w:rPr>
          <w:rFonts w:ascii="Times New Roman" w:eastAsia="Times New Roman" w:hAnsi="Times New Roman" w:cs="Times New Roman"/>
          <w:b/>
          <w:smallCaps/>
          <w:color w:val="000000"/>
          <w:sz w:val="32"/>
          <w:szCs w:val="32"/>
        </w:rPr>
        <w:sectPr w:rsidR="000F2AEC" w:rsidSect="000F2AEC">
          <w:headerReference w:type="even" r:id="rId12"/>
          <w:headerReference w:type="default" r:id="rId13"/>
          <w:headerReference w:type="first" r:id="rId14"/>
          <w:footerReference w:type="first" r:id="rId15"/>
          <w:pgSz w:w="11906" w:h="16838" w:code="9"/>
          <w:pgMar w:top="1440" w:right="1440" w:bottom="1440" w:left="1440" w:header="709" w:footer="709" w:gutter="0"/>
          <w:pgNumType w:fmt="lowerRoman"/>
          <w:cols w:space="708"/>
          <w:titlePg/>
          <w:docGrid w:linePitch="360"/>
        </w:sectPr>
      </w:pPr>
      <w:bookmarkStart w:id="3" w:name="_Toc509914011"/>
    </w:p>
    <w:p w14:paraId="67BD8BBF" w14:textId="6158055F" w:rsidR="00165678" w:rsidRPr="002F0E6F" w:rsidRDefault="00165678" w:rsidP="00887711">
      <w:pPr>
        <w:spacing w:after="480"/>
        <w:rPr>
          <w:rFonts w:ascii="Times New Roman" w:eastAsia="Times New Roman" w:hAnsi="Times New Roman" w:cs="Times New Roman"/>
          <w:b/>
          <w:smallCaps/>
          <w:color w:val="000000"/>
          <w:sz w:val="32"/>
          <w:szCs w:val="32"/>
        </w:rPr>
      </w:pPr>
      <w:r w:rsidRPr="002F0E6F">
        <w:rPr>
          <w:rFonts w:ascii="Times New Roman" w:eastAsia="Times New Roman" w:hAnsi="Times New Roman" w:cs="Times New Roman"/>
          <w:b/>
          <w:smallCaps/>
          <w:color w:val="000000"/>
          <w:sz w:val="32"/>
          <w:szCs w:val="32"/>
        </w:rPr>
        <w:lastRenderedPageBreak/>
        <w:t>Contents</w:t>
      </w:r>
      <w:bookmarkEnd w:id="3"/>
    </w:p>
    <w:p w14:paraId="6AEB8543" w14:textId="63206F5F" w:rsidR="0092284C" w:rsidRPr="00E5595C" w:rsidRDefault="00165678"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noProof w:val="0"/>
          <w:sz w:val="23"/>
          <w:szCs w:val="23"/>
        </w:rPr>
        <w:fldChar w:fldCharType="begin"/>
      </w:r>
      <w:r w:rsidRPr="00E5595C">
        <w:rPr>
          <w:rFonts w:ascii="Times New Roman" w:hAnsi="Times New Roman" w:cs="Times New Roman"/>
          <w:b w:val="0"/>
          <w:noProof w:val="0"/>
          <w:sz w:val="23"/>
          <w:szCs w:val="23"/>
        </w:rPr>
        <w:instrText xml:space="preserve"> TOC \f \t "Numbered Heading TLRI,2,Part No TLRI,1,Part Heading TLRI,1,Numberless Section Heading,1" </w:instrText>
      </w:r>
      <w:r w:rsidRPr="00E5595C">
        <w:rPr>
          <w:rFonts w:ascii="Times New Roman" w:hAnsi="Times New Roman" w:cs="Times New Roman"/>
          <w:b w:val="0"/>
          <w:noProof w:val="0"/>
          <w:sz w:val="23"/>
          <w:szCs w:val="23"/>
        </w:rPr>
        <w:fldChar w:fldCharType="separate"/>
      </w:r>
      <w:r w:rsidR="0092284C" w:rsidRPr="00E5595C">
        <w:rPr>
          <w:rFonts w:ascii="Times New Roman" w:hAnsi="Times New Roman" w:cs="Times New Roman"/>
          <w:b w:val="0"/>
          <w:sz w:val="23"/>
          <w:szCs w:val="23"/>
        </w:rPr>
        <w:t>Information about the Tasmania Law Reform Institute</w:t>
      </w:r>
      <w:r w:rsidR="0092284C" w:rsidRPr="00E5595C">
        <w:rPr>
          <w:rFonts w:ascii="Times New Roman" w:hAnsi="Times New Roman" w:cs="Times New Roman"/>
          <w:b w:val="0"/>
          <w:sz w:val="23"/>
          <w:szCs w:val="23"/>
        </w:rPr>
        <w:tab/>
      </w:r>
      <w:r w:rsidR="0092284C" w:rsidRPr="00E5595C">
        <w:rPr>
          <w:rFonts w:ascii="Times New Roman" w:hAnsi="Times New Roman" w:cs="Times New Roman"/>
          <w:b w:val="0"/>
          <w:sz w:val="23"/>
          <w:szCs w:val="23"/>
        </w:rPr>
        <w:fldChar w:fldCharType="begin"/>
      </w:r>
      <w:r w:rsidR="0092284C" w:rsidRPr="00E5595C">
        <w:rPr>
          <w:rFonts w:ascii="Times New Roman" w:hAnsi="Times New Roman" w:cs="Times New Roman"/>
          <w:b w:val="0"/>
          <w:sz w:val="23"/>
          <w:szCs w:val="23"/>
        </w:rPr>
        <w:instrText xml:space="preserve"> PAGEREF _Toc2256838 \h </w:instrText>
      </w:r>
      <w:r w:rsidR="0092284C" w:rsidRPr="00E5595C">
        <w:rPr>
          <w:rFonts w:ascii="Times New Roman" w:hAnsi="Times New Roman" w:cs="Times New Roman"/>
          <w:b w:val="0"/>
          <w:sz w:val="23"/>
          <w:szCs w:val="23"/>
        </w:rPr>
      </w:r>
      <w:r w:rsidR="0092284C"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iv</w:t>
      </w:r>
      <w:r w:rsidR="0092284C" w:rsidRPr="00E5595C">
        <w:rPr>
          <w:rFonts w:ascii="Times New Roman" w:hAnsi="Times New Roman" w:cs="Times New Roman"/>
          <w:b w:val="0"/>
          <w:sz w:val="23"/>
          <w:szCs w:val="23"/>
        </w:rPr>
        <w:fldChar w:fldCharType="end"/>
      </w:r>
    </w:p>
    <w:p w14:paraId="68643EFE" w14:textId="11F863DA"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sz w:val="23"/>
          <w:szCs w:val="23"/>
        </w:rPr>
        <w:t xml:space="preserve">How to </w:t>
      </w:r>
      <w:r w:rsidR="00B30E5C">
        <w:rPr>
          <w:rFonts w:ascii="Times New Roman" w:hAnsi="Times New Roman" w:cs="Times New Roman"/>
          <w:b w:val="0"/>
          <w:sz w:val="23"/>
          <w:szCs w:val="23"/>
        </w:rPr>
        <w:t>R</w:t>
      </w:r>
      <w:r w:rsidRPr="00E5595C">
        <w:rPr>
          <w:rFonts w:ascii="Times New Roman" w:hAnsi="Times New Roman" w:cs="Times New Roman"/>
          <w:b w:val="0"/>
          <w:sz w:val="23"/>
          <w:szCs w:val="23"/>
        </w:rPr>
        <w:t>espond</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_Toc2256839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iv</w:t>
      </w:r>
      <w:r w:rsidRPr="00E5595C">
        <w:rPr>
          <w:rFonts w:ascii="Times New Roman" w:hAnsi="Times New Roman" w:cs="Times New Roman"/>
          <w:b w:val="0"/>
          <w:sz w:val="23"/>
          <w:szCs w:val="23"/>
        </w:rPr>
        <w:fldChar w:fldCharType="end"/>
      </w:r>
    </w:p>
    <w:p w14:paraId="49253369" w14:textId="1147F26F"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sz w:val="23"/>
          <w:szCs w:val="23"/>
        </w:rPr>
        <w:t>Terms of Reference</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_Toc2256841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vi</w:t>
      </w:r>
      <w:r w:rsidRPr="00E5595C">
        <w:rPr>
          <w:rFonts w:ascii="Times New Roman" w:hAnsi="Times New Roman" w:cs="Times New Roman"/>
          <w:b w:val="0"/>
          <w:sz w:val="23"/>
          <w:szCs w:val="23"/>
        </w:rPr>
        <w:fldChar w:fldCharType="end"/>
      </w:r>
    </w:p>
    <w:p w14:paraId="333213D8" w14:textId="0EE89E02"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sz w:val="23"/>
          <w:szCs w:val="23"/>
        </w:rPr>
        <w:t>Acknowledgments</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_Toc2256842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vi</w:t>
      </w:r>
      <w:r w:rsidRPr="00E5595C">
        <w:rPr>
          <w:rFonts w:ascii="Times New Roman" w:hAnsi="Times New Roman" w:cs="Times New Roman"/>
          <w:b w:val="0"/>
          <w:sz w:val="23"/>
          <w:szCs w:val="23"/>
        </w:rPr>
        <w:fldChar w:fldCharType="end"/>
      </w:r>
    </w:p>
    <w:p w14:paraId="23301100" w14:textId="317AAA98"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sz w:val="23"/>
          <w:szCs w:val="23"/>
        </w:rPr>
        <w:t>Glossary and Abbreviations</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_Toc2256843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vii</w:t>
      </w:r>
      <w:r w:rsidRPr="00E5595C">
        <w:rPr>
          <w:rFonts w:ascii="Times New Roman" w:hAnsi="Times New Roman" w:cs="Times New Roman"/>
          <w:b w:val="0"/>
          <w:sz w:val="23"/>
          <w:szCs w:val="23"/>
        </w:rPr>
        <w:fldChar w:fldCharType="end"/>
      </w:r>
    </w:p>
    <w:p w14:paraId="0608E413" w14:textId="7B3E8BA7"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sz w:val="23"/>
          <w:szCs w:val="23"/>
        </w:rPr>
        <w:t>Executive Summary</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_Toc2256844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viii</w:t>
      </w:r>
      <w:r w:rsidRPr="00E5595C">
        <w:rPr>
          <w:rFonts w:ascii="Times New Roman" w:hAnsi="Times New Roman" w:cs="Times New Roman"/>
          <w:b w:val="0"/>
          <w:sz w:val="23"/>
          <w:szCs w:val="23"/>
        </w:rPr>
        <w:fldChar w:fldCharType="end"/>
      </w:r>
    </w:p>
    <w:p w14:paraId="1E2273C9" w14:textId="444E9A4E" w:rsidR="0092284C" w:rsidRPr="00E5595C" w:rsidRDefault="0092284C" w:rsidP="00B30E5C">
      <w:pPr>
        <w:pStyle w:val="TOC1"/>
        <w:spacing w:before="60" w:after="60"/>
        <w:rPr>
          <w:rFonts w:ascii="Times New Roman" w:hAnsi="Times New Roman" w:cs="Times New Roman"/>
          <w:b w:val="0"/>
          <w:sz w:val="23"/>
          <w:szCs w:val="23"/>
        </w:rPr>
      </w:pPr>
      <w:r w:rsidRPr="00E5595C">
        <w:rPr>
          <w:rFonts w:ascii="Times New Roman" w:hAnsi="Times New Roman" w:cs="Times New Roman"/>
          <w:b w:val="0"/>
          <w:w w:val="105"/>
          <w:sz w:val="23"/>
          <w:szCs w:val="23"/>
        </w:rPr>
        <w:t>List of Questions</w:t>
      </w:r>
      <w:r w:rsidRPr="00E5595C">
        <w:rPr>
          <w:rFonts w:ascii="Times New Roman" w:hAnsi="Times New Roman" w:cs="Times New Roman"/>
          <w:b w:val="0"/>
          <w:sz w:val="23"/>
          <w:szCs w:val="23"/>
        </w:rPr>
        <w:tab/>
      </w:r>
      <w:r w:rsidRPr="00E5595C">
        <w:rPr>
          <w:rFonts w:ascii="Times New Roman" w:hAnsi="Times New Roman" w:cs="Times New Roman"/>
          <w:b w:val="0"/>
          <w:sz w:val="23"/>
          <w:szCs w:val="23"/>
        </w:rPr>
        <w:fldChar w:fldCharType="begin"/>
      </w:r>
      <w:r w:rsidRPr="00E5595C">
        <w:rPr>
          <w:rFonts w:ascii="Times New Roman" w:hAnsi="Times New Roman" w:cs="Times New Roman"/>
          <w:b w:val="0"/>
          <w:sz w:val="23"/>
          <w:szCs w:val="23"/>
        </w:rPr>
        <w:instrText xml:space="preserve"> PAGEREF _Toc2256845 \h </w:instrText>
      </w:r>
      <w:r w:rsidRPr="00E5595C">
        <w:rPr>
          <w:rFonts w:ascii="Times New Roman" w:hAnsi="Times New Roman" w:cs="Times New Roman"/>
          <w:b w:val="0"/>
          <w:sz w:val="23"/>
          <w:szCs w:val="23"/>
        </w:rPr>
      </w:r>
      <w:r w:rsidRPr="00E5595C">
        <w:rPr>
          <w:rFonts w:ascii="Times New Roman" w:hAnsi="Times New Roman" w:cs="Times New Roman"/>
          <w:b w:val="0"/>
          <w:sz w:val="23"/>
          <w:szCs w:val="23"/>
        </w:rPr>
        <w:fldChar w:fldCharType="separate"/>
      </w:r>
      <w:r w:rsidR="00E72A81">
        <w:rPr>
          <w:rFonts w:ascii="Times New Roman" w:hAnsi="Times New Roman" w:cs="Times New Roman"/>
          <w:b w:val="0"/>
          <w:sz w:val="23"/>
          <w:szCs w:val="23"/>
        </w:rPr>
        <w:t>xi</w:t>
      </w:r>
      <w:r w:rsidRPr="00E5595C">
        <w:rPr>
          <w:rFonts w:ascii="Times New Roman" w:hAnsi="Times New Roman" w:cs="Times New Roman"/>
          <w:b w:val="0"/>
          <w:sz w:val="23"/>
          <w:szCs w:val="23"/>
        </w:rPr>
        <w:fldChar w:fldCharType="end"/>
      </w:r>
    </w:p>
    <w:p w14:paraId="3E95F7B7" w14:textId="27A3335B" w:rsidR="0092284C" w:rsidRPr="00B30E5C" w:rsidRDefault="0092284C" w:rsidP="00B30E5C">
      <w:pPr>
        <w:pStyle w:val="TOC1"/>
        <w:spacing w:after="60"/>
        <w:rPr>
          <w:rFonts w:ascii="Times New Roman" w:hAnsi="Times New Roman" w:cs="Times New Roman"/>
          <w:sz w:val="23"/>
          <w:szCs w:val="23"/>
        </w:rPr>
      </w:pPr>
      <w:r w:rsidRPr="00B30E5C">
        <w:rPr>
          <w:rFonts w:ascii="Times New Roman" w:hAnsi="Times New Roman" w:cs="Times New Roman"/>
          <w:sz w:val="23"/>
          <w:szCs w:val="23"/>
        </w:rPr>
        <w:t>Part 1</w:t>
      </w:r>
      <w:r w:rsidR="00B30E5C" w:rsidRPr="00B30E5C">
        <w:rPr>
          <w:rFonts w:ascii="Times New Roman" w:hAnsi="Times New Roman" w:cs="Times New Roman"/>
          <w:sz w:val="23"/>
          <w:szCs w:val="23"/>
        </w:rPr>
        <w:t xml:space="preserve">: </w:t>
      </w:r>
      <w:r w:rsidRPr="00B30E5C">
        <w:rPr>
          <w:rFonts w:ascii="Times New Roman" w:hAnsi="Times New Roman" w:cs="Times New Roman"/>
          <w:sz w:val="23"/>
          <w:szCs w:val="23"/>
        </w:rPr>
        <w:t>Introduction</w:t>
      </w:r>
      <w:r w:rsidRPr="00B30E5C">
        <w:rPr>
          <w:rFonts w:ascii="Times New Roman" w:hAnsi="Times New Roman" w:cs="Times New Roman"/>
          <w:sz w:val="23"/>
          <w:szCs w:val="23"/>
        </w:rPr>
        <w:tab/>
      </w:r>
      <w:r w:rsidRPr="00B30E5C">
        <w:rPr>
          <w:rFonts w:ascii="Times New Roman" w:hAnsi="Times New Roman" w:cs="Times New Roman"/>
          <w:sz w:val="23"/>
          <w:szCs w:val="23"/>
        </w:rPr>
        <w:fldChar w:fldCharType="begin"/>
      </w:r>
      <w:r w:rsidRPr="00B30E5C">
        <w:rPr>
          <w:rFonts w:ascii="Times New Roman" w:hAnsi="Times New Roman" w:cs="Times New Roman"/>
          <w:sz w:val="23"/>
          <w:szCs w:val="23"/>
        </w:rPr>
        <w:instrText xml:space="preserve"> PAGEREF _Toc2256847 \h </w:instrText>
      </w:r>
      <w:r w:rsidRPr="00B30E5C">
        <w:rPr>
          <w:rFonts w:ascii="Times New Roman" w:hAnsi="Times New Roman" w:cs="Times New Roman"/>
          <w:sz w:val="23"/>
          <w:szCs w:val="23"/>
        </w:rPr>
      </w:r>
      <w:r w:rsidRPr="00B30E5C">
        <w:rPr>
          <w:rFonts w:ascii="Times New Roman" w:hAnsi="Times New Roman" w:cs="Times New Roman"/>
          <w:sz w:val="23"/>
          <w:szCs w:val="23"/>
        </w:rPr>
        <w:fldChar w:fldCharType="separate"/>
      </w:r>
      <w:r w:rsidR="00E72A81">
        <w:rPr>
          <w:rFonts w:ascii="Times New Roman" w:hAnsi="Times New Roman" w:cs="Times New Roman"/>
          <w:sz w:val="23"/>
          <w:szCs w:val="23"/>
        </w:rPr>
        <w:t>1</w:t>
      </w:r>
      <w:r w:rsidRPr="00B30E5C">
        <w:rPr>
          <w:rFonts w:ascii="Times New Roman" w:hAnsi="Times New Roman" w:cs="Times New Roman"/>
          <w:sz w:val="23"/>
          <w:szCs w:val="23"/>
        </w:rPr>
        <w:fldChar w:fldCharType="end"/>
      </w:r>
    </w:p>
    <w:p w14:paraId="1A4D0A04" w14:textId="09CCCE11" w:rsidR="0092284C" w:rsidRPr="00E559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1.1</w:t>
      </w:r>
      <w:r w:rsidRPr="00E5595C">
        <w:rPr>
          <w:rFonts w:ascii="Times New Roman" w:hAnsi="Times New Roman" w:cs="Times New Roman"/>
          <w:b w:val="0"/>
          <w:noProof/>
          <w:sz w:val="23"/>
          <w:szCs w:val="23"/>
        </w:rPr>
        <w:tab/>
        <w:t>The issue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_Toc2256848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w:t>
      </w:r>
      <w:r w:rsidRPr="00E5595C">
        <w:rPr>
          <w:rFonts w:ascii="Times New Roman" w:hAnsi="Times New Roman" w:cs="Times New Roman"/>
          <w:b w:val="0"/>
          <w:noProof/>
          <w:sz w:val="23"/>
          <w:szCs w:val="23"/>
        </w:rPr>
        <w:fldChar w:fldCharType="end"/>
      </w:r>
    </w:p>
    <w:p w14:paraId="1885E976" w14:textId="4DB37965" w:rsidR="0092284C" w:rsidRPr="00E559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1.2</w:t>
      </w:r>
      <w:r w:rsidRPr="00E5595C">
        <w:rPr>
          <w:rFonts w:ascii="Times New Roman" w:hAnsi="Times New Roman" w:cs="Times New Roman"/>
          <w:b w:val="0"/>
          <w:noProof/>
          <w:sz w:val="23"/>
          <w:szCs w:val="23"/>
        </w:rPr>
        <w:tab/>
        <w:t>Background to this Reference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_Toc2256849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w:t>
      </w:r>
      <w:r w:rsidRPr="00E5595C">
        <w:rPr>
          <w:rFonts w:ascii="Times New Roman" w:hAnsi="Times New Roman" w:cs="Times New Roman"/>
          <w:b w:val="0"/>
          <w:noProof/>
          <w:sz w:val="23"/>
          <w:szCs w:val="23"/>
        </w:rPr>
        <w:fldChar w:fldCharType="end"/>
      </w:r>
    </w:p>
    <w:p w14:paraId="645A1B92" w14:textId="679081F1" w:rsidR="0092284C" w:rsidRPr="00E559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1.3</w:t>
      </w:r>
      <w:r w:rsidRPr="00E5595C">
        <w:rPr>
          <w:rFonts w:ascii="Times New Roman" w:hAnsi="Times New Roman" w:cs="Times New Roman"/>
          <w:b w:val="0"/>
          <w:noProof/>
          <w:sz w:val="23"/>
          <w:szCs w:val="23"/>
        </w:rPr>
        <w:tab/>
        <w:t>Report structure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_Toc2256850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w:t>
      </w:r>
      <w:r w:rsidRPr="00E5595C">
        <w:rPr>
          <w:rFonts w:ascii="Times New Roman" w:hAnsi="Times New Roman" w:cs="Times New Roman"/>
          <w:b w:val="0"/>
          <w:noProof/>
          <w:sz w:val="23"/>
          <w:szCs w:val="23"/>
        </w:rPr>
        <w:fldChar w:fldCharType="end"/>
      </w:r>
    </w:p>
    <w:p w14:paraId="6FE0A9B8" w14:textId="04C81260" w:rsidR="0092284C" w:rsidRPr="00E559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1.4</w:t>
      </w:r>
      <w:r w:rsidRPr="00E5595C">
        <w:rPr>
          <w:rFonts w:ascii="Times New Roman" w:hAnsi="Times New Roman" w:cs="Times New Roman"/>
          <w:b w:val="0"/>
          <w:noProof/>
          <w:sz w:val="23"/>
          <w:szCs w:val="23"/>
        </w:rPr>
        <w:tab/>
        <w:t>Family provision laws</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_Toc2256851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w:t>
      </w:r>
      <w:r w:rsidRPr="00E5595C">
        <w:rPr>
          <w:rFonts w:ascii="Times New Roman" w:hAnsi="Times New Roman" w:cs="Times New Roman"/>
          <w:b w:val="0"/>
          <w:noProof/>
          <w:sz w:val="23"/>
          <w:szCs w:val="23"/>
        </w:rPr>
        <w:fldChar w:fldCharType="end"/>
      </w:r>
    </w:p>
    <w:p w14:paraId="18DBF773" w14:textId="5E5EA550" w:rsidR="0092284C" w:rsidRPr="00E559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1.5</w:t>
      </w:r>
      <w:r w:rsidRPr="00E5595C">
        <w:rPr>
          <w:rFonts w:ascii="Times New Roman" w:hAnsi="Times New Roman" w:cs="Times New Roman"/>
          <w:b w:val="0"/>
          <w:noProof/>
          <w:sz w:val="23"/>
          <w:szCs w:val="23"/>
        </w:rPr>
        <w:tab/>
        <w:t xml:space="preserve">The </w:t>
      </w:r>
      <w:r w:rsidRPr="00E5595C">
        <w:rPr>
          <w:rFonts w:ascii="Times New Roman" w:hAnsi="Times New Roman" w:cs="Times New Roman"/>
          <w:b w:val="0"/>
          <w:i/>
          <w:iCs/>
          <w:noProof/>
          <w:sz w:val="23"/>
          <w:szCs w:val="23"/>
        </w:rPr>
        <w:t>Testator’s Family Maintenance Act 1912</w:t>
      </w:r>
      <w:r w:rsidRPr="00E5595C">
        <w:rPr>
          <w:rFonts w:ascii="Times New Roman" w:hAnsi="Times New Roman" w:cs="Times New Roman"/>
          <w:b w:val="0"/>
          <w:noProof/>
          <w:sz w:val="23"/>
          <w:szCs w:val="23"/>
        </w:rPr>
        <w:t xml:space="preserve"> (Tas)</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_Toc2256852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4</w:t>
      </w:r>
      <w:r w:rsidRPr="00E5595C">
        <w:rPr>
          <w:rFonts w:ascii="Times New Roman" w:hAnsi="Times New Roman" w:cs="Times New Roman"/>
          <w:b w:val="0"/>
          <w:noProof/>
          <w:sz w:val="23"/>
          <w:szCs w:val="23"/>
        </w:rPr>
        <w:fldChar w:fldCharType="end"/>
      </w:r>
    </w:p>
    <w:p w14:paraId="1B6EBB0B" w14:textId="38CB9B8D" w:rsidR="0092284C" w:rsidRPr="00B30E5C" w:rsidRDefault="0092284C" w:rsidP="00B30E5C">
      <w:pPr>
        <w:pStyle w:val="TOC1"/>
        <w:spacing w:after="60"/>
        <w:rPr>
          <w:rFonts w:ascii="Times New Roman" w:hAnsi="Times New Roman" w:cs="Times New Roman"/>
          <w:sz w:val="23"/>
          <w:szCs w:val="23"/>
        </w:rPr>
      </w:pPr>
      <w:r w:rsidRPr="00B30E5C">
        <w:rPr>
          <w:rFonts w:ascii="Times New Roman" w:hAnsi="Times New Roman" w:cs="Times New Roman"/>
          <w:sz w:val="23"/>
          <w:szCs w:val="23"/>
        </w:rPr>
        <w:t>Part 2</w:t>
      </w:r>
      <w:r w:rsidR="00B30E5C" w:rsidRPr="00B30E5C">
        <w:rPr>
          <w:rFonts w:ascii="Times New Roman" w:hAnsi="Times New Roman" w:cs="Times New Roman"/>
          <w:sz w:val="23"/>
          <w:szCs w:val="23"/>
        </w:rPr>
        <w:t xml:space="preserve">: </w:t>
      </w:r>
      <w:r w:rsidRPr="00B30E5C">
        <w:rPr>
          <w:rFonts w:ascii="Times New Roman" w:hAnsi="Times New Roman" w:cs="Times New Roman"/>
          <w:sz w:val="23"/>
          <w:szCs w:val="23"/>
        </w:rPr>
        <w:t>Potential Issues with the Law</w:t>
      </w:r>
      <w:r w:rsidRPr="00B30E5C">
        <w:rPr>
          <w:rFonts w:ascii="Times New Roman" w:hAnsi="Times New Roman" w:cs="Times New Roman"/>
          <w:sz w:val="23"/>
          <w:szCs w:val="23"/>
        </w:rPr>
        <w:tab/>
      </w:r>
      <w:r w:rsidRPr="00B30E5C">
        <w:rPr>
          <w:rFonts w:ascii="Times New Roman" w:hAnsi="Times New Roman" w:cs="Times New Roman"/>
          <w:sz w:val="23"/>
          <w:szCs w:val="23"/>
        </w:rPr>
        <w:fldChar w:fldCharType="begin"/>
      </w:r>
      <w:r w:rsidRPr="00B30E5C">
        <w:rPr>
          <w:rFonts w:ascii="Times New Roman" w:hAnsi="Times New Roman" w:cs="Times New Roman"/>
          <w:sz w:val="23"/>
          <w:szCs w:val="23"/>
        </w:rPr>
        <w:instrText xml:space="preserve"> PAGEREF _Toc2256854 \h </w:instrText>
      </w:r>
      <w:r w:rsidRPr="00B30E5C">
        <w:rPr>
          <w:rFonts w:ascii="Times New Roman" w:hAnsi="Times New Roman" w:cs="Times New Roman"/>
          <w:sz w:val="23"/>
          <w:szCs w:val="23"/>
        </w:rPr>
      </w:r>
      <w:r w:rsidRPr="00B30E5C">
        <w:rPr>
          <w:rFonts w:ascii="Times New Roman" w:hAnsi="Times New Roman" w:cs="Times New Roman"/>
          <w:sz w:val="23"/>
          <w:szCs w:val="23"/>
        </w:rPr>
        <w:fldChar w:fldCharType="separate"/>
      </w:r>
      <w:r w:rsidR="00E72A81">
        <w:rPr>
          <w:rFonts w:ascii="Times New Roman" w:hAnsi="Times New Roman" w:cs="Times New Roman"/>
          <w:sz w:val="23"/>
          <w:szCs w:val="23"/>
        </w:rPr>
        <w:t>8</w:t>
      </w:r>
      <w:r w:rsidRPr="00B30E5C">
        <w:rPr>
          <w:rFonts w:ascii="Times New Roman" w:hAnsi="Times New Roman" w:cs="Times New Roman"/>
          <w:sz w:val="23"/>
          <w:szCs w:val="23"/>
        </w:rPr>
        <w:fldChar w:fldCharType="end"/>
      </w:r>
    </w:p>
    <w:p w14:paraId="020A5C1B" w14:textId="112B8B85"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2.1</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Introduction</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_Toc2256855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8</w:t>
      </w:r>
      <w:r w:rsidRPr="00E5595C">
        <w:rPr>
          <w:rFonts w:ascii="Times New Roman" w:hAnsi="Times New Roman" w:cs="Times New Roman"/>
          <w:b w:val="0"/>
          <w:noProof/>
          <w:sz w:val="23"/>
          <w:szCs w:val="23"/>
        </w:rPr>
        <w:fldChar w:fldCharType="end"/>
      </w:r>
    </w:p>
    <w:p w14:paraId="627C39BE" w14:textId="25F9C38E"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2.2</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Property available to satisfy a claim</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_Toc2256856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8</w:t>
      </w:r>
      <w:r w:rsidRPr="00E5595C">
        <w:rPr>
          <w:rFonts w:ascii="Times New Roman" w:hAnsi="Times New Roman" w:cs="Times New Roman"/>
          <w:b w:val="0"/>
          <w:noProof/>
          <w:sz w:val="23"/>
          <w:szCs w:val="23"/>
        </w:rPr>
        <w:fldChar w:fldCharType="end"/>
      </w:r>
    </w:p>
    <w:p w14:paraId="52C0283C" w14:textId="37A0201E"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2.3</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Property unavailable to satisfy a claim</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_Toc2256857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10</w:t>
      </w:r>
      <w:r w:rsidRPr="00E5595C">
        <w:rPr>
          <w:rFonts w:ascii="Times New Roman" w:hAnsi="Times New Roman" w:cs="Times New Roman"/>
          <w:b w:val="0"/>
          <w:noProof/>
          <w:sz w:val="23"/>
          <w:szCs w:val="23"/>
        </w:rPr>
        <w:fldChar w:fldCharType="end"/>
      </w:r>
    </w:p>
    <w:p w14:paraId="30D45A18" w14:textId="4971AA3A"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2.4</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Summary</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_Toc2256858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14</w:t>
      </w:r>
      <w:r w:rsidRPr="00E5595C">
        <w:rPr>
          <w:rFonts w:ascii="Times New Roman" w:hAnsi="Times New Roman" w:cs="Times New Roman"/>
          <w:b w:val="0"/>
          <w:noProof/>
          <w:sz w:val="23"/>
          <w:szCs w:val="23"/>
        </w:rPr>
        <w:fldChar w:fldCharType="end"/>
      </w:r>
    </w:p>
    <w:p w14:paraId="5D910B75" w14:textId="0EF49BAF"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2.5</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Effect of an estate having been distributed</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_Toc2256859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14</w:t>
      </w:r>
      <w:r w:rsidRPr="00E5595C">
        <w:rPr>
          <w:rFonts w:ascii="Times New Roman" w:hAnsi="Times New Roman" w:cs="Times New Roman"/>
          <w:b w:val="0"/>
          <w:noProof/>
          <w:sz w:val="23"/>
          <w:szCs w:val="23"/>
        </w:rPr>
        <w:fldChar w:fldCharType="end"/>
      </w:r>
    </w:p>
    <w:p w14:paraId="385442C8" w14:textId="379B9EE1" w:rsidR="0092284C" w:rsidRPr="00B30E5C" w:rsidRDefault="0092284C" w:rsidP="00B30E5C">
      <w:pPr>
        <w:pStyle w:val="TOC1"/>
        <w:spacing w:after="60"/>
        <w:rPr>
          <w:rFonts w:ascii="Times New Roman" w:hAnsi="Times New Roman" w:cs="Times New Roman"/>
          <w:sz w:val="23"/>
          <w:szCs w:val="23"/>
        </w:rPr>
      </w:pPr>
      <w:r w:rsidRPr="00B30E5C">
        <w:rPr>
          <w:rFonts w:ascii="Times New Roman" w:hAnsi="Times New Roman" w:cs="Times New Roman"/>
          <w:sz w:val="23"/>
          <w:szCs w:val="23"/>
        </w:rPr>
        <w:t>Part 3</w:t>
      </w:r>
      <w:r w:rsidR="00B30E5C" w:rsidRPr="00B30E5C">
        <w:rPr>
          <w:rFonts w:ascii="Times New Roman" w:hAnsi="Times New Roman" w:cs="Times New Roman"/>
          <w:sz w:val="23"/>
          <w:szCs w:val="23"/>
        </w:rPr>
        <w:t xml:space="preserve">: </w:t>
      </w:r>
      <w:r w:rsidRPr="00B30E5C">
        <w:rPr>
          <w:rFonts w:ascii="Times New Roman" w:hAnsi="Times New Roman" w:cs="Times New Roman"/>
          <w:sz w:val="23"/>
          <w:szCs w:val="23"/>
        </w:rPr>
        <w:t>Development of the Idea of the ‘Notional Estate’</w:t>
      </w:r>
      <w:r w:rsidRPr="00B30E5C">
        <w:rPr>
          <w:rFonts w:ascii="Times New Roman" w:hAnsi="Times New Roman" w:cs="Times New Roman"/>
          <w:sz w:val="23"/>
          <w:szCs w:val="23"/>
        </w:rPr>
        <w:tab/>
      </w:r>
      <w:r w:rsidRPr="00B30E5C">
        <w:rPr>
          <w:rFonts w:ascii="Times New Roman" w:hAnsi="Times New Roman" w:cs="Times New Roman"/>
          <w:sz w:val="23"/>
          <w:szCs w:val="23"/>
        </w:rPr>
        <w:fldChar w:fldCharType="begin"/>
      </w:r>
      <w:r w:rsidRPr="00B30E5C">
        <w:rPr>
          <w:rFonts w:ascii="Times New Roman" w:hAnsi="Times New Roman" w:cs="Times New Roman"/>
          <w:sz w:val="23"/>
          <w:szCs w:val="23"/>
        </w:rPr>
        <w:instrText xml:space="preserve"> PAGEREF _Toc2256861 \h </w:instrText>
      </w:r>
      <w:r w:rsidRPr="00B30E5C">
        <w:rPr>
          <w:rFonts w:ascii="Times New Roman" w:hAnsi="Times New Roman" w:cs="Times New Roman"/>
          <w:sz w:val="23"/>
          <w:szCs w:val="23"/>
        </w:rPr>
      </w:r>
      <w:r w:rsidRPr="00B30E5C">
        <w:rPr>
          <w:rFonts w:ascii="Times New Roman" w:hAnsi="Times New Roman" w:cs="Times New Roman"/>
          <w:sz w:val="23"/>
          <w:szCs w:val="23"/>
        </w:rPr>
        <w:fldChar w:fldCharType="separate"/>
      </w:r>
      <w:r w:rsidR="00E72A81">
        <w:rPr>
          <w:rFonts w:ascii="Times New Roman" w:hAnsi="Times New Roman" w:cs="Times New Roman"/>
          <w:sz w:val="23"/>
          <w:szCs w:val="23"/>
        </w:rPr>
        <w:t>16</w:t>
      </w:r>
      <w:r w:rsidRPr="00B30E5C">
        <w:rPr>
          <w:rFonts w:ascii="Times New Roman" w:hAnsi="Times New Roman" w:cs="Times New Roman"/>
          <w:sz w:val="23"/>
          <w:szCs w:val="23"/>
        </w:rPr>
        <w:fldChar w:fldCharType="end"/>
      </w:r>
    </w:p>
    <w:p w14:paraId="1392B678" w14:textId="53857925"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3.1</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Introduction</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_Toc2256862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16</w:t>
      </w:r>
      <w:r w:rsidRPr="00E5595C">
        <w:rPr>
          <w:rFonts w:ascii="Times New Roman" w:hAnsi="Times New Roman" w:cs="Times New Roman"/>
          <w:b w:val="0"/>
          <w:noProof/>
          <w:sz w:val="23"/>
          <w:szCs w:val="23"/>
        </w:rPr>
        <w:fldChar w:fldCharType="end"/>
      </w:r>
    </w:p>
    <w:p w14:paraId="7E6EDBD4" w14:textId="1066D386"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3.2</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What is meant by a ‘notional estate’?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_Toc2256863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16</w:t>
      </w:r>
      <w:r w:rsidRPr="00E5595C">
        <w:rPr>
          <w:rFonts w:ascii="Times New Roman" w:hAnsi="Times New Roman" w:cs="Times New Roman"/>
          <w:b w:val="0"/>
          <w:noProof/>
          <w:sz w:val="23"/>
          <w:szCs w:val="23"/>
        </w:rPr>
        <w:fldChar w:fldCharType="end"/>
      </w:r>
    </w:p>
    <w:p w14:paraId="7DF443BB" w14:textId="098A7617"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3.3</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 xml:space="preserve">Historical </w:t>
      </w:r>
      <w:r w:rsidR="007E7A55">
        <w:rPr>
          <w:rFonts w:ascii="Times New Roman" w:hAnsi="Times New Roman" w:cs="Times New Roman"/>
          <w:b w:val="0"/>
          <w:noProof/>
          <w:sz w:val="23"/>
          <w:szCs w:val="23"/>
        </w:rPr>
        <w:t>b</w:t>
      </w:r>
      <w:r w:rsidRPr="00E5595C">
        <w:rPr>
          <w:rFonts w:ascii="Times New Roman" w:hAnsi="Times New Roman" w:cs="Times New Roman"/>
          <w:b w:val="0"/>
          <w:noProof/>
          <w:sz w:val="23"/>
          <w:szCs w:val="23"/>
        </w:rPr>
        <w:t>ackdrop</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_Toc2256864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17</w:t>
      </w:r>
      <w:r w:rsidRPr="00E5595C">
        <w:rPr>
          <w:rFonts w:ascii="Times New Roman" w:hAnsi="Times New Roman" w:cs="Times New Roman"/>
          <w:b w:val="0"/>
          <w:noProof/>
          <w:sz w:val="23"/>
          <w:szCs w:val="23"/>
        </w:rPr>
        <w:fldChar w:fldCharType="end"/>
      </w:r>
    </w:p>
    <w:p w14:paraId="461FE4D8" w14:textId="1479E9C8" w:rsidR="0092284C" w:rsidRPr="00B30E5C" w:rsidRDefault="0092284C" w:rsidP="00B30E5C">
      <w:pPr>
        <w:pStyle w:val="TOC1"/>
        <w:spacing w:after="60"/>
        <w:rPr>
          <w:rFonts w:ascii="Times New Roman" w:hAnsi="Times New Roman" w:cs="Times New Roman"/>
          <w:sz w:val="23"/>
          <w:szCs w:val="23"/>
        </w:rPr>
      </w:pPr>
      <w:r w:rsidRPr="00B30E5C">
        <w:rPr>
          <w:rFonts w:ascii="Times New Roman" w:hAnsi="Times New Roman" w:cs="Times New Roman"/>
          <w:sz w:val="23"/>
          <w:szCs w:val="23"/>
        </w:rPr>
        <w:t>Part 4</w:t>
      </w:r>
      <w:r w:rsidR="00B30E5C" w:rsidRPr="00B30E5C">
        <w:rPr>
          <w:rFonts w:ascii="Times New Roman" w:hAnsi="Times New Roman" w:cs="Times New Roman"/>
          <w:sz w:val="23"/>
          <w:szCs w:val="23"/>
        </w:rPr>
        <w:t xml:space="preserve">: </w:t>
      </w:r>
      <w:r w:rsidRPr="00B30E5C">
        <w:rPr>
          <w:rFonts w:ascii="Times New Roman" w:hAnsi="Times New Roman" w:cs="Times New Roman"/>
          <w:sz w:val="23"/>
          <w:szCs w:val="23"/>
        </w:rPr>
        <w:t>New South Wales Notional Estate Provisions</w:t>
      </w:r>
      <w:r w:rsidRPr="00B30E5C">
        <w:rPr>
          <w:rFonts w:ascii="Times New Roman" w:hAnsi="Times New Roman" w:cs="Times New Roman"/>
          <w:sz w:val="23"/>
          <w:szCs w:val="23"/>
        </w:rPr>
        <w:tab/>
      </w:r>
      <w:r w:rsidRPr="00B30E5C">
        <w:rPr>
          <w:rFonts w:ascii="Times New Roman" w:hAnsi="Times New Roman" w:cs="Times New Roman"/>
          <w:sz w:val="23"/>
          <w:szCs w:val="23"/>
        </w:rPr>
        <w:fldChar w:fldCharType="begin"/>
      </w:r>
      <w:r w:rsidRPr="00B30E5C">
        <w:rPr>
          <w:rFonts w:ascii="Times New Roman" w:hAnsi="Times New Roman" w:cs="Times New Roman"/>
          <w:sz w:val="23"/>
          <w:szCs w:val="23"/>
        </w:rPr>
        <w:instrText xml:space="preserve"> PAGEREF _Toc2256866 \h </w:instrText>
      </w:r>
      <w:r w:rsidRPr="00B30E5C">
        <w:rPr>
          <w:rFonts w:ascii="Times New Roman" w:hAnsi="Times New Roman" w:cs="Times New Roman"/>
          <w:sz w:val="23"/>
          <w:szCs w:val="23"/>
        </w:rPr>
      </w:r>
      <w:r w:rsidRPr="00B30E5C">
        <w:rPr>
          <w:rFonts w:ascii="Times New Roman" w:hAnsi="Times New Roman" w:cs="Times New Roman"/>
          <w:sz w:val="23"/>
          <w:szCs w:val="23"/>
        </w:rPr>
        <w:fldChar w:fldCharType="separate"/>
      </w:r>
      <w:r w:rsidR="00E72A81">
        <w:rPr>
          <w:rFonts w:ascii="Times New Roman" w:hAnsi="Times New Roman" w:cs="Times New Roman"/>
          <w:sz w:val="23"/>
          <w:szCs w:val="23"/>
        </w:rPr>
        <w:t>22</w:t>
      </w:r>
      <w:r w:rsidRPr="00B30E5C">
        <w:rPr>
          <w:rFonts w:ascii="Times New Roman" w:hAnsi="Times New Roman" w:cs="Times New Roman"/>
          <w:sz w:val="23"/>
          <w:szCs w:val="23"/>
        </w:rPr>
        <w:fldChar w:fldCharType="end"/>
      </w:r>
    </w:p>
    <w:p w14:paraId="509AFDD9" w14:textId="3B0B14B2"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B30E5C">
        <w:rPr>
          <w:rFonts w:ascii="Times New Roman" w:hAnsi="Times New Roman" w:cs="Times New Roman"/>
          <w:b w:val="0"/>
          <w:noProof/>
          <w:sz w:val="23"/>
          <w:szCs w:val="23"/>
        </w:rPr>
        <w:t>4.1</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Introduction</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_Toc2256867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22</w:t>
      </w:r>
      <w:r w:rsidRPr="00E5595C">
        <w:rPr>
          <w:rFonts w:ascii="Times New Roman" w:hAnsi="Times New Roman" w:cs="Times New Roman"/>
          <w:b w:val="0"/>
          <w:noProof/>
          <w:sz w:val="23"/>
          <w:szCs w:val="23"/>
        </w:rPr>
        <w:fldChar w:fldCharType="end"/>
      </w:r>
    </w:p>
    <w:p w14:paraId="65093D54" w14:textId="4C2704EA"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4.2</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Property that may be deemed ‘notional estate’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_Toc2256868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22</w:t>
      </w:r>
      <w:r w:rsidRPr="00E5595C">
        <w:rPr>
          <w:rFonts w:ascii="Times New Roman" w:hAnsi="Times New Roman" w:cs="Times New Roman"/>
          <w:b w:val="0"/>
          <w:noProof/>
          <w:sz w:val="23"/>
          <w:szCs w:val="23"/>
        </w:rPr>
        <w:fldChar w:fldCharType="end"/>
      </w:r>
    </w:p>
    <w:p w14:paraId="2E82B501" w14:textId="2CCABDCC"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4.3</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When notional estate orders may be made</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_Toc2256869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24</w:t>
      </w:r>
      <w:r w:rsidRPr="00E5595C">
        <w:rPr>
          <w:rFonts w:ascii="Times New Roman" w:hAnsi="Times New Roman" w:cs="Times New Roman"/>
          <w:b w:val="0"/>
          <w:noProof/>
          <w:sz w:val="23"/>
          <w:szCs w:val="23"/>
        </w:rPr>
        <w:fldChar w:fldCharType="end"/>
      </w:r>
    </w:p>
    <w:p w14:paraId="6766BA02" w14:textId="47EC7BD0"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4.4</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Restrictions on power</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_Toc2256870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26</w:t>
      </w:r>
      <w:r w:rsidRPr="00E5595C">
        <w:rPr>
          <w:rFonts w:ascii="Times New Roman" w:hAnsi="Times New Roman" w:cs="Times New Roman"/>
          <w:b w:val="0"/>
          <w:noProof/>
          <w:sz w:val="23"/>
          <w:szCs w:val="23"/>
        </w:rPr>
        <w:fldChar w:fldCharType="end"/>
      </w:r>
    </w:p>
    <w:p w14:paraId="6AFAC5FA" w14:textId="54C44293"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4.5</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Effect of notional estate order</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_Toc2256871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27</w:t>
      </w:r>
      <w:r w:rsidRPr="00E5595C">
        <w:rPr>
          <w:rFonts w:ascii="Times New Roman" w:hAnsi="Times New Roman" w:cs="Times New Roman"/>
          <w:b w:val="0"/>
          <w:noProof/>
          <w:sz w:val="23"/>
          <w:szCs w:val="23"/>
        </w:rPr>
        <w:fldChar w:fldCharType="end"/>
      </w:r>
    </w:p>
    <w:p w14:paraId="3189ED33" w14:textId="57BCCB61"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4.6</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Case examples</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_Toc2256872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27</w:t>
      </w:r>
      <w:r w:rsidRPr="00E5595C">
        <w:rPr>
          <w:rFonts w:ascii="Times New Roman" w:hAnsi="Times New Roman" w:cs="Times New Roman"/>
          <w:b w:val="0"/>
          <w:noProof/>
          <w:sz w:val="23"/>
          <w:szCs w:val="23"/>
        </w:rPr>
        <w:fldChar w:fldCharType="end"/>
      </w:r>
    </w:p>
    <w:p w14:paraId="0726129A" w14:textId="420B05B1" w:rsidR="0092284C" w:rsidRPr="00B30E5C" w:rsidRDefault="0092284C" w:rsidP="00B30E5C">
      <w:pPr>
        <w:pStyle w:val="TOC1"/>
        <w:spacing w:after="60"/>
        <w:rPr>
          <w:rFonts w:ascii="Times New Roman" w:hAnsi="Times New Roman" w:cs="Times New Roman"/>
          <w:sz w:val="23"/>
          <w:szCs w:val="23"/>
        </w:rPr>
      </w:pPr>
      <w:r w:rsidRPr="00B30E5C">
        <w:rPr>
          <w:rFonts w:ascii="Times New Roman" w:hAnsi="Times New Roman" w:cs="Times New Roman"/>
          <w:sz w:val="23"/>
          <w:szCs w:val="23"/>
        </w:rPr>
        <w:t>Part 5</w:t>
      </w:r>
      <w:r w:rsidR="00B30E5C" w:rsidRPr="00B30E5C">
        <w:rPr>
          <w:rFonts w:ascii="Times New Roman" w:hAnsi="Times New Roman" w:cs="Times New Roman"/>
          <w:sz w:val="23"/>
          <w:szCs w:val="23"/>
        </w:rPr>
        <w:t xml:space="preserve">: </w:t>
      </w:r>
      <w:r w:rsidRPr="00B30E5C">
        <w:rPr>
          <w:rFonts w:ascii="Times New Roman" w:hAnsi="Times New Roman" w:cs="Times New Roman"/>
          <w:sz w:val="23"/>
          <w:szCs w:val="23"/>
        </w:rPr>
        <w:t>Options for Reform</w:t>
      </w:r>
      <w:r w:rsidRPr="00B30E5C">
        <w:rPr>
          <w:rFonts w:ascii="Times New Roman" w:hAnsi="Times New Roman" w:cs="Times New Roman"/>
          <w:sz w:val="23"/>
          <w:szCs w:val="23"/>
        </w:rPr>
        <w:tab/>
      </w:r>
      <w:r w:rsidRPr="00B30E5C">
        <w:rPr>
          <w:rFonts w:ascii="Times New Roman" w:hAnsi="Times New Roman" w:cs="Times New Roman"/>
          <w:sz w:val="23"/>
          <w:szCs w:val="23"/>
        </w:rPr>
        <w:fldChar w:fldCharType="begin"/>
      </w:r>
      <w:r w:rsidRPr="00B30E5C">
        <w:rPr>
          <w:rFonts w:ascii="Times New Roman" w:hAnsi="Times New Roman" w:cs="Times New Roman"/>
          <w:sz w:val="23"/>
          <w:szCs w:val="23"/>
        </w:rPr>
        <w:instrText xml:space="preserve"> PAGEREF _Toc2256874 \h </w:instrText>
      </w:r>
      <w:r w:rsidRPr="00B30E5C">
        <w:rPr>
          <w:rFonts w:ascii="Times New Roman" w:hAnsi="Times New Roman" w:cs="Times New Roman"/>
          <w:sz w:val="23"/>
          <w:szCs w:val="23"/>
        </w:rPr>
      </w:r>
      <w:r w:rsidRPr="00B30E5C">
        <w:rPr>
          <w:rFonts w:ascii="Times New Roman" w:hAnsi="Times New Roman" w:cs="Times New Roman"/>
          <w:sz w:val="23"/>
          <w:szCs w:val="23"/>
        </w:rPr>
        <w:fldChar w:fldCharType="separate"/>
      </w:r>
      <w:r w:rsidR="00E72A81">
        <w:rPr>
          <w:rFonts w:ascii="Times New Roman" w:hAnsi="Times New Roman" w:cs="Times New Roman"/>
          <w:sz w:val="23"/>
          <w:szCs w:val="23"/>
        </w:rPr>
        <w:t>30</w:t>
      </w:r>
      <w:r w:rsidRPr="00B30E5C">
        <w:rPr>
          <w:rFonts w:ascii="Times New Roman" w:hAnsi="Times New Roman" w:cs="Times New Roman"/>
          <w:sz w:val="23"/>
          <w:szCs w:val="23"/>
        </w:rPr>
        <w:fldChar w:fldCharType="end"/>
      </w:r>
    </w:p>
    <w:p w14:paraId="5AA45504" w14:textId="0942CBDB"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5.1</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Introduction</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_Toc2256875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30</w:t>
      </w:r>
      <w:r w:rsidRPr="00E5595C">
        <w:rPr>
          <w:rFonts w:ascii="Times New Roman" w:hAnsi="Times New Roman" w:cs="Times New Roman"/>
          <w:b w:val="0"/>
          <w:noProof/>
          <w:sz w:val="23"/>
          <w:szCs w:val="23"/>
        </w:rPr>
        <w:fldChar w:fldCharType="end"/>
      </w:r>
    </w:p>
    <w:p w14:paraId="6D5E67B2" w14:textId="4691BFD9"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5.2</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Is there a problem?</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_Toc2256876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30</w:t>
      </w:r>
      <w:r w:rsidRPr="00E5595C">
        <w:rPr>
          <w:rFonts w:ascii="Times New Roman" w:hAnsi="Times New Roman" w:cs="Times New Roman"/>
          <w:b w:val="0"/>
          <w:noProof/>
          <w:sz w:val="23"/>
          <w:szCs w:val="23"/>
        </w:rPr>
        <w:fldChar w:fldCharType="end"/>
      </w:r>
    </w:p>
    <w:p w14:paraId="59BD116C" w14:textId="3889665B"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5.3</w:t>
      </w:r>
      <w:r w:rsidRPr="00B30E5C">
        <w:rPr>
          <w:rFonts w:ascii="Times New Roman" w:hAnsi="Times New Roman" w:cs="Times New Roman"/>
          <w:b w:val="0"/>
          <w:noProof/>
          <w:sz w:val="23"/>
          <w:szCs w:val="23"/>
        </w:rPr>
        <w:tab/>
      </w:r>
      <w:r w:rsidRPr="00E5595C">
        <w:rPr>
          <w:rFonts w:ascii="Times New Roman" w:hAnsi="Times New Roman" w:cs="Times New Roman"/>
          <w:b w:val="0"/>
          <w:noProof/>
          <w:sz w:val="23"/>
          <w:szCs w:val="23"/>
        </w:rPr>
        <w:t>Advantages and disadvantages</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_Toc2256877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31</w:t>
      </w:r>
      <w:r w:rsidRPr="00E5595C">
        <w:rPr>
          <w:rFonts w:ascii="Times New Roman" w:hAnsi="Times New Roman" w:cs="Times New Roman"/>
          <w:b w:val="0"/>
          <w:noProof/>
          <w:sz w:val="23"/>
          <w:szCs w:val="23"/>
        </w:rPr>
        <w:fldChar w:fldCharType="end"/>
      </w:r>
    </w:p>
    <w:p w14:paraId="45523C84" w14:textId="51FAB8FE" w:rsidR="0092284C" w:rsidRPr="00B30E5C" w:rsidRDefault="0092284C" w:rsidP="00B30E5C">
      <w:pPr>
        <w:pStyle w:val="TOC2"/>
        <w:tabs>
          <w:tab w:val="left" w:pos="709"/>
          <w:tab w:val="right" w:leader="dot" w:pos="9010"/>
        </w:tabs>
        <w:spacing w:before="60" w:after="60"/>
        <w:ind w:left="284"/>
        <w:rPr>
          <w:rFonts w:ascii="Times New Roman" w:hAnsi="Times New Roman" w:cs="Times New Roman"/>
          <w:b w:val="0"/>
          <w:noProof/>
          <w:sz w:val="23"/>
          <w:szCs w:val="23"/>
        </w:rPr>
      </w:pPr>
      <w:r w:rsidRPr="00E5595C">
        <w:rPr>
          <w:rFonts w:ascii="Times New Roman" w:hAnsi="Times New Roman" w:cs="Times New Roman"/>
          <w:b w:val="0"/>
          <w:noProof/>
          <w:sz w:val="23"/>
          <w:szCs w:val="23"/>
        </w:rPr>
        <w:t>5.4</w:t>
      </w:r>
      <w:r w:rsidRPr="00B30E5C">
        <w:rPr>
          <w:rFonts w:ascii="Times New Roman" w:hAnsi="Times New Roman" w:cs="Times New Roman"/>
          <w:b w:val="0"/>
          <w:noProof/>
          <w:sz w:val="23"/>
          <w:szCs w:val="23"/>
        </w:rPr>
        <w:tab/>
      </w:r>
      <w:r w:rsidR="008E5CE2">
        <w:rPr>
          <w:rFonts w:ascii="Times New Roman" w:hAnsi="Times New Roman" w:cs="Times New Roman"/>
          <w:b w:val="0"/>
          <w:noProof/>
          <w:sz w:val="23"/>
          <w:szCs w:val="23"/>
        </w:rPr>
        <w:t xml:space="preserve">The </w:t>
      </w:r>
      <w:r w:rsidRPr="00E5595C">
        <w:rPr>
          <w:rFonts w:ascii="Times New Roman" w:hAnsi="Times New Roman" w:cs="Times New Roman"/>
          <w:b w:val="0"/>
          <w:noProof/>
          <w:sz w:val="23"/>
          <w:szCs w:val="23"/>
        </w:rPr>
        <w:t>New South Wales provisions</w:t>
      </w:r>
      <w:r w:rsidRPr="00E5595C">
        <w:rPr>
          <w:rFonts w:ascii="Times New Roman" w:hAnsi="Times New Roman" w:cs="Times New Roman"/>
          <w:b w:val="0"/>
          <w:noProof/>
          <w:sz w:val="23"/>
          <w:szCs w:val="23"/>
        </w:rPr>
        <w:tab/>
      </w:r>
      <w:r w:rsidRPr="00E5595C">
        <w:rPr>
          <w:rFonts w:ascii="Times New Roman" w:hAnsi="Times New Roman" w:cs="Times New Roman"/>
          <w:b w:val="0"/>
          <w:noProof/>
          <w:sz w:val="23"/>
          <w:szCs w:val="23"/>
        </w:rPr>
        <w:fldChar w:fldCharType="begin"/>
      </w:r>
      <w:r w:rsidRPr="00E5595C">
        <w:rPr>
          <w:rFonts w:ascii="Times New Roman" w:hAnsi="Times New Roman" w:cs="Times New Roman"/>
          <w:b w:val="0"/>
          <w:noProof/>
          <w:sz w:val="23"/>
          <w:szCs w:val="23"/>
        </w:rPr>
        <w:instrText xml:space="preserve"> PAGEREF _Toc2256878 \h </w:instrText>
      </w:r>
      <w:r w:rsidRPr="00E5595C">
        <w:rPr>
          <w:rFonts w:ascii="Times New Roman" w:hAnsi="Times New Roman" w:cs="Times New Roman"/>
          <w:b w:val="0"/>
          <w:noProof/>
          <w:sz w:val="23"/>
          <w:szCs w:val="23"/>
        </w:rPr>
      </w:r>
      <w:r w:rsidRPr="00E5595C">
        <w:rPr>
          <w:rFonts w:ascii="Times New Roman" w:hAnsi="Times New Roman" w:cs="Times New Roman"/>
          <w:b w:val="0"/>
          <w:noProof/>
          <w:sz w:val="23"/>
          <w:szCs w:val="23"/>
        </w:rPr>
        <w:fldChar w:fldCharType="separate"/>
      </w:r>
      <w:r w:rsidR="00E72A81">
        <w:rPr>
          <w:rFonts w:ascii="Times New Roman" w:hAnsi="Times New Roman" w:cs="Times New Roman"/>
          <w:b w:val="0"/>
          <w:noProof/>
          <w:sz w:val="23"/>
          <w:szCs w:val="23"/>
        </w:rPr>
        <w:t>33</w:t>
      </w:r>
      <w:r w:rsidRPr="00E5595C">
        <w:rPr>
          <w:rFonts w:ascii="Times New Roman" w:hAnsi="Times New Roman" w:cs="Times New Roman"/>
          <w:b w:val="0"/>
          <w:noProof/>
          <w:sz w:val="23"/>
          <w:szCs w:val="23"/>
        </w:rPr>
        <w:fldChar w:fldCharType="end"/>
      </w:r>
    </w:p>
    <w:p w14:paraId="7EE87D73" w14:textId="4A15CEAF" w:rsidR="0092284C" w:rsidRPr="0033194C" w:rsidRDefault="0033194C">
      <w:pPr>
        <w:pStyle w:val="TOC1"/>
        <w:rPr>
          <w:rFonts w:ascii="Times New Roman" w:hAnsi="Times New Roman" w:cs="Times New Roman"/>
          <w:sz w:val="23"/>
          <w:szCs w:val="23"/>
        </w:rPr>
      </w:pPr>
      <w:r w:rsidRPr="0033194C">
        <w:rPr>
          <w:rFonts w:ascii="Times New Roman" w:hAnsi="Times New Roman" w:cs="Times New Roman"/>
          <w:sz w:val="23"/>
          <w:szCs w:val="23"/>
        </w:rPr>
        <w:t>Appendix</w:t>
      </w:r>
      <w:r w:rsidR="0092284C" w:rsidRPr="0033194C">
        <w:rPr>
          <w:rFonts w:ascii="Times New Roman" w:hAnsi="Times New Roman" w:cs="Times New Roman"/>
          <w:sz w:val="23"/>
          <w:szCs w:val="23"/>
        </w:rPr>
        <w:t xml:space="preserve"> A</w:t>
      </w:r>
      <w:r w:rsidR="00ED6F96" w:rsidRPr="0033194C">
        <w:rPr>
          <w:rFonts w:ascii="Times New Roman" w:hAnsi="Times New Roman" w:cs="Times New Roman"/>
          <w:sz w:val="23"/>
          <w:szCs w:val="23"/>
        </w:rPr>
        <w:t xml:space="preserve">: </w:t>
      </w:r>
      <w:r w:rsidR="00ED6F96" w:rsidRPr="0033194C">
        <w:rPr>
          <w:rFonts w:ascii="Times New Roman" w:eastAsia="Times New Roman" w:hAnsi="Times New Roman" w:cs="Times New Roman"/>
          <w:bCs/>
          <w:i/>
          <w:kern w:val="36"/>
          <w:sz w:val="23"/>
          <w:szCs w:val="23"/>
        </w:rPr>
        <w:t xml:space="preserve">Testator’s Family Maintenance Act 1912 </w:t>
      </w:r>
      <w:r w:rsidR="00ED6F96" w:rsidRPr="0033194C">
        <w:rPr>
          <w:rFonts w:ascii="Times New Roman" w:eastAsia="Times New Roman" w:hAnsi="Times New Roman" w:cs="Times New Roman"/>
          <w:bCs/>
          <w:kern w:val="36"/>
          <w:sz w:val="23"/>
          <w:szCs w:val="23"/>
        </w:rPr>
        <w:t>(Tas)</w:t>
      </w:r>
      <w:r w:rsidR="0092284C" w:rsidRPr="0033194C">
        <w:rPr>
          <w:rFonts w:ascii="Times New Roman" w:hAnsi="Times New Roman" w:cs="Times New Roman"/>
          <w:sz w:val="23"/>
          <w:szCs w:val="23"/>
        </w:rPr>
        <w:tab/>
      </w:r>
      <w:r w:rsidR="0092284C" w:rsidRPr="0033194C">
        <w:rPr>
          <w:rFonts w:ascii="Times New Roman" w:hAnsi="Times New Roman" w:cs="Times New Roman"/>
          <w:sz w:val="23"/>
          <w:szCs w:val="23"/>
        </w:rPr>
        <w:fldChar w:fldCharType="begin"/>
      </w:r>
      <w:r w:rsidR="0092284C" w:rsidRPr="0033194C">
        <w:rPr>
          <w:rFonts w:ascii="Times New Roman" w:hAnsi="Times New Roman" w:cs="Times New Roman"/>
          <w:sz w:val="23"/>
          <w:szCs w:val="23"/>
        </w:rPr>
        <w:instrText xml:space="preserve"> PAGEREF _Toc2256879 \h </w:instrText>
      </w:r>
      <w:r w:rsidR="0092284C" w:rsidRPr="0033194C">
        <w:rPr>
          <w:rFonts w:ascii="Times New Roman" w:hAnsi="Times New Roman" w:cs="Times New Roman"/>
          <w:sz w:val="23"/>
          <w:szCs w:val="23"/>
        </w:rPr>
      </w:r>
      <w:r w:rsidR="0092284C" w:rsidRPr="0033194C">
        <w:rPr>
          <w:rFonts w:ascii="Times New Roman" w:hAnsi="Times New Roman" w:cs="Times New Roman"/>
          <w:sz w:val="23"/>
          <w:szCs w:val="23"/>
        </w:rPr>
        <w:fldChar w:fldCharType="separate"/>
      </w:r>
      <w:r w:rsidR="00E72A81">
        <w:rPr>
          <w:rFonts w:ascii="Times New Roman" w:hAnsi="Times New Roman" w:cs="Times New Roman"/>
          <w:sz w:val="23"/>
          <w:szCs w:val="23"/>
        </w:rPr>
        <w:t>35</w:t>
      </w:r>
      <w:r w:rsidR="0092284C" w:rsidRPr="0033194C">
        <w:rPr>
          <w:rFonts w:ascii="Times New Roman" w:hAnsi="Times New Roman" w:cs="Times New Roman"/>
          <w:sz w:val="23"/>
          <w:szCs w:val="23"/>
        </w:rPr>
        <w:fldChar w:fldCharType="end"/>
      </w:r>
    </w:p>
    <w:p w14:paraId="38219B64" w14:textId="398C4DBE" w:rsidR="0092284C" w:rsidRPr="0033194C" w:rsidRDefault="0033194C">
      <w:pPr>
        <w:pStyle w:val="TOC1"/>
        <w:rPr>
          <w:rFonts w:ascii="Times New Roman" w:hAnsi="Times New Roman" w:cs="Times New Roman"/>
          <w:sz w:val="23"/>
          <w:szCs w:val="23"/>
        </w:rPr>
      </w:pPr>
      <w:r w:rsidRPr="0033194C">
        <w:rPr>
          <w:rFonts w:ascii="Times New Roman" w:hAnsi="Times New Roman" w:cs="Times New Roman"/>
          <w:sz w:val="23"/>
          <w:szCs w:val="23"/>
        </w:rPr>
        <w:lastRenderedPageBreak/>
        <w:t>Appendix</w:t>
      </w:r>
      <w:r w:rsidR="0092284C" w:rsidRPr="0033194C">
        <w:rPr>
          <w:rFonts w:ascii="Times New Roman" w:hAnsi="Times New Roman" w:cs="Times New Roman"/>
          <w:sz w:val="23"/>
          <w:szCs w:val="23"/>
        </w:rPr>
        <w:t xml:space="preserve"> B</w:t>
      </w:r>
      <w:r w:rsidR="00ED6F96" w:rsidRPr="0033194C">
        <w:rPr>
          <w:rFonts w:ascii="Times New Roman" w:hAnsi="Times New Roman" w:cs="Times New Roman"/>
          <w:sz w:val="23"/>
          <w:szCs w:val="23"/>
        </w:rPr>
        <w:t xml:space="preserve">: </w:t>
      </w:r>
      <w:r w:rsidR="00ED6F96" w:rsidRPr="0033194C">
        <w:rPr>
          <w:rFonts w:ascii="Times New Roman" w:eastAsia="Times New Roman" w:hAnsi="Times New Roman" w:cs="Times New Roman"/>
          <w:bCs/>
          <w:i/>
          <w:kern w:val="36"/>
          <w:sz w:val="23"/>
          <w:szCs w:val="23"/>
        </w:rPr>
        <w:t>Succession Act 2006</w:t>
      </w:r>
      <w:r w:rsidR="00ED6F96" w:rsidRPr="0033194C">
        <w:rPr>
          <w:rFonts w:ascii="Times New Roman" w:eastAsia="Times New Roman" w:hAnsi="Times New Roman" w:cs="Times New Roman"/>
          <w:bCs/>
          <w:kern w:val="36"/>
          <w:sz w:val="23"/>
          <w:szCs w:val="23"/>
        </w:rPr>
        <w:t xml:space="preserve"> (NSW)</w:t>
      </w:r>
      <w:r w:rsidR="0092284C" w:rsidRPr="0033194C">
        <w:rPr>
          <w:rFonts w:ascii="Times New Roman" w:hAnsi="Times New Roman" w:cs="Times New Roman"/>
          <w:sz w:val="23"/>
          <w:szCs w:val="23"/>
        </w:rPr>
        <w:tab/>
      </w:r>
      <w:r w:rsidR="0092284C" w:rsidRPr="0033194C">
        <w:rPr>
          <w:rFonts w:ascii="Times New Roman" w:hAnsi="Times New Roman" w:cs="Times New Roman"/>
          <w:sz w:val="23"/>
          <w:szCs w:val="23"/>
        </w:rPr>
        <w:fldChar w:fldCharType="begin"/>
      </w:r>
      <w:r w:rsidR="0092284C" w:rsidRPr="0033194C">
        <w:rPr>
          <w:rFonts w:ascii="Times New Roman" w:hAnsi="Times New Roman" w:cs="Times New Roman"/>
          <w:sz w:val="23"/>
          <w:szCs w:val="23"/>
        </w:rPr>
        <w:instrText xml:space="preserve"> PAGEREF _Toc2256880 \h </w:instrText>
      </w:r>
      <w:r w:rsidR="0092284C" w:rsidRPr="0033194C">
        <w:rPr>
          <w:rFonts w:ascii="Times New Roman" w:hAnsi="Times New Roman" w:cs="Times New Roman"/>
          <w:sz w:val="23"/>
          <w:szCs w:val="23"/>
        </w:rPr>
      </w:r>
      <w:r w:rsidR="0092284C" w:rsidRPr="0033194C">
        <w:rPr>
          <w:rFonts w:ascii="Times New Roman" w:hAnsi="Times New Roman" w:cs="Times New Roman"/>
          <w:sz w:val="23"/>
          <w:szCs w:val="23"/>
        </w:rPr>
        <w:fldChar w:fldCharType="separate"/>
      </w:r>
      <w:r w:rsidR="00E72A81">
        <w:rPr>
          <w:rFonts w:ascii="Times New Roman" w:hAnsi="Times New Roman" w:cs="Times New Roman"/>
          <w:sz w:val="23"/>
          <w:szCs w:val="23"/>
        </w:rPr>
        <w:t>42</w:t>
      </w:r>
      <w:r w:rsidR="0092284C" w:rsidRPr="0033194C">
        <w:rPr>
          <w:rFonts w:ascii="Times New Roman" w:hAnsi="Times New Roman" w:cs="Times New Roman"/>
          <w:sz w:val="23"/>
          <w:szCs w:val="23"/>
        </w:rPr>
        <w:fldChar w:fldCharType="end"/>
      </w:r>
    </w:p>
    <w:p w14:paraId="27C7742E" w14:textId="2E5B113E" w:rsidR="0092284C" w:rsidRPr="00B03267" w:rsidRDefault="00165678" w:rsidP="0092284C">
      <w:r w:rsidRPr="00E5595C">
        <w:rPr>
          <w:rFonts w:ascii="Times New Roman" w:hAnsi="Times New Roman" w:cs="Times New Roman"/>
          <w:sz w:val="23"/>
          <w:szCs w:val="23"/>
        </w:rPr>
        <w:fldChar w:fldCharType="end"/>
      </w:r>
    </w:p>
    <w:p w14:paraId="3857467E" w14:textId="5519BB59" w:rsidR="00B03267" w:rsidRPr="00B03267" w:rsidRDefault="00B03267" w:rsidP="00165678"/>
    <w:p w14:paraId="7BEB3298" w14:textId="77777777" w:rsidR="00B03267" w:rsidRDefault="00B03267" w:rsidP="00165678">
      <w:pPr>
        <w:sectPr w:rsidR="00B03267" w:rsidSect="000F2AEC">
          <w:headerReference w:type="even" r:id="rId16"/>
          <w:headerReference w:type="default" r:id="rId17"/>
          <w:headerReference w:type="first" r:id="rId18"/>
          <w:footerReference w:type="first" r:id="rId19"/>
          <w:pgSz w:w="11906" w:h="16838" w:code="9"/>
          <w:pgMar w:top="1440" w:right="1440" w:bottom="1440" w:left="1440" w:header="709" w:footer="709" w:gutter="0"/>
          <w:pgNumType w:fmt="lowerRoman"/>
          <w:cols w:space="708"/>
          <w:titlePg/>
          <w:docGrid w:linePitch="360"/>
        </w:sectPr>
      </w:pPr>
    </w:p>
    <w:p w14:paraId="7E23A055" w14:textId="77777777" w:rsidR="00334220" w:rsidRPr="002F0E6F" w:rsidRDefault="00334220" w:rsidP="00F148E9">
      <w:pPr>
        <w:pStyle w:val="NumberlessSectionHeading"/>
        <w:spacing w:before="0"/>
        <w:ind w:right="0"/>
      </w:pPr>
      <w:bookmarkStart w:id="4" w:name="_Toc515817985"/>
      <w:bookmarkStart w:id="5" w:name="_Toc519782119"/>
      <w:bookmarkStart w:id="6" w:name="_Toc2256838"/>
      <w:r w:rsidRPr="002F0E6F">
        <w:lastRenderedPageBreak/>
        <w:t>Information about the Tasmania Law Reform Institute</w:t>
      </w:r>
      <w:bookmarkEnd w:id="4"/>
      <w:bookmarkEnd w:id="5"/>
      <w:bookmarkEnd w:id="6"/>
      <w:r w:rsidRPr="002F0E6F">
        <w:t xml:space="preserve"> </w:t>
      </w:r>
    </w:p>
    <w:p w14:paraId="37CAE314" w14:textId="77777777" w:rsidR="00334220" w:rsidRPr="002F0E6F" w:rsidRDefault="00334220" w:rsidP="00AF5541">
      <w:pPr>
        <w:pStyle w:val="NumberlessNormalText"/>
        <w:ind w:right="0"/>
      </w:pPr>
      <w:r w:rsidRPr="002F0E6F">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7D763607" w14:textId="77777777" w:rsidR="00334220" w:rsidRPr="002F0E6F" w:rsidRDefault="00334220" w:rsidP="000F2AEC">
      <w:pPr>
        <w:pStyle w:val="NumberlessNormalText"/>
        <w:spacing w:line="240" w:lineRule="auto"/>
        <w:ind w:right="0"/>
      </w:pPr>
      <w:r w:rsidRPr="002F0E6F">
        <w:t>The work of the Institute involves the review of laws with a view to:</w:t>
      </w:r>
    </w:p>
    <w:p w14:paraId="3B039A7D"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the modernisation of the law</w:t>
      </w:r>
    </w:p>
    <w:p w14:paraId="144A6F46"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the elimination of defects in the law</w:t>
      </w:r>
    </w:p>
    <w:p w14:paraId="069B9D4F"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the simplification of the law</w:t>
      </w:r>
    </w:p>
    <w:p w14:paraId="1AEEA11D"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the consolidation of any laws</w:t>
      </w:r>
    </w:p>
    <w:p w14:paraId="4FA79EF7"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the repeal of laws that are obsolete or unnecessary</w:t>
      </w:r>
    </w:p>
    <w:p w14:paraId="6C8A43DE" w14:textId="77777777" w:rsidR="00334220" w:rsidRPr="002F0E6F" w:rsidRDefault="00334220" w:rsidP="000F2AEC">
      <w:pPr>
        <w:pStyle w:val="ListParagraph"/>
        <w:numPr>
          <w:ilvl w:val="0"/>
          <w:numId w:val="10"/>
        </w:numPr>
        <w:spacing w:before="120" w:after="120"/>
        <w:ind w:left="709" w:hanging="425"/>
        <w:jc w:val="both"/>
        <w:rPr>
          <w:rFonts w:eastAsia="Times New Roman" w:cs="Times New Roman"/>
          <w:sz w:val="23"/>
          <w:szCs w:val="23"/>
        </w:rPr>
      </w:pPr>
      <w:r w:rsidRPr="002F0E6F">
        <w:rPr>
          <w:rFonts w:eastAsia="Times New Roman" w:cs="Times New Roman"/>
          <w:sz w:val="23"/>
          <w:szCs w:val="23"/>
        </w:rPr>
        <w:t>uniformity between laws of other States and the Commonwealth.</w:t>
      </w:r>
    </w:p>
    <w:p w14:paraId="0F5A8932" w14:textId="29990981" w:rsidR="00334220" w:rsidRPr="002F0E6F" w:rsidRDefault="00334220" w:rsidP="00AA4D52">
      <w:pPr>
        <w:pStyle w:val="NumberlessNormalText"/>
        <w:ind w:right="0"/>
      </w:pPr>
      <w:r w:rsidRPr="002F0E6F">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w:t>
      </w:r>
      <w:r w:rsidR="00887711" w:rsidRPr="002F0E6F">
        <w:t>Associate Professor</w:t>
      </w:r>
      <w:r w:rsidRPr="002F0E6F">
        <w:t xml:space="preserve"> Jeremy Prichard (appointed by the Council of the University), Mr Craig Mackie (nominated by the Tasmanian Bar Association), Ms Ann Hughes (appointed at the invitation of the Institute Board), Mr Rohan Foon (appointed by the Law Society of Tasmania), Ms Kim Baumeler (appointed at the invitation of the Institute Board) and Ms Rosie Smith (appointed at the invitation of the Institute Board as a member of the Tasmanian Aboriginal community). </w:t>
      </w:r>
    </w:p>
    <w:p w14:paraId="1F4E0C39" w14:textId="77777777" w:rsidR="00334220" w:rsidRPr="002F0E6F" w:rsidRDefault="00334220" w:rsidP="00AA4D52">
      <w:pPr>
        <w:pStyle w:val="NumberlessNormalText"/>
        <w:ind w:right="0"/>
      </w:pPr>
      <w:r w:rsidRPr="002F0E6F">
        <w:t>The Board oversees the Institute’s research, considering each reference before it is accepted, and approving publications before their release.</w:t>
      </w:r>
    </w:p>
    <w:p w14:paraId="10379E02" w14:textId="77777777" w:rsidR="00334220" w:rsidRPr="002F0E6F" w:rsidRDefault="00334220" w:rsidP="00AA4D52">
      <w:pPr>
        <w:pStyle w:val="NumberlessSectionHeading"/>
        <w:spacing w:line="276" w:lineRule="auto"/>
        <w:ind w:right="0"/>
      </w:pPr>
      <w:bookmarkStart w:id="7" w:name="_Toc515817986"/>
      <w:bookmarkStart w:id="8" w:name="_Toc519782120"/>
      <w:bookmarkStart w:id="9" w:name="_Toc2256839"/>
      <w:r w:rsidRPr="002F0E6F">
        <w:t>How to respond</w:t>
      </w:r>
      <w:bookmarkEnd w:id="7"/>
      <w:bookmarkEnd w:id="8"/>
      <w:bookmarkEnd w:id="9"/>
      <w:r w:rsidRPr="002F0E6F">
        <w:t xml:space="preserve"> </w:t>
      </w:r>
    </w:p>
    <w:p w14:paraId="40B56827" w14:textId="77777777" w:rsidR="00334220" w:rsidRPr="002F0E6F" w:rsidRDefault="00334220" w:rsidP="00AA4D52">
      <w:pPr>
        <w:pStyle w:val="NumberlessNormalText"/>
        <w:ind w:right="0"/>
      </w:pPr>
      <w:r w:rsidRPr="002F0E6F">
        <w:t xml:space="preserve">The Tasmania Law Reform Institute invites responses to the various issues discussed in this Issues Paper. There are a number of questions posed by this Issues Paper to guide your response. </w:t>
      </w:r>
      <w:r w:rsidRPr="002F0E6F">
        <w:rPr>
          <w:b/>
          <w:bCs/>
        </w:rPr>
        <w:t>Respondents can choose to address any or all of those questions in their submissions.</w:t>
      </w:r>
      <w:r w:rsidRPr="002F0E6F">
        <w:t xml:space="preserve"> Respondents can also suggest alternative options for reform or raise other relevant matters in their responses.</w:t>
      </w:r>
    </w:p>
    <w:p w14:paraId="0A696734" w14:textId="77777777" w:rsidR="00334220" w:rsidRPr="002F0E6F" w:rsidRDefault="00334220" w:rsidP="000F2AEC">
      <w:pPr>
        <w:pStyle w:val="NumberlessNormalText"/>
        <w:keepNext/>
        <w:spacing w:line="240" w:lineRule="auto"/>
        <w:ind w:right="0"/>
      </w:pPr>
      <w:r w:rsidRPr="002F0E6F">
        <w:lastRenderedPageBreak/>
        <w:t>There are a number of ways to respond:</w:t>
      </w:r>
    </w:p>
    <w:p w14:paraId="08A8F0DD" w14:textId="77777777" w:rsidR="00334220" w:rsidRPr="002F0E6F" w:rsidRDefault="00334220" w:rsidP="009603BA">
      <w:pPr>
        <w:pStyle w:val="ListParagraph"/>
        <w:keepNext/>
        <w:numPr>
          <w:ilvl w:val="0"/>
          <w:numId w:val="10"/>
        </w:numPr>
        <w:spacing w:before="120" w:after="120" w:line="276" w:lineRule="auto"/>
        <w:ind w:left="709" w:hanging="425"/>
        <w:jc w:val="both"/>
        <w:rPr>
          <w:rFonts w:eastAsia="Times New Roman" w:cs="Times New Roman"/>
          <w:sz w:val="23"/>
          <w:szCs w:val="23"/>
        </w:rPr>
      </w:pPr>
      <w:r w:rsidRPr="002F0E6F">
        <w:rPr>
          <w:rFonts w:eastAsia="Times New Roman" w:cs="Times New Roman"/>
          <w:sz w:val="23"/>
          <w:szCs w:val="23"/>
        </w:rPr>
        <w:t>By filling in the Submission Template</w:t>
      </w:r>
    </w:p>
    <w:p w14:paraId="542CFFE3" w14:textId="70819719" w:rsidR="00334220" w:rsidRPr="002F0E6F" w:rsidRDefault="00B731FD" w:rsidP="009603BA">
      <w:pPr>
        <w:pStyle w:val="NumberlessNormalText"/>
        <w:ind w:left="709" w:right="0" w:hanging="425"/>
      </w:pPr>
      <w:r w:rsidRPr="002F0E6F">
        <w:tab/>
      </w:r>
      <w:r w:rsidR="00334220" w:rsidRPr="002F0E6F">
        <w:t xml:space="preserve">The Template can be filled in electronically and sent by email or printed out and filled in manually and posted to the Institute. The Submission Template can be accessed at the Institute’s webpage: </w:t>
      </w:r>
      <w:hyperlink r:id="rId20" w:history="1">
        <w:r w:rsidR="00334220" w:rsidRPr="002F0E6F">
          <w:rPr>
            <w:color w:val="000000"/>
            <w:u w:val="single"/>
          </w:rPr>
          <w:t>http://www.utas.edu.au/law-reform/</w:t>
        </w:r>
      </w:hyperlink>
    </w:p>
    <w:p w14:paraId="5D618ABE" w14:textId="77777777" w:rsidR="00334220" w:rsidRPr="002F0E6F" w:rsidRDefault="00334220" w:rsidP="009603BA">
      <w:pPr>
        <w:pStyle w:val="ListParagraph"/>
        <w:keepNext/>
        <w:numPr>
          <w:ilvl w:val="0"/>
          <w:numId w:val="10"/>
        </w:numPr>
        <w:spacing w:before="120" w:after="120" w:line="276" w:lineRule="auto"/>
        <w:ind w:left="709" w:hanging="425"/>
        <w:jc w:val="both"/>
        <w:rPr>
          <w:rFonts w:eastAsia="Times New Roman" w:cs="Times New Roman"/>
          <w:sz w:val="23"/>
          <w:szCs w:val="23"/>
        </w:rPr>
      </w:pPr>
      <w:r w:rsidRPr="002F0E6F">
        <w:rPr>
          <w:rFonts w:eastAsia="Times New Roman" w:cs="Times New Roman"/>
          <w:sz w:val="23"/>
          <w:szCs w:val="23"/>
        </w:rPr>
        <w:t>By providing a more detailed response to the Issues Paper</w:t>
      </w:r>
    </w:p>
    <w:p w14:paraId="02148EB8" w14:textId="368E896D" w:rsidR="00334220" w:rsidRPr="002F0E6F" w:rsidRDefault="00B731FD" w:rsidP="009603BA">
      <w:pPr>
        <w:pStyle w:val="NumberlessNormalText"/>
        <w:tabs>
          <w:tab w:val="clear" w:pos="851"/>
        </w:tabs>
        <w:ind w:left="709" w:right="0" w:hanging="425"/>
      </w:pPr>
      <w:r w:rsidRPr="002F0E6F">
        <w:tab/>
      </w:r>
      <w:r w:rsidR="00334220" w:rsidRPr="002F0E6F">
        <w:t>The Issues Paper poses a series of questions to guide your response — you may choose to answer all, some, or none of them. Please explain the reasons for your views as fully as possible.</w:t>
      </w:r>
    </w:p>
    <w:p w14:paraId="69B3C756" w14:textId="00DB85BD" w:rsidR="00334220" w:rsidRPr="002F0E6F" w:rsidRDefault="00334220" w:rsidP="009603BA">
      <w:pPr>
        <w:pStyle w:val="NumberlessNormalText"/>
        <w:ind w:right="0"/>
      </w:pPr>
      <w:r w:rsidRPr="002F0E6F">
        <w:t>The Institute uses all submissions received to inform its research. Submissions may be referred to or quoted from in a TLRI final report which will be printed</w:t>
      </w:r>
      <w:r w:rsidR="007402F1" w:rsidRPr="002F0E6F">
        <w:t>, provided to the Tasmanian Government</w:t>
      </w:r>
      <w:r w:rsidRPr="002F0E6F">
        <w:t xml:space="preserve"> and also published on the Institute’s website. Extracts may also be used in published scholarly articles and/or public media releases. However, if you do not wish your response to be referred to or identified, the Institute will respect that wish.</w:t>
      </w:r>
    </w:p>
    <w:p w14:paraId="30F32BAD" w14:textId="77777777" w:rsidR="00334220" w:rsidRPr="002F0E6F" w:rsidRDefault="00334220" w:rsidP="009603BA">
      <w:pPr>
        <w:pStyle w:val="NumberlessNormalText"/>
        <w:ind w:right="0"/>
      </w:pPr>
      <w:r w:rsidRPr="002F0E6F">
        <w:t>Therefore, when making a submission to the Institute, please identify how you would like it to be treated based on the following categories:</w:t>
      </w:r>
    </w:p>
    <w:p w14:paraId="7BDF58DF" w14:textId="52809BE9" w:rsidR="00334220" w:rsidRPr="002F0E6F" w:rsidRDefault="00334220" w:rsidP="009603BA">
      <w:pPr>
        <w:numPr>
          <w:ilvl w:val="0"/>
          <w:numId w:val="9"/>
        </w:numPr>
        <w:tabs>
          <w:tab w:val="left" w:pos="709"/>
        </w:tabs>
        <w:spacing w:before="220" w:after="220" w:line="276" w:lineRule="auto"/>
        <w:ind w:left="709" w:hanging="425"/>
        <w:jc w:val="both"/>
        <w:rPr>
          <w:rFonts w:ascii="Times New Roman" w:eastAsia="Times" w:hAnsi="Times New Roman" w:cs="Times New Roman"/>
          <w:sz w:val="23"/>
          <w:szCs w:val="23"/>
        </w:rPr>
      </w:pPr>
      <w:r w:rsidRPr="002F0E6F">
        <w:rPr>
          <w:rFonts w:ascii="Times New Roman" w:eastAsia="Times" w:hAnsi="Times New Roman" w:cs="Times New Roman"/>
          <w:sz w:val="23"/>
          <w:szCs w:val="23"/>
        </w:rPr>
        <w:t>Public submission – the Institute may refer to or quote directly from the submission and name you as the source of the submission in relevant publications.</w:t>
      </w:r>
    </w:p>
    <w:p w14:paraId="426158B9" w14:textId="2AEA1B21" w:rsidR="00334220" w:rsidRPr="002F0E6F" w:rsidRDefault="00334220" w:rsidP="009603BA">
      <w:pPr>
        <w:numPr>
          <w:ilvl w:val="0"/>
          <w:numId w:val="9"/>
        </w:numPr>
        <w:tabs>
          <w:tab w:val="left" w:pos="709"/>
        </w:tabs>
        <w:spacing w:before="220" w:after="220" w:line="276" w:lineRule="auto"/>
        <w:ind w:left="709" w:hanging="425"/>
        <w:jc w:val="both"/>
        <w:rPr>
          <w:rFonts w:ascii="Times New Roman" w:eastAsia="Times" w:hAnsi="Times New Roman" w:cs="Times New Roman"/>
          <w:sz w:val="23"/>
          <w:szCs w:val="23"/>
        </w:rPr>
      </w:pPr>
      <w:r w:rsidRPr="002F0E6F">
        <w:rPr>
          <w:rFonts w:ascii="Times New Roman" w:eastAsia="Times" w:hAnsi="Times New Roman" w:cs="Times New Roman"/>
          <w:sz w:val="23"/>
          <w:szCs w:val="23"/>
        </w:rPr>
        <w:t>Anonymous submission – the Institute may refer to or quote directly from the submission in relevant publications but will not identify you as the source of the submission.</w:t>
      </w:r>
    </w:p>
    <w:p w14:paraId="2B9598D6" w14:textId="721F8086" w:rsidR="00334220" w:rsidRPr="002F0E6F" w:rsidRDefault="00334220" w:rsidP="009603BA">
      <w:pPr>
        <w:numPr>
          <w:ilvl w:val="0"/>
          <w:numId w:val="9"/>
        </w:numPr>
        <w:tabs>
          <w:tab w:val="left" w:pos="709"/>
        </w:tabs>
        <w:spacing w:before="220" w:after="220" w:line="276" w:lineRule="auto"/>
        <w:ind w:left="709" w:hanging="425"/>
        <w:jc w:val="both"/>
        <w:rPr>
          <w:rFonts w:ascii="Times New Roman" w:eastAsia="Times" w:hAnsi="Times New Roman" w:cs="Times New Roman"/>
          <w:sz w:val="23"/>
          <w:szCs w:val="23"/>
        </w:rPr>
      </w:pPr>
      <w:r w:rsidRPr="002F0E6F">
        <w:rPr>
          <w:rFonts w:ascii="Times New Roman" w:eastAsia="Times" w:hAnsi="Times New Roman" w:cs="Times New Roman"/>
          <w:sz w:val="23"/>
          <w:szCs w:val="23"/>
        </w:rPr>
        <w:t>Confidential submission – the Institute will not refer to or quote directly from the submission but may aggregate information in your submission with other submissions for inclusion in any report or publication. Confidential submissions will only be used to inform the Institute generally in their deliberations of the particular issue under investigation, and/or provide publishable aggregated statistical data.</w:t>
      </w:r>
    </w:p>
    <w:p w14:paraId="2515053D" w14:textId="77777777" w:rsidR="00334220" w:rsidRPr="002F0E6F" w:rsidRDefault="00334220" w:rsidP="009603BA">
      <w:pPr>
        <w:pStyle w:val="NumberlessNormalText"/>
        <w:ind w:right="0"/>
      </w:pPr>
      <w:r w:rsidRPr="002F0E6F">
        <w:t xml:space="preserve">After considering all responses and stakeholder feedback it is intended that a final report, containing recommendations, will be published. </w:t>
      </w:r>
    </w:p>
    <w:p w14:paraId="3276B12E" w14:textId="23485FAB" w:rsidR="00334220" w:rsidRPr="002F0E6F" w:rsidRDefault="00334220" w:rsidP="009603BA">
      <w:pPr>
        <w:pStyle w:val="NumberlessNormalText"/>
        <w:ind w:right="0"/>
      </w:pPr>
      <w:r w:rsidRPr="002F0E6F">
        <w:t>Providing a submission is completely voluntary. You are free to withdraw your participation at any time</w:t>
      </w:r>
      <w:r w:rsidR="007402F1" w:rsidRPr="002F0E6F">
        <w:t xml:space="preserve"> up to the time it is sent for publication</w:t>
      </w:r>
      <w:r w:rsidRPr="002F0E6F">
        <w:t>, by contacting Kira White on (03) 6226 2069 or email Law.Reform@utas.edu.au. You can withdraw without providing an explanation. However, once the report has been sent for publication, it will not be possible to remove your comments.</w:t>
      </w:r>
    </w:p>
    <w:p w14:paraId="0E77F826" w14:textId="77777777" w:rsidR="00334220" w:rsidRPr="002F0E6F" w:rsidRDefault="00334220" w:rsidP="009603BA">
      <w:pPr>
        <w:pStyle w:val="NumberlessNormalText"/>
        <w:ind w:right="0"/>
      </w:pPr>
      <w:r w:rsidRPr="002F0E6F">
        <w:t>All responses will be held by the Tasmania Law Reform Institute for a period of five (5) years from the date of the first publication and then destroyed. Electronic submissions will be stored on a secure, regularly backed-up University network drive. Hard copy submissions will be stored in a locked filing cabinet. At the expiry of five years, submissions will be deleted from the server, in the case of electronic submissions, or shredded and securely disposed of in the case of paper submissions.</w:t>
      </w:r>
    </w:p>
    <w:p w14:paraId="2B777364" w14:textId="77777777" w:rsidR="00334220" w:rsidRPr="002F0E6F" w:rsidRDefault="00334220" w:rsidP="009603BA">
      <w:pPr>
        <w:pStyle w:val="NumberlessNormalText"/>
        <w:ind w:right="0"/>
      </w:pPr>
      <w:r w:rsidRPr="002F0E6F">
        <w:lastRenderedPageBreak/>
        <w:t xml:space="preserve">Electronic submissions should be emailed to: </w:t>
      </w:r>
      <w:hyperlink r:id="rId21" w:history="1">
        <w:r w:rsidRPr="002F0E6F">
          <w:t>Law.Reform@utas.edu.au</w:t>
        </w:r>
      </w:hyperlink>
    </w:p>
    <w:p w14:paraId="209295E7" w14:textId="77777777" w:rsidR="00334220" w:rsidRPr="002F0E6F" w:rsidRDefault="00334220" w:rsidP="009603BA">
      <w:pPr>
        <w:pStyle w:val="NumberlessNormalText"/>
        <w:keepNext/>
        <w:ind w:right="0"/>
      </w:pPr>
      <w:r w:rsidRPr="002F0E6F">
        <w:t>Submissions in paper form should be posted to:</w:t>
      </w:r>
    </w:p>
    <w:p w14:paraId="328D78D7" w14:textId="77777777" w:rsidR="00334220" w:rsidRPr="002F0E6F" w:rsidRDefault="00334220" w:rsidP="009603BA">
      <w:pPr>
        <w:pStyle w:val="NumberlessNormalText"/>
        <w:keepNext/>
        <w:ind w:left="284" w:right="0"/>
      </w:pPr>
      <w:r w:rsidRPr="002F0E6F">
        <w:t xml:space="preserve">Tasmania Law Reform Institute </w:t>
      </w:r>
    </w:p>
    <w:p w14:paraId="7861933D" w14:textId="77777777" w:rsidR="00334220" w:rsidRPr="002F0E6F" w:rsidRDefault="00334220" w:rsidP="009603BA">
      <w:pPr>
        <w:pStyle w:val="NumberlessNormalText"/>
        <w:ind w:left="284" w:right="0"/>
      </w:pPr>
      <w:r w:rsidRPr="002F0E6F">
        <w:t>Private Bag 89</w:t>
      </w:r>
    </w:p>
    <w:p w14:paraId="525A81C5" w14:textId="77777777" w:rsidR="00334220" w:rsidRPr="002F0E6F" w:rsidRDefault="00334220" w:rsidP="009603BA">
      <w:pPr>
        <w:pStyle w:val="NumberlessNormalText"/>
        <w:ind w:left="284" w:right="0"/>
      </w:pPr>
      <w:r w:rsidRPr="002F0E6F">
        <w:t>Hobart, TAS 7001</w:t>
      </w:r>
    </w:p>
    <w:p w14:paraId="75315115" w14:textId="74166C65" w:rsidR="00334220" w:rsidRPr="002F0E6F" w:rsidRDefault="00334220" w:rsidP="009603BA">
      <w:pPr>
        <w:pStyle w:val="NumberlessNormalText"/>
        <w:spacing w:after="360"/>
        <w:ind w:right="0"/>
      </w:pPr>
      <w:r w:rsidRPr="002F0E6F">
        <w:t xml:space="preserve">Inquiries about the study should </w:t>
      </w:r>
      <w:r w:rsidRPr="000F2AEC">
        <w:t>be</w:t>
      </w:r>
      <w:r w:rsidRPr="002F0E6F">
        <w:t xml:space="preserve"> directed to </w:t>
      </w:r>
      <w:r w:rsidR="00443783" w:rsidRPr="002F0E6F">
        <w:t>Mrs Kate Hanslow</w:t>
      </w:r>
      <w:r w:rsidRPr="002F0E6F">
        <w:t xml:space="preserve"> at the above address, or by telephoning (03) 6226 2069, or by email to </w:t>
      </w:r>
      <w:hyperlink r:id="rId22" w:history="1">
        <w:r w:rsidRPr="002F0E6F">
          <w:t>Law.Reform@utas.edu.au</w:t>
        </w:r>
      </w:hyperlink>
      <w:r w:rsidRPr="002F0E6F">
        <w:t xml:space="preserve">. </w:t>
      </w:r>
    </w:p>
    <w:p w14:paraId="3097EC81" w14:textId="19C0DA88" w:rsidR="00FF3150" w:rsidRPr="002F0E6F" w:rsidRDefault="00334220" w:rsidP="000F2AEC">
      <w:pPr>
        <w:pStyle w:val="BodyText"/>
        <w:spacing w:before="0" w:after="360"/>
        <w:jc w:val="left"/>
        <w:rPr>
          <w:rFonts w:ascii="Garamond" w:hAnsi="Garamond"/>
          <w:b w:val="0"/>
          <w:bCs/>
          <w:sz w:val="23"/>
          <w:szCs w:val="23"/>
          <w:lang w:val="en-AU"/>
        </w:rPr>
      </w:pPr>
      <w:r w:rsidRPr="002F0E6F">
        <w:rPr>
          <w:rFonts w:ascii="Garamond" w:eastAsia="Yu Mincho" w:hAnsi="Garamond" w:cs="Arial"/>
          <w:b w:val="0"/>
          <w:sz w:val="23"/>
          <w:szCs w:val="23"/>
          <w:lang w:val="en-AU"/>
        </w:rPr>
        <w:t>CLOSING DATE FOR RESPONSES:</w:t>
      </w:r>
      <w:r w:rsidR="00FF3150" w:rsidRPr="002F0E6F">
        <w:rPr>
          <w:rFonts w:ascii="Garamond" w:hAnsi="Garamond"/>
          <w:iCs/>
          <w:color w:val="FF0000"/>
          <w:w w:val="105"/>
          <w:sz w:val="23"/>
          <w:szCs w:val="23"/>
          <w:lang w:val="en-AU"/>
        </w:rPr>
        <w:t xml:space="preserve"> </w:t>
      </w:r>
      <w:r w:rsidRPr="006D0EDF">
        <w:rPr>
          <w:rFonts w:ascii="Garamond" w:hAnsi="Garamond"/>
          <w:iCs/>
          <w:color w:val="000000" w:themeColor="text1"/>
          <w:w w:val="105"/>
          <w:sz w:val="23"/>
          <w:szCs w:val="23"/>
          <w:lang w:val="en-AU"/>
        </w:rPr>
        <w:t>&lt;</w:t>
      </w:r>
      <w:r w:rsidR="00792074" w:rsidRPr="006D0EDF">
        <w:rPr>
          <w:rFonts w:ascii="Garamond" w:hAnsi="Garamond"/>
          <w:iCs/>
          <w:color w:val="000000" w:themeColor="text1"/>
          <w:w w:val="105"/>
          <w:sz w:val="23"/>
          <w:szCs w:val="23"/>
          <w:lang w:val="en-AU"/>
        </w:rPr>
        <w:t>24 May</w:t>
      </w:r>
      <w:r w:rsidR="00852F10" w:rsidRPr="006D0EDF">
        <w:rPr>
          <w:rFonts w:ascii="Garamond" w:hAnsi="Garamond"/>
          <w:iCs/>
          <w:color w:val="000000" w:themeColor="text1"/>
          <w:w w:val="105"/>
          <w:sz w:val="23"/>
          <w:szCs w:val="23"/>
          <w:lang w:val="en-AU"/>
        </w:rPr>
        <w:t xml:space="preserve"> 2019</w:t>
      </w:r>
      <w:r w:rsidRPr="006D0EDF">
        <w:rPr>
          <w:rFonts w:ascii="Garamond" w:hAnsi="Garamond"/>
          <w:iCs/>
          <w:color w:val="000000" w:themeColor="text1"/>
          <w:w w:val="105"/>
          <w:sz w:val="23"/>
          <w:szCs w:val="23"/>
          <w:lang w:val="en-AU"/>
        </w:rPr>
        <w:t>&gt;</w:t>
      </w:r>
    </w:p>
    <w:p w14:paraId="1FC98B04" w14:textId="77777777" w:rsidR="00334220" w:rsidRPr="002F0E6F" w:rsidRDefault="00334220" w:rsidP="009603BA">
      <w:pPr>
        <w:pStyle w:val="NumberlessNormalText"/>
        <w:ind w:right="0"/>
      </w:pPr>
      <w:r w:rsidRPr="002F0E6F">
        <w:t>This study has been approved by the Tasmanian Social Sciences Human Research Ethics Committee. If you have concerns or complaints about the conduct of this study, please contact the Executive Officer of the HREC (Tasmania) Network on +61 3 6226 6254 or email human.ethics@utas.edu.au. The Executive Officer is the person nominated to receive complaints from research participants. Please quote ethics reference number [H</w:t>
      </w:r>
      <w:r w:rsidRPr="002F0E6F">
        <w:rPr>
          <w:rFonts w:cstheme="majorBidi"/>
          <w:szCs w:val="22"/>
        </w:rPr>
        <w:t>0016752</w:t>
      </w:r>
      <w:r w:rsidRPr="002F0E6F">
        <w:t>].</w:t>
      </w:r>
    </w:p>
    <w:p w14:paraId="11E6EC14" w14:textId="77777777" w:rsidR="00334220" w:rsidRPr="002F0E6F" w:rsidRDefault="00334220" w:rsidP="000F2AEC">
      <w:pPr>
        <w:pStyle w:val="NumberlessSectionHeading"/>
        <w:ind w:right="0"/>
        <w:outlineLvl w:val="0"/>
      </w:pPr>
      <w:bookmarkStart w:id="10" w:name="_Toc515817987"/>
      <w:bookmarkStart w:id="11" w:name="_Toc519782121"/>
      <w:bookmarkStart w:id="12" w:name="_Toc2256840"/>
      <w:r w:rsidRPr="002F0E6F">
        <w:t>Final Report to the Attorney-General</w:t>
      </w:r>
      <w:bookmarkEnd w:id="10"/>
      <w:bookmarkEnd w:id="11"/>
      <w:bookmarkEnd w:id="12"/>
    </w:p>
    <w:p w14:paraId="62FB63A6" w14:textId="3279C0AD" w:rsidR="00334220" w:rsidRPr="002F0E6F" w:rsidRDefault="00334220" w:rsidP="009603BA">
      <w:pPr>
        <w:pStyle w:val="NumberlessNormalText"/>
        <w:ind w:right="0"/>
      </w:pPr>
      <w:r w:rsidRPr="002F0E6F">
        <w:t>After considering all responses and stakeholder feedback it is intended that a final report, containing recommendations</w:t>
      </w:r>
      <w:r w:rsidR="007402F1" w:rsidRPr="002F0E6F">
        <w:t xml:space="preserve"> for reform</w:t>
      </w:r>
      <w:r w:rsidRPr="002F0E6F">
        <w:t>, will be published.</w:t>
      </w:r>
    </w:p>
    <w:p w14:paraId="652322E8" w14:textId="77777777" w:rsidR="00884C4C" w:rsidRPr="002F0E6F" w:rsidRDefault="00884C4C" w:rsidP="000F2AEC">
      <w:pPr>
        <w:pStyle w:val="NumberlessSectionHeading"/>
        <w:ind w:right="0"/>
      </w:pPr>
      <w:bookmarkStart w:id="13" w:name="_Toc515817990"/>
      <w:bookmarkStart w:id="14" w:name="_Toc519782124"/>
      <w:bookmarkStart w:id="15" w:name="_Toc2256841"/>
      <w:r w:rsidRPr="002F0E6F">
        <w:t>Terms of Reference</w:t>
      </w:r>
      <w:bookmarkEnd w:id="13"/>
      <w:bookmarkEnd w:id="14"/>
      <w:bookmarkEnd w:id="15"/>
      <w:r w:rsidRPr="002F0E6F">
        <w:t xml:space="preserve"> </w:t>
      </w:r>
    </w:p>
    <w:p w14:paraId="0FFEF92C" w14:textId="77777777" w:rsidR="00884C4C" w:rsidRPr="002F0E6F" w:rsidRDefault="00884C4C" w:rsidP="000F2AEC">
      <w:pPr>
        <w:pStyle w:val="NumberlessNormalText"/>
        <w:spacing w:line="240" w:lineRule="auto"/>
        <w:ind w:right="0"/>
      </w:pPr>
      <w:r w:rsidRPr="002F0E6F">
        <w:t>Whether notional estate legislation should be introduced in Tasmania.</w:t>
      </w:r>
    </w:p>
    <w:p w14:paraId="612AD3D5" w14:textId="77777777" w:rsidR="00334220" w:rsidRPr="002F0E6F" w:rsidRDefault="00334220" w:rsidP="000F2AEC">
      <w:pPr>
        <w:pStyle w:val="NumberlessSectionHeading"/>
        <w:ind w:right="0"/>
        <w:outlineLvl w:val="0"/>
        <w:rPr>
          <w:sz w:val="22"/>
          <w:szCs w:val="22"/>
        </w:rPr>
      </w:pPr>
      <w:bookmarkStart w:id="16" w:name="_Toc515817988"/>
      <w:bookmarkStart w:id="17" w:name="_Toc519782122"/>
      <w:bookmarkStart w:id="18" w:name="_Toc2256842"/>
      <w:r w:rsidRPr="002F0E6F">
        <w:t>Acknowledgments</w:t>
      </w:r>
      <w:bookmarkEnd w:id="16"/>
      <w:bookmarkEnd w:id="17"/>
      <w:bookmarkEnd w:id="18"/>
      <w:r w:rsidRPr="002F0E6F">
        <w:t xml:space="preserve"> </w:t>
      </w:r>
    </w:p>
    <w:p w14:paraId="430D8E3C" w14:textId="150F5B05" w:rsidR="002025B1" w:rsidRPr="000F2AEC" w:rsidRDefault="00334220" w:rsidP="000F2AEC">
      <w:pPr>
        <w:pStyle w:val="NumberlessNormalText"/>
        <w:ind w:right="0"/>
      </w:pPr>
      <w:r w:rsidRPr="000F2AEC">
        <w:t>This</w:t>
      </w:r>
      <w:r w:rsidR="00891CE5" w:rsidRPr="000F2AEC">
        <w:t xml:space="preserve"> reference was given to the </w:t>
      </w:r>
      <w:r w:rsidR="0071771D" w:rsidRPr="000F2AEC">
        <w:t>Institute</w:t>
      </w:r>
      <w:r w:rsidR="002025B1" w:rsidRPr="000F2AEC">
        <w:t xml:space="preserve"> in December 2016 by the then Attorney-General, the Honourable Dr Vanessa Goodwin MLC, and later funded by the Tasmanian Government</w:t>
      </w:r>
      <w:r w:rsidR="00891CE5" w:rsidRPr="000F2AEC">
        <w:t xml:space="preserve"> from the Solicitors’ Guarantee Fund</w:t>
      </w:r>
      <w:r w:rsidR="00FF42B6" w:rsidRPr="000F2AEC">
        <w:t>, with a grant of $65,022</w:t>
      </w:r>
      <w:r w:rsidR="00891CE5" w:rsidRPr="000F2AEC">
        <w:t>. This</w:t>
      </w:r>
      <w:r w:rsidR="002025B1" w:rsidRPr="000F2AEC">
        <w:t xml:space="preserve"> </w:t>
      </w:r>
      <w:r w:rsidR="00780FA1">
        <w:t xml:space="preserve">Issues </w:t>
      </w:r>
      <w:r w:rsidR="002025B1" w:rsidRPr="000F2AEC">
        <w:t>Paper was prepared for the Board of the Tasmania Law Reform Institute by Mr Ken Mackie, Dr Elise Histed, Mr Dylan Richards</w:t>
      </w:r>
      <w:r w:rsidR="00F65105" w:rsidRPr="000F2AEC">
        <w:t xml:space="preserve"> and Mrs Kate Hanslow</w:t>
      </w:r>
      <w:r w:rsidR="002025B1" w:rsidRPr="000F2AEC">
        <w:t>.</w:t>
      </w:r>
      <w:r w:rsidR="006F41B5" w:rsidRPr="000F2AEC">
        <w:t xml:space="preserve"> </w:t>
      </w:r>
      <w:r w:rsidR="002025B1" w:rsidRPr="000F2AEC">
        <w:t xml:space="preserve">It addresses the question of whether Tasmania should introduce notional estate legislation. </w:t>
      </w:r>
    </w:p>
    <w:p w14:paraId="6EDBC888" w14:textId="77777777" w:rsidR="00C5194D" w:rsidRDefault="00C5194D">
      <w:pPr>
        <w:sectPr w:rsidR="00C5194D" w:rsidSect="000F2AEC">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pgNumType w:fmt="lowerRoman"/>
          <w:cols w:space="708"/>
          <w:titlePg/>
          <w:docGrid w:linePitch="360"/>
        </w:sectPr>
      </w:pPr>
    </w:p>
    <w:p w14:paraId="24FF047D" w14:textId="613E56C4" w:rsidR="00285825" w:rsidRPr="002F0E6F" w:rsidRDefault="00285825" w:rsidP="004079DF">
      <w:pPr>
        <w:pStyle w:val="NumberlessSectionHeading"/>
        <w:spacing w:before="0" w:after="360"/>
      </w:pPr>
      <w:bookmarkStart w:id="19" w:name="_Toc529879452"/>
      <w:bookmarkStart w:id="20" w:name="_Toc2256843"/>
      <w:bookmarkStart w:id="21" w:name="_Toc515817989"/>
      <w:bookmarkStart w:id="22" w:name="_Toc519782123"/>
      <w:r w:rsidRPr="002F0E6F">
        <w:lastRenderedPageBreak/>
        <w:t xml:space="preserve">Glossary and </w:t>
      </w:r>
      <w:bookmarkEnd w:id="19"/>
      <w:r w:rsidR="006F3292" w:rsidRPr="002F0E6F">
        <w:t>Abbreviations</w:t>
      </w:r>
      <w:bookmarkEnd w:id="20"/>
    </w:p>
    <w:p w14:paraId="31BEFF56" w14:textId="02C6F5BB" w:rsidR="00973515" w:rsidRPr="002F0E6F" w:rsidRDefault="00973515" w:rsidP="004079DF">
      <w:pPr>
        <w:pStyle w:val="NumberlessNormalText"/>
        <w:tabs>
          <w:tab w:val="clear" w:pos="851"/>
          <w:tab w:val="left" w:pos="3544"/>
        </w:tabs>
        <w:spacing w:before="120" w:after="120"/>
        <w:ind w:left="3544" w:hanging="3544"/>
      </w:pPr>
      <w:r w:rsidRPr="002F0E6F">
        <w:rPr>
          <w:b/>
        </w:rPr>
        <w:t>Administrator</w:t>
      </w:r>
      <w:r w:rsidRPr="002F0E6F">
        <w:tab/>
        <w:t xml:space="preserve">Someone who obtains a Grant of Letters of Administration from the Supreme Court of Tasmania </w:t>
      </w:r>
    </w:p>
    <w:p w14:paraId="26919B19" w14:textId="21061E59" w:rsidR="00285825" w:rsidRPr="002F0E6F" w:rsidRDefault="00285825" w:rsidP="004079DF">
      <w:pPr>
        <w:pStyle w:val="NumberlessNormalText"/>
        <w:tabs>
          <w:tab w:val="clear" w:pos="851"/>
          <w:tab w:val="left" w:pos="3544"/>
        </w:tabs>
        <w:spacing w:before="120" w:after="120"/>
        <w:ind w:left="3544" w:hanging="3544"/>
      </w:pPr>
      <w:r w:rsidRPr="002F0E6F">
        <w:rPr>
          <w:b/>
        </w:rPr>
        <w:t>Estate</w:t>
      </w:r>
      <w:r w:rsidRPr="002F0E6F">
        <w:tab/>
        <w:t>Assets held by the deceased at their death</w:t>
      </w:r>
      <w:r w:rsidR="00973515" w:rsidRPr="002F0E6F">
        <w:t xml:space="preserve"> or that are paid to the person’s legal personal representative</w:t>
      </w:r>
    </w:p>
    <w:p w14:paraId="296DA687" w14:textId="08173852" w:rsidR="00973515" w:rsidRPr="002F0E6F" w:rsidRDefault="00973515" w:rsidP="004079DF">
      <w:pPr>
        <w:pStyle w:val="NumberlessNormalText"/>
        <w:tabs>
          <w:tab w:val="clear" w:pos="851"/>
          <w:tab w:val="left" w:pos="3544"/>
        </w:tabs>
        <w:spacing w:before="120" w:after="120"/>
        <w:ind w:left="3544" w:hanging="3544"/>
      </w:pPr>
      <w:r w:rsidRPr="002F0E6F">
        <w:rPr>
          <w:b/>
        </w:rPr>
        <w:t>Executor</w:t>
      </w:r>
      <w:r w:rsidRPr="002F0E6F">
        <w:tab/>
        <w:t xml:space="preserve">Someone appointed under a </w:t>
      </w:r>
      <w:r w:rsidR="002437FC">
        <w:t>w</w:t>
      </w:r>
      <w:r w:rsidRPr="002F0E6F">
        <w:t>ill to administer the person’s estate</w:t>
      </w:r>
    </w:p>
    <w:p w14:paraId="3AF7E36D" w14:textId="09C72F9C" w:rsidR="00285825" w:rsidRPr="002F0E6F" w:rsidRDefault="00285825" w:rsidP="004079DF">
      <w:pPr>
        <w:pStyle w:val="NumberlessNormalText"/>
        <w:tabs>
          <w:tab w:val="clear" w:pos="851"/>
          <w:tab w:val="left" w:pos="3544"/>
        </w:tabs>
        <w:spacing w:before="120" w:after="120"/>
        <w:ind w:left="3544" w:hanging="3544"/>
      </w:pPr>
      <w:r w:rsidRPr="002F0E6F">
        <w:rPr>
          <w:b/>
        </w:rPr>
        <w:t>Family provision claim</w:t>
      </w:r>
      <w:r w:rsidRPr="002F0E6F">
        <w:tab/>
        <w:t>See ‘TFM claim’</w:t>
      </w:r>
    </w:p>
    <w:p w14:paraId="52DCA22A" w14:textId="11532455" w:rsidR="00285825" w:rsidRPr="002F0E6F" w:rsidRDefault="00285825" w:rsidP="004079DF">
      <w:pPr>
        <w:pStyle w:val="NumberlessNormalText"/>
        <w:tabs>
          <w:tab w:val="clear" w:pos="851"/>
          <w:tab w:val="left" w:pos="3544"/>
        </w:tabs>
        <w:spacing w:before="120" w:after="120"/>
        <w:ind w:left="3544" w:hanging="3544"/>
      </w:pPr>
      <w:r w:rsidRPr="002F0E6F">
        <w:rPr>
          <w:b/>
        </w:rPr>
        <w:t>Grant of Administration</w:t>
      </w:r>
      <w:r w:rsidRPr="002F0E6F">
        <w:t xml:space="preserve"> </w:t>
      </w:r>
      <w:r w:rsidRPr="002F0E6F">
        <w:tab/>
        <w:t>‘A legal document issued under the Seal of the Court which enables the person(s) named as Executor(s) or Administrator(s) to deal with the assets held by the deceased in Tasmania.’</w:t>
      </w:r>
      <w:r w:rsidRPr="002F0E6F">
        <w:rPr>
          <w:rStyle w:val="FootnoteReference"/>
        </w:rPr>
        <w:footnoteReference w:id="1"/>
      </w:r>
    </w:p>
    <w:p w14:paraId="75460FBA" w14:textId="086F961A" w:rsidR="00285825" w:rsidRPr="002F0E6F" w:rsidRDefault="00285825" w:rsidP="004079DF">
      <w:pPr>
        <w:pStyle w:val="NumberlessNormalText"/>
        <w:tabs>
          <w:tab w:val="clear" w:pos="851"/>
          <w:tab w:val="left" w:pos="3544"/>
        </w:tabs>
        <w:spacing w:before="120" w:after="120"/>
        <w:ind w:left="3544" w:hanging="3544"/>
      </w:pPr>
      <w:r w:rsidRPr="002F0E6F">
        <w:rPr>
          <w:b/>
        </w:rPr>
        <w:t>Grant of Probate</w:t>
      </w:r>
      <w:r w:rsidRPr="002F0E6F">
        <w:tab/>
        <w:t>‘Probate is the process of officially proving the validity of a Will as being the last Will of the deceased. A Grant of Probate is issued when the deceased’s last Will and testament is proved by one or more Executors named in the Will.’</w:t>
      </w:r>
      <w:r w:rsidRPr="002F0E6F">
        <w:rPr>
          <w:rStyle w:val="FootnoteReference"/>
        </w:rPr>
        <w:footnoteReference w:id="2"/>
      </w:r>
    </w:p>
    <w:p w14:paraId="08D6203C" w14:textId="19DACCF9" w:rsidR="00285825" w:rsidRPr="002F0E6F" w:rsidRDefault="00285825" w:rsidP="004079DF">
      <w:pPr>
        <w:pStyle w:val="NumberlessNormalText"/>
        <w:tabs>
          <w:tab w:val="clear" w:pos="851"/>
          <w:tab w:val="left" w:pos="3544"/>
        </w:tabs>
        <w:spacing w:before="120" w:after="120"/>
        <w:ind w:left="3544" w:hanging="3544"/>
      </w:pPr>
      <w:r w:rsidRPr="002F0E6F">
        <w:rPr>
          <w:b/>
        </w:rPr>
        <w:t>Grant of Letters of Administ</w:t>
      </w:r>
      <w:r w:rsidR="00884C4C" w:rsidRPr="002F0E6F">
        <w:rPr>
          <w:b/>
        </w:rPr>
        <w:t>r</w:t>
      </w:r>
      <w:r w:rsidRPr="002F0E6F">
        <w:rPr>
          <w:b/>
        </w:rPr>
        <w:t>ation</w:t>
      </w:r>
      <w:r w:rsidRPr="002F0E6F">
        <w:tab/>
        <w:t xml:space="preserve">A Grant made if a person dies without a </w:t>
      </w:r>
      <w:r w:rsidR="002F795E">
        <w:t>w</w:t>
      </w:r>
      <w:r w:rsidRPr="002F0E6F">
        <w:t>ill</w:t>
      </w:r>
    </w:p>
    <w:p w14:paraId="199F4C1B" w14:textId="350F5945" w:rsidR="00285825" w:rsidRPr="002F0E6F" w:rsidRDefault="00285825" w:rsidP="004079DF">
      <w:pPr>
        <w:pStyle w:val="NumberlessNormalText"/>
        <w:tabs>
          <w:tab w:val="clear" w:pos="851"/>
          <w:tab w:val="left" w:pos="3544"/>
        </w:tabs>
        <w:spacing w:before="120" w:after="120"/>
        <w:ind w:left="3544" w:hanging="3544"/>
      </w:pPr>
      <w:r w:rsidRPr="002F0E6F">
        <w:rPr>
          <w:b/>
        </w:rPr>
        <w:t>Intestacy</w:t>
      </w:r>
      <w:r w:rsidRPr="002F0E6F">
        <w:rPr>
          <w:b/>
        </w:rPr>
        <w:tab/>
      </w:r>
      <w:r w:rsidRPr="002F0E6F">
        <w:t>Where a person dies without a will that gifts the whole of their estate</w:t>
      </w:r>
    </w:p>
    <w:p w14:paraId="0AD560FB" w14:textId="28E068E9" w:rsidR="00973515" w:rsidRPr="002F0E6F" w:rsidRDefault="00973515" w:rsidP="004079DF">
      <w:pPr>
        <w:pStyle w:val="NumberlessNormalText"/>
        <w:tabs>
          <w:tab w:val="clear" w:pos="851"/>
          <w:tab w:val="left" w:pos="3544"/>
        </w:tabs>
        <w:spacing w:before="120" w:after="120"/>
        <w:ind w:left="3544" w:hanging="3544"/>
      </w:pPr>
      <w:r w:rsidRPr="002F0E6F">
        <w:rPr>
          <w:b/>
        </w:rPr>
        <w:t>Legal personal representative</w:t>
      </w:r>
      <w:r w:rsidRPr="002F0E6F">
        <w:tab/>
        <w:t xml:space="preserve">An executor or administrator who obtains a Grant of Administration </w:t>
      </w:r>
    </w:p>
    <w:p w14:paraId="7A8AA7F5" w14:textId="6CDA38DB" w:rsidR="00285825" w:rsidRPr="002F0E6F" w:rsidRDefault="00285825" w:rsidP="004079DF">
      <w:pPr>
        <w:pStyle w:val="NumberlessNormalText"/>
        <w:tabs>
          <w:tab w:val="clear" w:pos="851"/>
          <w:tab w:val="left" w:pos="3544"/>
        </w:tabs>
        <w:spacing w:before="120" w:after="120"/>
        <w:ind w:left="3544" w:hanging="3544"/>
      </w:pPr>
      <w:r w:rsidRPr="002F0E6F">
        <w:rPr>
          <w:b/>
        </w:rPr>
        <w:t>NSWLRC</w:t>
      </w:r>
      <w:r w:rsidRPr="002F0E6F">
        <w:tab/>
        <w:t>New South Wales Law Reform Commission</w:t>
      </w:r>
    </w:p>
    <w:p w14:paraId="484EE66E" w14:textId="4C090C0F" w:rsidR="00285825" w:rsidRPr="002F0E6F" w:rsidRDefault="00285825" w:rsidP="004079DF">
      <w:pPr>
        <w:pStyle w:val="NumberlessNormalText"/>
        <w:tabs>
          <w:tab w:val="clear" w:pos="851"/>
          <w:tab w:val="left" w:pos="3544"/>
        </w:tabs>
        <w:spacing w:before="120" w:after="120"/>
        <w:ind w:left="3544" w:hanging="3544"/>
      </w:pPr>
      <w:r w:rsidRPr="002F0E6F">
        <w:rPr>
          <w:b/>
        </w:rPr>
        <w:t>QLRC</w:t>
      </w:r>
      <w:r w:rsidRPr="002F0E6F">
        <w:tab/>
        <w:t>Queensland Law Reform Commission</w:t>
      </w:r>
    </w:p>
    <w:p w14:paraId="6AFA00F5" w14:textId="083B5BB6" w:rsidR="00285825" w:rsidRPr="002F0E6F" w:rsidRDefault="00285825" w:rsidP="004079DF">
      <w:pPr>
        <w:pStyle w:val="NumberlessNormalText"/>
        <w:tabs>
          <w:tab w:val="clear" w:pos="851"/>
          <w:tab w:val="left" w:pos="3544"/>
        </w:tabs>
        <w:spacing w:before="120" w:after="120"/>
        <w:ind w:left="3544" w:hanging="3544"/>
      </w:pPr>
      <w:r w:rsidRPr="002F0E6F">
        <w:rPr>
          <w:b/>
        </w:rPr>
        <w:t>SALRI</w:t>
      </w:r>
      <w:r w:rsidRPr="002F0E6F">
        <w:tab/>
        <w:t>South Australian Law Reform Institute</w:t>
      </w:r>
    </w:p>
    <w:p w14:paraId="0F376507" w14:textId="634283CD" w:rsidR="00285825" w:rsidRPr="002F0E6F" w:rsidRDefault="00285825" w:rsidP="004079DF">
      <w:pPr>
        <w:pStyle w:val="NumberlessNormalText"/>
        <w:tabs>
          <w:tab w:val="clear" w:pos="851"/>
          <w:tab w:val="left" w:pos="3544"/>
        </w:tabs>
        <w:spacing w:before="120" w:after="120"/>
        <w:ind w:left="3544" w:hanging="3544"/>
      </w:pPr>
      <w:r w:rsidRPr="002F0E6F">
        <w:rPr>
          <w:b/>
        </w:rPr>
        <w:t>Testator</w:t>
      </w:r>
      <w:r w:rsidRPr="002F0E6F">
        <w:tab/>
        <w:t>A person who makes a will</w:t>
      </w:r>
    </w:p>
    <w:p w14:paraId="5B2B8061" w14:textId="52833FCE" w:rsidR="00285825" w:rsidRPr="002F0E6F" w:rsidRDefault="00285825" w:rsidP="004079DF">
      <w:pPr>
        <w:pStyle w:val="NumberlessNormalText"/>
        <w:tabs>
          <w:tab w:val="clear" w:pos="851"/>
          <w:tab w:val="left" w:pos="3544"/>
        </w:tabs>
        <w:spacing w:before="120" w:after="120"/>
        <w:ind w:left="3544" w:hanging="3544"/>
      </w:pPr>
      <w:r w:rsidRPr="002F0E6F">
        <w:rPr>
          <w:b/>
        </w:rPr>
        <w:t>TFM claim</w:t>
      </w:r>
      <w:r w:rsidRPr="002F0E6F">
        <w:t xml:space="preserve"> </w:t>
      </w:r>
      <w:r w:rsidRPr="002F0E6F">
        <w:tab/>
        <w:t>A claim by an eligible applicant for provision, or additional provision</w:t>
      </w:r>
      <w:r w:rsidR="00F432BE">
        <w:t>,</w:t>
      </w:r>
      <w:r w:rsidRPr="002F0E6F">
        <w:t xml:space="preserve"> from a deceased’s estate under the </w:t>
      </w:r>
      <w:r w:rsidRPr="00B84970">
        <w:rPr>
          <w:i/>
        </w:rPr>
        <w:t>Testator’s Family Maintenance Act 1912</w:t>
      </w:r>
      <w:r w:rsidRPr="002F0E6F">
        <w:t xml:space="preserve"> (Tas) (or equivalent provisions in other jurisdictions)</w:t>
      </w:r>
    </w:p>
    <w:p w14:paraId="2EE8E3FA" w14:textId="35FABD01" w:rsidR="00285825" w:rsidRPr="002F0E6F" w:rsidRDefault="00B56067" w:rsidP="004079DF">
      <w:pPr>
        <w:pStyle w:val="NumberlessNormalText"/>
        <w:tabs>
          <w:tab w:val="clear" w:pos="851"/>
          <w:tab w:val="left" w:pos="3544"/>
        </w:tabs>
        <w:spacing w:before="120" w:after="120"/>
        <w:ind w:left="3544" w:hanging="3544"/>
      </w:pPr>
      <w:r w:rsidRPr="00265FFB">
        <w:rPr>
          <w:b/>
          <w:i/>
        </w:rPr>
        <w:t xml:space="preserve">TFM </w:t>
      </w:r>
      <w:r w:rsidR="00285825" w:rsidRPr="00265FFB">
        <w:rPr>
          <w:b/>
          <w:i/>
        </w:rPr>
        <w:t>Act</w:t>
      </w:r>
      <w:r w:rsidR="00285825" w:rsidRPr="002F0E6F">
        <w:t xml:space="preserve"> </w:t>
      </w:r>
      <w:r w:rsidR="00285825" w:rsidRPr="002F0E6F">
        <w:tab/>
      </w:r>
      <w:r w:rsidR="00285825" w:rsidRPr="006F3292">
        <w:rPr>
          <w:i/>
        </w:rPr>
        <w:t>Testator’s Family Maintenance Act 1912</w:t>
      </w:r>
      <w:r w:rsidR="00285825" w:rsidRPr="002F0E6F">
        <w:t xml:space="preserve"> (Tas)</w:t>
      </w:r>
    </w:p>
    <w:p w14:paraId="377EC663" w14:textId="5101327D" w:rsidR="00285825" w:rsidRPr="002F0E6F" w:rsidRDefault="00285825" w:rsidP="004079DF">
      <w:pPr>
        <w:pStyle w:val="NumberlessNormalText"/>
        <w:tabs>
          <w:tab w:val="clear" w:pos="851"/>
          <w:tab w:val="left" w:pos="3544"/>
        </w:tabs>
        <w:spacing w:before="120" w:after="120"/>
        <w:ind w:left="3544" w:hanging="3544"/>
      </w:pPr>
      <w:r w:rsidRPr="00EE29FF">
        <w:rPr>
          <w:b/>
        </w:rPr>
        <w:t>NSW</w:t>
      </w:r>
      <w:r w:rsidRPr="00265FFB">
        <w:rPr>
          <w:b/>
          <w:i/>
        </w:rPr>
        <w:t xml:space="preserve"> </w:t>
      </w:r>
      <w:r w:rsidR="00265FFB" w:rsidRPr="00265FFB">
        <w:rPr>
          <w:b/>
          <w:i/>
        </w:rPr>
        <w:t xml:space="preserve">Succession </w:t>
      </w:r>
      <w:r w:rsidRPr="00265FFB">
        <w:rPr>
          <w:b/>
          <w:i/>
        </w:rPr>
        <w:t>Act</w:t>
      </w:r>
      <w:r w:rsidRPr="002F0E6F">
        <w:tab/>
      </w:r>
      <w:r w:rsidRPr="006F3292">
        <w:rPr>
          <w:i/>
        </w:rPr>
        <w:t>Succession Act 2006</w:t>
      </w:r>
      <w:r w:rsidRPr="002F0E6F">
        <w:t xml:space="preserve"> (NSW)</w:t>
      </w:r>
    </w:p>
    <w:p w14:paraId="3F36CC03" w14:textId="65FC8A04" w:rsidR="00C80BA9" w:rsidRPr="002F0E6F" w:rsidRDefault="00285825" w:rsidP="004079DF">
      <w:pPr>
        <w:pStyle w:val="NumberlessNormalText"/>
        <w:tabs>
          <w:tab w:val="clear" w:pos="851"/>
          <w:tab w:val="left" w:pos="3544"/>
        </w:tabs>
        <w:spacing w:before="120" w:after="120"/>
        <w:ind w:left="3544" w:hanging="3544"/>
        <w:rPr>
          <w:rFonts w:ascii="Garamond" w:hAnsi="Garamond"/>
          <w:b/>
          <w:sz w:val="32"/>
        </w:rPr>
      </w:pPr>
      <w:r w:rsidRPr="002F0E6F">
        <w:rPr>
          <w:b/>
        </w:rPr>
        <w:t>VLRC</w:t>
      </w:r>
      <w:r w:rsidRPr="002F0E6F">
        <w:tab/>
        <w:t>Victorian Law Reform Commission</w:t>
      </w:r>
      <w:bookmarkEnd w:id="21"/>
      <w:bookmarkEnd w:id="22"/>
    </w:p>
    <w:p w14:paraId="04D99B51" w14:textId="77777777" w:rsidR="00C80BA9" w:rsidRPr="002F0E6F" w:rsidRDefault="00C80BA9" w:rsidP="00C80BA9">
      <w:pPr>
        <w:tabs>
          <w:tab w:val="left" w:pos="851"/>
        </w:tabs>
        <w:spacing w:before="220" w:after="220" w:line="276" w:lineRule="auto"/>
        <w:ind w:right="142"/>
        <w:jc w:val="both"/>
        <w:rPr>
          <w:rFonts w:ascii="Garamond" w:eastAsia="Times" w:hAnsi="Garamond" w:cs="Times New Roman"/>
          <w:sz w:val="23"/>
          <w:szCs w:val="23"/>
        </w:rPr>
      </w:pPr>
    </w:p>
    <w:p w14:paraId="2B2823F4" w14:textId="55EA7AB4" w:rsidR="00C80BA9" w:rsidRPr="002F0E6F" w:rsidRDefault="00C80BA9" w:rsidP="00C80BA9">
      <w:pPr>
        <w:tabs>
          <w:tab w:val="left" w:pos="851"/>
        </w:tabs>
        <w:spacing w:before="220" w:after="220" w:line="276" w:lineRule="auto"/>
        <w:ind w:right="142"/>
        <w:jc w:val="both"/>
        <w:rPr>
          <w:rFonts w:ascii="Garamond" w:eastAsia="Times" w:hAnsi="Garamond" w:cs="Times New Roman"/>
          <w:sz w:val="23"/>
          <w:szCs w:val="23"/>
        </w:rPr>
        <w:sectPr w:rsidR="00C80BA9" w:rsidRPr="002F0E6F" w:rsidSect="000F2AEC">
          <w:headerReference w:type="even" r:id="rId29"/>
          <w:headerReference w:type="default" r:id="rId30"/>
          <w:headerReference w:type="first" r:id="rId31"/>
          <w:footerReference w:type="first" r:id="rId32"/>
          <w:pgSz w:w="11906" w:h="16838" w:code="9"/>
          <w:pgMar w:top="1440" w:right="1440" w:bottom="1440" w:left="1440" w:header="709" w:footer="709" w:gutter="0"/>
          <w:pgNumType w:fmt="lowerRoman"/>
          <w:cols w:space="708"/>
          <w:titlePg/>
          <w:docGrid w:linePitch="360"/>
        </w:sectPr>
      </w:pPr>
    </w:p>
    <w:p w14:paraId="3DF823F4" w14:textId="5A78A36B" w:rsidR="00C80BA9" w:rsidRPr="002F0E6F" w:rsidRDefault="00C80BA9" w:rsidP="005D6D60">
      <w:pPr>
        <w:pStyle w:val="NumberlessSectionHeading"/>
      </w:pPr>
      <w:bookmarkStart w:id="23" w:name="_Toc515817991"/>
      <w:bookmarkStart w:id="24" w:name="_Toc519782125"/>
      <w:bookmarkStart w:id="25" w:name="_Toc2256844"/>
      <w:r w:rsidRPr="002F0E6F">
        <w:lastRenderedPageBreak/>
        <w:t>Executive Summary</w:t>
      </w:r>
      <w:bookmarkEnd w:id="23"/>
      <w:bookmarkEnd w:id="24"/>
      <w:bookmarkEnd w:id="25"/>
    </w:p>
    <w:p w14:paraId="0FE4BD9A" w14:textId="1ED17531" w:rsidR="00873AED" w:rsidRPr="002F0E6F" w:rsidRDefault="002041D9" w:rsidP="000F2AEC">
      <w:pPr>
        <w:pStyle w:val="NumberlessNormalText"/>
        <w:ind w:right="0"/>
      </w:pPr>
      <w:r w:rsidRPr="002F0E6F">
        <w:t>I</w:t>
      </w:r>
      <w:r w:rsidR="00873AED" w:rsidRPr="002F0E6F">
        <w:t xml:space="preserve">n Australia, all capable adults are able to make a </w:t>
      </w:r>
      <w:r w:rsidR="002D031A" w:rsidRPr="002F0E6F">
        <w:t xml:space="preserve">document (called a </w:t>
      </w:r>
      <w:r w:rsidR="00873AED" w:rsidRPr="002F0E6F">
        <w:t>will</w:t>
      </w:r>
      <w:r w:rsidR="002D031A" w:rsidRPr="002F0E6F">
        <w:t>)</w:t>
      </w:r>
      <w:r w:rsidR="00873AED" w:rsidRPr="002F0E6F">
        <w:t xml:space="preserve"> that </w:t>
      </w:r>
      <w:r w:rsidR="002D031A" w:rsidRPr="002F0E6F">
        <w:t>outlines what is to happen to their assets</w:t>
      </w:r>
      <w:r w:rsidR="00873AED" w:rsidRPr="002F0E6F">
        <w:t xml:space="preserve"> </w:t>
      </w:r>
      <w:r w:rsidR="002D031A" w:rsidRPr="002F0E6F">
        <w:t>(called their ‘estate’) after</w:t>
      </w:r>
      <w:r w:rsidR="00873AED" w:rsidRPr="002F0E6F">
        <w:t xml:space="preserve"> their death. There are no fixed amounts that must be </w:t>
      </w:r>
      <w:r w:rsidR="002D031A" w:rsidRPr="002F0E6F">
        <w:t>left</w:t>
      </w:r>
      <w:r w:rsidR="00873AED" w:rsidRPr="002F0E6F">
        <w:t xml:space="preserve"> to family members and the person is free to choose how they want their estate dealt with.</w:t>
      </w:r>
      <w:r w:rsidR="00254210" w:rsidRPr="002F0E6F">
        <w:t xml:space="preserve"> A person could, for example, leave all of their estate to charity </w:t>
      </w:r>
      <w:r w:rsidR="00044426">
        <w:t xml:space="preserve">or friends </w:t>
      </w:r>
      <w:r w:rsidR="00254210" w:rsidRPr="002F0E6F">
        <w:t xml:space="preserve">and not gift anything to </w:t>
      </w:r>
      <w:r w:rsidR="00884C4C" w:rsidRPr="002F0E6F">
        <w:t>their</w:t>
      </w:r>
      <w:r w:rsidR="00254210" w:rsidRPr="002F0E6F">
        <w:t xml:space="preserve"> spouse or child. </w:t>
      </w:r>
    </w:p>
    <w:p w14:paraId="253ED78F" w14:textId="065FBCE6" w:rsidR="00873AED" w:rsidRPr="002F0E6F" w:rsidRDefault="00873AED" w:rsidP="000F2AEC">
      <w:pPr>
        <w:pStyle w:val="NumberlessNormalText"/>
        <w:ind w:right="0"/>
      </w:pPr>
      <w:r w:rsidRPr="002F0E6F">
        <w:t xml:space="preserve">There are, however, laws in each </w:t>
      </w:r>
      <w:r w:rsidR="002D031A" w:rsidRPr="002F0E6F">
        <w:t>state and territory</w:t>
      </w:r>
      <w:r w:rsidRPr="002F0E6F">
        <w:t xml:space="preserve"> of Australia that enable </w:t>
      </w:r>
      <w:r w:rsidR="0037607F" w:rsidRPr="002F0E6F">
        <w:t xml:space="preserve">limited </w:t>
      </w:r>
      <w:r w:rsidRPr="002F0E6F">
        <w:t xml:space="preserve">classes </w:t>
      </w:r>
      <w:r w:rsidR="0037607F" w:rsidRPr="002F0E6F">
        <w:t xml:space="preserve">of </w:t>
      </w:r>
      <w:r w:rsidR="002D031A" w:rsidRPr="002F0E6F">
        <w:t>people</w:t>
      </w:r>
      <w:r w:rsidR="0037607F" w:rsidRPr="002F0E6F">
        <w:t xml:space="preserve"> to </w:t>
      </w:r>
      <w:r w:rsidRPr="002F0E6F">
        <w:t xml:space="preserve">claim </w:t>
      </w:r>
      <w:r w:rsidR="002D031A" w:rsidRPr="002F0E6F">
        <w:t>a share (or a larger share) of</w:t>
      </w:r>
      <w:r w:rsidRPr="002F0E6F">
        <w:t xml:space="preserve"> a person’s estate after their death. These are often referred to as ‘TFM claims’ or ‘family provision’ claims. </w:t>
      </w:r>
      <w:r w:rsidR="00606044" w:rsidRPr="002F0E6F">
        <w:t xml:space="preserve">In Tasmania, these laws are contained in the </w:t>
      </w:r>
      <w:r w:rsidR="00606044" w:rsidRPr="002F0E6F">
        <w:rPr>
          <w:i/>
        </w:rPr>
        <w:t>Testator’s Family Maintenance Act 1912</w:t>
      </w:r>
      <w:r w:rsidR="00606044" w:rsidRPr="002F0E6F">
        <w:t xml:space="preserve"> (Tas) (</w:t>
      </w:r>
      <w:r w:rsidR="007315D5" w:rsidRPr="002F0E6F">
        <w:t>‘</w:t>
      </w:r>
      <w:r w:rsidR="002437FC" w:rsidRPr="00D51583">
        <w:rPr>
          <w:i/>
        </w:rPr>
        <w:t xml:space="preserve">TFM </w:t>
      </w:r>
      <w:r w:rsidR="00606044" w:rsidRPr="00D51583">
        <w:rPr>
          <w:i/>
        </w:rPr>
        <w:t>Act</w:t>
      </w:r>
      <w:r w:rsidR="00606044" w:rsidRPr="00D51583">
        <w:t>’</w:t>
      </w:r>
      <w:r w:rsidR="00606044" w:rsidRPr="002F0E6F">
        <w:t>). T</w:t>
      </w:r>
      <w:r w:rsidR="00037043" w:rsidRPr="002F0E6F">
        <w:t>hose</w:t>
      </w:r>
      <w:r w:rsidR="002D031A" w:rsidRPr="002F0E6F">
        <w:t xml:space="preserve"> able</w:t>
      </w:r>
      <w:r w:rsidRPr="002F0E6F">
        <w:t xml:space="preserve"> </w:t>
      </w:r>
      <w:r w:rsidR="002D031A" w:rsidRPr="002F0E6F">
        <w:t>to make a TFM claim</w:t>
      </w:r>
      <w:r w:rsidRPr="002F0E6F">
        <w:t xml:space="preserve"> are limited to</w:t>
      </w:r>
      <w:r w:rsidR="002D031A" w:rsidRPr="002F0E6F">
        <w:t xml:space="preserve"> the</w:t>
      </w:r>
      <w:r w:rsidRPr="002F0E6F">
        <w:t xml:space="preserve"> spouse and children of the deceased, or the deceased’s parents where they did not have a spouse or child. </w:t>
      </w:r>
      <w:r w:rsidR="00884C4C" w:rsidRPr="002F0E6F">
        <w:t>A person may wish to make a claim because</w:t>
      </w:r>
      <w:r w:rsidRPr="002F0E6F">
        <w:t xml:space="preserve"> </w:t>
      </w:r>
      <w:r w:rsidR="00884C4C" w:rsidRPr="002F0E6F">
        <w:t>they were not</w:t>
      </w:r>
      <w:r w:rsidRPr="002F0E6F">
        <w:t xml:space="preserve"> </w:t>
      </w:r>
      <w:r w:rsidR="002D031A" w:rsidRPr="002F0E6F">
        <w:t xml:space="preserve">left anything </w:t>
      </w:r>
      <w:r w:rsidRPr="002F0E6F">
        <w:t xml:space="preserve">under </w:t>
      </w:r>
      <w:r w:rsidR="004E494B" w:rsidRPr="002F0E6F">
        <w:t>a</w:t>
      </w:r>
      <w:r w:rsidRPr="002F0E6F">
        <w:t xml:space="preserve"> will, or they </w:t>
      </w:r>
      <w:r w:rsidR="002D031A" w:rsidRPr="002F0E6F">
        <w:t>may c</w:t>
      </w:r>
      <w:r w:rsidRPr="002F0E6F">
        <w:t xml:space="preserve">onsider </w:t>
      </w:r>
      <w:r w:rsidR="002D031A" w:rsidRPr="002F0E6F">
        <w:t>that what they were provided is not</w:t>
      </w:r>
      <w:r w:rsidRPr="002F0E6F">
        <w:t xml:space="preserve"> adequate </w:t>
      </w:r>
      <w:r w:rsidR="002D031A" w:rsidRPr="002F0E6F">
        <w:t>or</w:t>
      </w:r>
      <w:r w:rsidRPr="002F0E6F">
        <w:t xml:space="preserve"> proper in the circumstances. It is equally possible for </w:t>
      </w:r>
      <w:r w:rsidR="004E494B" w:rsidRPr="002F0E6F">
        <w:t xml:space="preserve">someone </w:t>
      </w:r>
      <w:r w:rsidRPr="002F0E6F">
        <w:t xml:space="preserve">to challenge the amount they are entitled to receive under the law of intestacy, where </w:t>
      </w:r>
      <w:r w:rsidR="004E494B" w:rsidRPr="002F0E6F">
        <w:t xml:space="preserve">legislation sets out who is to receive a person’s estate and in what shares </w:t>
      </w:r>
      <w:r w:rsidR="002437FC">
        <w:t>when</w:t>
      </w:r>
      <w:r w:rsidR="002437FC" w:rsidRPr="002F0E6F">
        <w:t xml:space="preserve"> </w:t>
      </w:r>
      <w:r w:rsidR="004E494B" w:rsidRPr="002F0E6F">
        <w:t>a person</w:t>
      </w:r>
      <w:r w:rsidRPr="002F0E6F">
        <w:t xml:space="preserve"> dies without a valid will deal</w:t>
      </w:r>
      <w:r w:rsidR="004E494B" w:rsidRPr="002F0E6F">
        <w:t>ing</w:t>
      </w:r>
      <w:r w:rsidRPr="002F0E6F">
        <w:t xml:space="preserve"> with the distribution of their estate. </w:t>
      </w:r>
    </w:p>
    <w:p w14:paraId="6412E3EF" w14:textId="6DB35A2A" w:rsidR="00741BFB" w:rsidRPr="002F0E6F" w:rsidRDefault="00873AED" w:rsidP="000F2AEC">
      <w:pPr>
        <w:pStyle w:val="NumberlessNormalText"/>
        <w:ind w:right="0"/>
      </w:pPr>
      <w:r w:rsidRPr="002F0E6F">
        <w:t>A</w:t>
      </w:r>
      <w:r w:rsidR="004E494B" w:rsidRPr="002F0E6F">
        <w:t xml:space="preserve"> person (an ‘applicant’) commences a TFM claim by filing an application with the Supreme Court of Tasmania, </w:t>
      </w:r>
      <w:r w:rsidR="002437FC">
        <w:t>which</w:t>
      </w:r>
      <w:r w:rsidR="002437FC" w:rsidRPr="002F0E6F">
        <w:t xml:space="preserve"> </w:t>
      </w:r>
      <w:r w:rsidR="004E494B" w:rsidRPr="002F0E6F">
        <w:t xml:space="preserve">determines a claim if the matter cannot be resolved </w:t>
      </w:r>
      <w:r w:rsidR="0023503C" w:rsidRPr="002F0E6F">
        <w:t xml:space="preserve">by agreement </w:t>
      </w:r>
      <w:r w:rsidR="004E494B" w:rsidRPr="002F0E6F">
        <w:t>amongst the parties.</w:t>
      </w:r>
      <w:r w:rsidRPr="002F0E6F">
        <w:t xml:space="preserve"> </w:t>
      </w:r>
      <w:r w:rsidR="004E494B" w:rsidRPr="002F0E6F">
        <w:t>The applicant</w:t>
      </w:r>
      <w:r w:rsidRPr="002F0E6F">
        <w:t xml:space="preserve"> must satisfy the </w:t>
      </w:r>
      <w:r w:rsidR="004E494B" w:rsidRPr="002F0E6F">
        <w:t>C</w:t>
      </w:r>
      <w:r w:rsidRPr="002F0E6F">
        <w:t xml:space="preserve">ourt that they have been left without adequate provision for their proper maintenance and support. The Court will consider a range of factors </w:t>
      </w:r>
      <w:r w:rsidR="0023503C" w:rsidRPr="002F0E6F">
        <w:t xml:space="preserve">in its discretion, but this usually includes consideration of </w:t>
      </w:r>
      <w:r w:rsidRPr="002F0E6F">
        <w:t>the size of the estate available, the nature and quality of the relationship between the applicant and the deceased, the competing claims of the beneficiaries</w:t>
      </w:r>
      <w:r w:rsidR="00741BFB" w:rsidRPr="002F0E6F">
        <w:t xml:space="preserve">, </w:t>
      </w:r>
      <w:r w:rsidRPr="002F0E6F">
        <w:t xml:space="preserve">the </w:t>
      </w:r>
      <w:r w:rsidR="00741BFB" w:rsidRPr="002F0E6F">
        <w:t>financial need of the applicant and any reasons</w:t>
      </w:r>
      <w:r w:rsidR="004E494B" w:rsidRPr="002F0E6F">
        <w:t xml:space="preserve"> ascertained for</w:t>
      </w:r>
      <w:r w:rsidR="00741BFB" w:rsidRPr="002F0E6F">
        <w:t xml:space="preserve"> why the deceased wished to gift their estate as they did. The </w:t>
      </w:r>
      <w:r w:rsidR="00884C4C" w:rsidRPr="002F0E6F">
        <w:t>C</w:t>
      </w:r>
      <w:r w:rsidR="00741BFB" w:rsidRPr="002F0E6F">
        <w:t xml:space="preserve">ourt can </w:t>
      </w:r>
      <w:r w:rsidR="004E494B" w:rsidRPr="002F0E6F">
        <w:t>decline to make provision for an applicant where it determines</w:t>
      </w:r>
      <w:r w:rsidR="00741BFB" w:rsidRPr="002F0E6F">
        <w:t xml:space="preserve"> that </w:t>
      </w:r>
      <w:r w:rsidR="004E494B" w:rsidRPr="002F0E6F">
        <w:t>the</w:t>
      </w:r>
      <w:r w:rsidR="00741BFB" w:rsidRPr="002F0E6F">
        <w:t xml:space="preserve"> person has disentitled themselves due to their conduct. This might arise, for example, where there has been violence </w:t>
      </w:r>
      <w:r w:rsidR="0023503C" w:rsidRPr="002F0E6F">
        <w:t xml:space="preserve">or abuse </w:t>
      </w:r>
      <w:r w:rsidR="00741BFB" w:rsidRPr="002F0E6F">
        <w:t xml:space="preserve">inflicted upon the deceased by the applicant or other relevant family history. </w:t>
      </w:r>
    </w:p>
    <w:p w14:paraId="73881916" w14:textId="468D4EC4" w:rsidR="002C3DFE" w:rsidRPr="002F0E6F" w:rsidRDefault="00741BFB" w:rsidP="000F2AEC">
      <w:pPr>
        <w:pStyle w:val="NumberlessNormalText"/>
        <w:ind w:right="0"/>
      </w:pPr>
      <w:r w:rsidRPr="002F0E6F">
        <w:t xml:space="preserve">If the </w:t>
      </w:r>
      <w:r w:rsidR="00884C4C" w:rsidRPr="002F0E6F">
        <w:t>C</w:t>
      </w:r>
      <w:r w:rsidRPr="002F0E6F">
        <w:t>ourt is satisfied that an applicant meets the test outlined in the legislation, it may order that the applicant receive an amount (or additional amount) from the deceased’s estate.</w:t>
      </w:r>
    </w:p>
    <w:p w14:paraId="2166513C" w14:textId="0D4FE087" w:rsidR="005C72CF" w:rsidRPr="002F0E6F" w:rsidRDefault="00741BFB" w:rsidP="000F2AEC">
      <w:pPr>
        <w:pStyle w:val="NumberlessNormalText"/>
        <w:ind w:right="0"/>
      </w:pPr>
      <w:r w:rsidRPr="002F0E6F">
        <w:t xml:space="preserve">In all Australian jurisdictions other than New South Wales, </w:t>
      </w:r>
      <w:r w:rsidR="00973515" w:rsidRPr="002F0E6F">
        <w:t>a</w:t>
      </w:r>
      <w:r w:rsidRPr="002F0E6F">
        <w:t xml:space="preserve"> </w:t>
      </w:r>
      <w:r w:rsidR="00973515" w:rsidRPr="002F0E6F">
        <w:t>c</w:t>
      </w:r>
      <w:r w:rsidRPr="002F0E6F">
        <w:t xml:space="preserve">ourt may only </w:t>
      </w:r>
      <w:r w:rsidR="00236E50" w:rsidRPr="002F0E6F">
        <w:t>make</w:t>
      </w:r>
      <w:r w:rsidRPr="002F0E6F">
        <w:t xml:space="preserve"> provision for a successful </w:t>
      </w:r>
      <w:r w:rsidR="00236E50" w:rsidRPr="002F0E6F">
        <w:t xml:space="preserve">TFM </w:t>
      </w:r>
      <w:r w:rsidRPr="002F0E6F">
        <w:t xml:space="preserve">applicant from the deceased’s estate. It is possible </w:t>
      </w:r>
      <w:r w:rsidR="005C72CF" w:rsidRPr="002F0E6F">
        <w:t>for</w:t>
      </w:r>
      <w:r w:rsidRPr="002F0E6F">
        <w:t xml:space="preserve"> a person who </w:t>
      </w:r>
      <w:r w:rsidR="00236E50" w:rsidRPr="002F0E6F">
        <w:t>might</w:t>
      </w:r>
      <w:r w:rsidRPr="002F0E6F">
        <w:t xml:space="preserve"> be considered wealthy </w:t>
      </w:r>
      <w:r w:rsidR="005C72CF" w:rsidRPr="002F0E6F">
        <w:t>to</w:t>
      </w:r>
      <w:r w:rsidRPr="002F0E6F">
        <w:t xml:space="preserve"> die with very little </w:t>
      </w:r>
      <w:r w:rsidR="005C72CF" w:rsidRPr="002F0E6F">
        <w:t xml:space="preserve">(if anything) </w:t>
      </w:r>
      <w:r w:rsidRPr="002F0E6F">
        <w:t xml:space="preserve">in their estate. This might occur where the person owns property with another person as a joint tenant, or where assets are held in superannuation funds or trusts. </w:t>
      </w:r>
      <w:r w:rsidR="005C72CF" w:rsidRPr="002F0E6F">
        <w:t xml:space="preserve">A person may make gifts before their death, with </w:t>
      </w:r>
      <w:r w:rsidR="00817844" w:rsidRPr="002F0E6F">
        <w:t>any</w:t>
      </w:r>
      <w:r w:rsidR="005C72CF" w:rsidRPr="002F0E6F">
        <w:t xml:space="preserve"> assets gifted then ceasing to be part of the</w:t>
      </w:r>
      <w:r w:rsidR="00647E80" w:rsidRPr="002F0E6F">
        <w:t xml:space="preserve">ir </w:t>
      </w:r>
      <w:r w:rsidR="005C72CF" w:rsidRPr="002F0E6F">
        <w:t xml:space="preserve">estate. </w:t>
      </w:r>
      <w:r w:rsidRPr="002F0E6F">
        <w:t xml:space="preserve">Assets </w:t>
      </w:r>
      <w:r w:rsidR="00647E80" w:rsidRPr="002F0E6F">
        <w:t>may</w:t>
      </w:r>
      <w:r w:rsidRPr="002F0E6F">
        <w:t xml:space="preserve"> also pass to beneficiaries outside of a person’s estate, for example, </w:t>
      </w:r>
      <w:r w:rsidR="00BA659E" w:rsidRPr="002F0E6F">
        <w:t>where</w:t>
      </w:r>
      <w:r w:rsidRPr="002F0E6F">
        <w:t xml:space="preserve"> superannuation or life insurance proceeds </w:t>
      </w:r>
      <w:r w:rsidR="00BA659E" w:rsidRPr="002F0E6F">
        <w:t>are</w:t>
      </w:r>
      <w:r w:rsidRPr="002F0E6F">
        <w:t xml:space="preserve"> paid directly to beneficiaries rather than to the person’s legal personal representative. </w:t>
      </w:r>
    </w:p>
    <w:p w14:paraId="13D6AF09" w14:textId="77081527" w:rsidR="00741BFB" w:rsidRPr="002F0E6F" w:rsidRDefault="00236E50" w:rsidP="000F2AEC">
      <w:pPr>
        <w:pStyle w:val="NumberlessNormalText"/>
        <w:ind w:right="0"/>
      </w:pPr>
      <w:r w:rsidRPr="002F0E6F">
        <w:t>Th</w:t>
      </w:r>
      <w:r w:rsidR="005C72CF" w:rsidRPr="002F0E6F">
        <w:t xml:space="preserve">ese arrangements may not be made to intentionally defeat potential TFM claims </w:t>
      </w:r>
      <w:r w:rsidRPr="002F0E6F">
        <w:t xml:space="preserve">and might </w:t>
      </w:r>
      <w:r w:rsidR="00606044" w:rsidRPr="002F0E6F">
        <w:t>exist</w:t>
      </w:r>
      <w:r w:rsidRPr="002F0E6F">
        <w:t xml:space="preserve"> for other reasons </w:t>
      </w:r>
      <w:r w:rsidR="00BE1BC2" w:rsidRPr="002F0E6F">
        <w:t>—</w:t>
      </w:r>
      <w:r w:rsidRPr="002F0E6F">
        <w:t xml:space="preserve"> for example, for asset protection or taxation purposes</w:t>
      </w:r>
      <w:r w:rsidR="005C72CF" w:rsidRPr="002F0E6F">
        <w:t xml:space="preserve">, or to reward or compensate an individual who has </w:t>
      </w:r>
      <w:r w:rsidR="00647E80" w:rsidRPr="002F0E6F">
        <w:t xml:space="preserve">provided </w:t>
      </w:r>
      <w:r w:rsidR="00606044" w:rsidRPr="002F0E6F">
        <w:t xml:space="preserve">someone with </w:t>
      </w:r>
      <w:r w:rsidR="00647E80" w:rsidRPr="002F0E6F">
        <w:t>assistance</w:t>
      </w:r>
      <w:r w:rsidR="005C72CF" w:rsidRPr="002F0E6F">
        <w:t xml:space="preserve"> (in the case of gifts)</w:t>
      </w:r>
      <w:r w:rsidRPr="002F0E6F">
        <w:t xml:space="preserve">. These </w:t>
      </w:r>
      <w:r w:rsidRPr="002F0E6F">
        <w:lastRenderedPageBreak/>
        <w:t xml:space="preserve">arrangements might, on the other hand, be intentional in order to reduce what is available to challenge if </w:t>
      </w:r>
      <w:r w:rsidR="005C72CF" w:rsidRPr="002F0E6F">
        <w:t>someone</w:t>
      </w:r>
      <w:r w:rsidRPr="002F0E6F">
        <w:t xml:space="preserve"> </w:t>
      </w:r>
      <w:r w:rsidR="005C72CF" w:rsidRPr="002F0E6F">
        <w:t>were</w:t>
      </w:r>
      <w:r w:rsidRPr="002F0E6F">
        <w:t xml:space="preserve"> to make a TFM claim after </w:t>
      </w:r>
      <w:r w:rsidR="00647E80" w:rsidRPr="002F0E6F">
        <w:t>a person’s</w:t>
      </w:r>
      <w:r w:rsidRPr="002F0E6F">
        <w:t xml:space="preserve"> death</w:t>
      </w:r>
      <w:r w:rsidR="0023503C" w:rsidRPr="002F0E6F">
        <w:t xml:space="preserve">. </w:t>
      </w:r>
      <w:r w:rsidRPr="002F0E6F">
        <w:t xml:space="preserve">In either </w:t>
      </w:r>
      <w:r w:rsidR="005C72CF" w:rsidRPr="002F0E6F">
        <w:t>case</w:t>
      </w:r>
      <w:r w:rsidRPr="002F0E6F">
        <w:t xml:space="preserve">, the effect </w:t>
      </w:r>
      <w:r w:rsidR="005C72CF" w:rsidRPr="002F0E6F">
        <w:t>is</w:t>
      </w:r>
      <w:r w:rsidR="0023503C" w:rsidRPr="002F0E6F">
        <w:t xml:space="preserve"> the same: the result is to </w:t>
      </w:r>
      <w:r w:rsidRPr="002F0E6F">
        <w:t xml:space="preserve">significantly reduce, and sometimes eliminate, the possibility of </w:t>
      </w:r>
      <w:r w:rsidR="0023503C" w:rsidRPr="002F0E6F">
        <w:t xml:space="preserve">the </w:t>
      </w:r>
      <w:r w:rsidR="00BE5F4C">
        <w:t>C</w:t>
      </w:r>
      <w:r w:rsidR="0023503C" w:rsidRPr="002F0E6F">
        <w:t xml:space="preserve">ourt </w:t>
      </w:r>
      <w:r w:rsidR="00606044" w:rsidRPr="002F0E6F">
        <w:t>awarding an applicant further</w:t>
      </w:r>
      <w:r w:rsidRPr="002F0E6F">
        <w:t xml:space="preserve"> provision from an estate, because there is simply no estate to claim.</w:t>
      </w:r>
    </w:p>
    <w:p w14:paraId="3CB92BBC" w14:textId="42F9FF93" w:rsidR="0023503C" w:rsidRPr="002F0E6F" w:rsidRDefault="00606044" w:rsidP="000F2AEC">
      <w:pPr>
        <w:pStyle w:val="NumberlessNormalText"/>
        <w:ind w:right="0"/>
      </w:pPr>
      <w:r w:rsidRPr="002F0E6F">
        <w:t xml:space="preserve">In Tasmania, an applicant must file a TFM claim within three months of a Grant of Administration having been made in the estate, although the Court has discretion to extend this time period. If </w:t>
      </w:r>
      <w:r w:rsidR="0023503C" w:rsidRPr="002F0E6F">
        <w:t xml:space="preserve">the three month claim period </w:t>
      </w:r>
      <w:r w:rsidR="005C72CF" w:rsidRPr="002F0E6F">
        <w:t>passes and a legal personal representative has not had notice of any claims</w:t>
      </w:r>
      <w:r w:rsidR="0023503C" w:rsidRPr="002F0E6F">
        <w:t xml:space="preserve">, </w:t>
      </w:r>
      <w:r w:rsidR="005C72CF" w:rsidRPr="002F0E6F">
        <w:t>the</w:t>
      </w:r>
      <w:r w:rsidR="0023503C" w:rsidRPr="002F0E6F">
        <w:t xml:space="preserve"> legal personal representative </w:t>
      </w:r>
      <w:r w:rsidR="005C72CF" w:rsidRPr="002F0E6F">
        <w:t>may</w:t>
      </w:r>
      <w:r w:rsidR="0023503C" w:rsidRPr="002F0E6F">
        <w:t xml:space="preserve"> commence distributing </w:t>
      </w:r>
      <w:r w:rsidR="00020B54" w:rsidRPr="002F0E6F">
        <w:t>the</w:t>
      </w:r>
      <w:r w:rsidR="0023503C" w:rsidRPr="002F0E6F">
        <w:t xml:space="preserve"> estate </w:t>
      </w:r>
      <w:r w:rsidR="005C72CF" w:rsidRPr="002F0E6F">
        <w:t>amongst</w:t>
      </w:r>
      <w:r w:rsidR="0023503C" w:rsidRPr="002F0E6F">
        <w:t xml:space="preserve"> beneficiaries. </w:t>
      </w:r>
      <w:r w:rsidRPr="002F0E6F">
        <w:t xml:space="preserve">The </w:t>
      </w:r>
      <w:r w:rsidR="007E547C" w:rsidRPr="007E547C">
        <w:rPr>
          <w:i/>
        </w:rPr>
        <w:t>TFM Act</w:t>
      </w:r>
      <w:r w:rsidR="007E547C" w:rsidRPr="002F0E6F">
        <w:t xml:space="preserve"> </w:t>
      </w:r>
      <w:r w:rsidRPr="002F0E6F">
        <w:t>confirms</w:t>
      </w:r>
      <w:r w:rsidR="0023503C" w:rsidRPr="002F0E6F">
        <w:t xml:space="preserve"> that assets distributed </w:t>
      </w:r>
      <w:r w:rsidR="00020B54" w:rsidRPr="002F0E6F">
        <w:t xml:space="preserve">in these circumstances </w:t>
      </w:r>
      <w:r w:rsidR="0023503C" w:rsidRPr="002F0E6F">
        <w:t xml:space="preserve">cease to be part of </w:t>
      </w:r>
      <w:r w:rsidR="00020B54" w:rsidRPr="002F0E6F">
        <w:t>an</w:t>
      </w:r>
      <w:r w:rsidR="0023503C" w:rsidRPr="002F0E6F">
        <w:t xml:space="preserve"> estate. </w:t>
      </w:r>
      <w:r w:rsidRPr="002F0E6F">
        <w:t xml:space="preserve">Because they are then not part of the estate, these assets </w:t>
      </w:r>
      <w:r w:rsidR="00020B54" w:rsidRPr="002F0E6F">
        <w:t>are also</w:t>
      </w:r>
      <w:r w:rsidR="0023503C" w:rsidRPr="002F0E6F">
        <w:t xml:space="preserve"> unable to be used to fund provision for a successful </w:t>
      </w:r>
      <w:r w:rsidR="00020B54" w:rsidRPr="002F0E6F">
        <w:t xml:space="preserve">TFM </w:t>
      </w:r>
      <w:r w:rsidR="0023503C" w:rsidRPr="002F0E6F">
        <w:t>applicant</w:t>
      </w:r>
      <w:r w:rsidR="00020B54" w:rsidRPr="002F0E6F">
        <w:t xml:space="preserve"> </w:t>
      </w:r>
      <w:r w:rsidR="00A92B0F" w:rsidRPr="002F0E6F">
        <w:t>where</w:t>
      </w:r>
      <w:r w:rsidR="00020B54" w:rsidRPr="002F0E6F">
        <w:t xml:space="preserve"> the Court </w:t>
      </w:r>
      <w:r w:rsidR="00A92B0F" w:rsidRPr="002F0E6F">
        <w:t>permits</w:t>
      </w:r>
      <w:r w:rsidR="00020B54" w:rsidRPr="002F0E6F">
        <w:t xml:space="preserve"> </w:t>
      </w:r>
      <w:r w:rsidR="00A92B0F" w:rsidRPr="002F0E6F">
        <w:t xml:space="preserve">them </w:t>
      </w:r>
      <w:r w:rsidR="00020B54" w:rsidRPr="002F0E6F">
        <w:t>to make a claim out of time.</w:t>
      </w:r>
    </w:p>
    <w:p w14:paraId="5C6B5FF4" w14:textId="745E5D77" w:rsidR="00236E50" w:rsidRPr="002F0E6F" w:rsidRDefault="00236E50" w:rsidP="000F2AEC">
      <w:pPr>
        <w:pStyle w:val="NumberlessNormalText"/>
        <w:ind w:right="0"/>
      </w:pPr>
      <w:r w:rsidRPr="002F0E6F">
        <w:t>Legislation in New South Wales is intended to address th</w:t>
      </w:r>
      <w:r w:rsidR="0023503C" w:rsidRPr="002F0E6F">
        <w:t>ese</w:t>
      </w:r>
      <w:r w:rsidRPr="002F0E6F">
        <w:t xml:space="preserve"> issue</w:t>
      </w:r>
      <w:r w:rsidR="0023503C" w:rsidRPr="002F0E6F">
        <w:t>s</w:t>
      </w:r>
      <w:r w:rsidRPr="002F0E6F">
        <w:t xml:space="preserve">. It enables the </w:t>
      </w:r>
      <w:r w:rsidR="00132B17" w:rsidRPr="002F0E6F">
        <w:t>c</w:t>
      </w:r>
      <w:r w:rsidRPr="002F0E6F">
        <w:t xml:space="preserve">ourt to deem assets that are not </w:t>
      </w:r>
      <w:r w:rsidR="00020B54" w:rsidRPr="002F0E6F">
        <w:t>within</w:t>
      </w:r>
      <w:r w:rsidRPr="002F0E6F">
        <w:t xml:space="preserve"> a person’s estate as part of their estate </w:t>
      </w:r>
      <w:r w:rsidR="001C0C11" w:rsidRPr="002F0E6F">
        <w:t>—</w:t>
      </w:r>
      <w:r w:rsidRPr="002F0E6F">
        <w:t xml:space="preserve"> </w:t>
      </w:r>
      <w:r w:rsidR="0023503C" w:rsidRPr="002F0E6F">
        <w:t>called their</w:t>
      </w:r>
      <w:r w:rsidRPr="002F0E6F">
        <w:t xml:space="preserve"> ‘notional estate’</w:t>
      </w:r>
      <w:r w:rsidR="001C0C11" w:rsidRPr="002F0E6F">
        <w:t>.</w:t>
      </w:r>
      <w:r w:rsidR="0023503C" w:rsidRPr="002F0E6F">
        <w:t xml:space="preserve"> The court is then able to </w:t>
      </w:r>
      <w:r w:rsidR="00132B17" w:rsidRPr="002F0E6F">
        <w:t>utilise</w:t>
      </w:r>
      <w:r w:rsidR="00020B54" w:rsidRPr="002F0E6F">
        <w:t xml:space="preserve"> assets </w:t>
      </w:r>
      <w:r w:rsidR="00132B17" w:rsidRPr="002F0E6F">
        <w:t>deemed</w:t>
      </w:r>
      <w:r w:rsidR="00020B54" w:rsidRPr="002F0E6F">
        <w:t xml:space="preserve"> notional estate when </w:t>
      </w:r>
      <w:r w:rsidR="0023503C" w:rsidRPr="002F0E6F">
        <w:t>award</w:t>
      </w:r>
      <w:r w:rsidR="00A92B0F" w:rsidRPr="002F0E6F">
        <w:t>ing</w:t>
      </w:r>
      <w:r w:rsidR="0023503C" w:rsidRPr="002F0E6F">
        <w:t xml:space="preserve"> provision for </w:t>
      </w:r>
      <w:r w:rsidRPr="002F0E6F">
        <w:t>a successful TFM applicant</w:t>
      </w:r>
      <w:r w:rsidR="0023503C" w:rsidRPr="002F0E6F">
        <w:t xml:space="preserve">. </w:t>
      </w:r>
      <w:r w:rsidR="00020B54" w:rsidRPr="002F0E6F">
        <w:t xml:space="preserve">These provisions are not dissimilar to laws that apply to bankruptcy, where assets </w:t>
      </w:r>
      <w:r w:rsidR="00A31DC4" w:rsidRPr="002F0E6F">
        <w:t>may</w:t>
      </w:r>
      <w:r w:rsidR="00020B54" w:rsidRPr="002F0E6F">
        <w:t xml:space="preserve"> be ‘clawed-back’ where </w:t>
      </w:r>
      <w:r w:rsidR="009C1D9E" w:rsidRPr="002F0E6F">
        <w:t>they are</w:t>
      </w:r>
      <w:r w:rsidR="00020B54" w:rsidRPr="002F0E6F">
        <w:t xml:space="preserve"> dispose</w:t>
      </w:r>
      <w:r w:rsidR="009C1D9E" w:rsidRPr="002F0E6F">
        <w:t>d of</w:t>
      </w:r>
      <w:r w:rsidR="00020B54" w:rsidRPr="002F0E6F">
        <w:t xml:space="preserve"> within certain timeframes prior to </w:t>
      </w:r>
      <w:r w:rsidR="009C1D9E" w:rsidRPr="002F0E6F">
        <w:t>the commencement of a person’s bankruptcy</w:t>
      </w:r>
      <w:r w:rsidR="00020B54" w:rsidRPr="002F0E6F">
        <w:t>. Similarly</w:t>
      </w:r>
      <w:r w:rsidR="001C0C11" w:rsidRPr="002F0E6F">
        <w:t>,</w:t>
      </w:r>
      <w:r w:rsidR="00020B54" w:rsidRPr="002F0E6F">
        <w:t xml:space="preserve"> </w:t>
      </w:r>
      <w:r w:rsidR="00132B17" w:rsidRPr="002F0E6F">
        <w:t xml:space="preserve">in the family law context, </w:t>
      </w:r>
      <w:r w:rsidR="009C1D9E" w:rsidRPr="002F0E6F">
        <w:t xml:space="preserve">superannuation is considered an asset for the purpose of ascertaining the </w:t>
      </w:r>
      <w:r w:rsidR="00132B17" w:rsidRPr="002F0E6F">
        <w:t xml:space="preserve">parties’ </w:t>
      </w:r>
      <w:r w:rsidR="009C1D9E" w:rsidRPr="002F0E6F">
        <w:t xml:space="preserve">‘asset pool’, with the Family Court </w:t>
      </w:r>
      <w:r w:rsidR="00A31DC4" w:rsidRPr="002F0E6F">
        <w:t>able</w:t>
      </w:r>
      <w:r w:rsidR="009C1D9E" w:rsidRPr="002F0E6F">
        <w:t xml:space="preserve"> to make property orders splitting superannuation between partners. </w:t>
      </w:r>
      <w:r w:rsidR="00A31DC4" w:rsidRPr="002F0E6F">
        <w:t>In some circumstances, t</w:t>
      </w:r>
      <w:r w:rsidR="009C1D9E" w:rsidRPr="002F0E6F">
        <w:t>rust</w:t>
      </w:r>
      <w:r w:rsidR="00020B54" w:rsidRPr="002F0E6F">
        <w:t xml:space="preserve"> assets </w:t>
      </w:r>
      <w:r w:rsidR="009C1D9E" w:rsidRPr="002F0E6F">
        <w:t>may also be considered a financial resource of a party to a relationship</w:t>
      </w:r>
      <w:r w:rsidR="00A31DC4" w:rsidRPr="002F0E6F">
        <w:t xml:space="preserve"> for the purposes of family law property orders</w:t>
      </w:r>
      <w:r w:rsidR="009C1D9E" w:rsidRPr="002F0E6F">
        <w:t xml:space="preserve"> despite </w:t>
      </w:r>
      <w:r w:rsidR="00A31DC4" w:rsidRPr="002F0E6F">
        <w:t>those assets being held in a trust and not owned personally</w:t>
      </w:r>
      <w:r w:rsidR="00020B54" w:rsidRPr="002F0E6F">
        <w:t xml:space="preserve">. </w:t>
      </w:r>
    </w:p>
    <w:p w14:paraId="729ADA36" w14:textId="2E4E7E1F" w:rsidR="00020B54" w:rsidRPr="002F0E6F" w:rsidRDefault="00020B54" w:rsidP="000F2AEC">
      <w:pPr>
        <w:pStyle w:val="NumberlessNormalText"/>
        <w:ind w:right="0"/>
      </w:pPr>
      <w:r w:rsidRPr="002F0E6F">
        <w:t>In broad terms, the</w:t>
      </w:r>
      <w:r w:rsidR="00A31DC4" w:rsidRPr="002F0E6F">
        <w:t xml:space="preserve"> </w:t>
      </w:r>
      <w:r w:rsidR="009B004F" w:rsidRPr="002F0E6F">
        <w:t>New South Wales</w:t>
      </w:r>
      <w:r w:rsidR="00A31DC4" w:rsidRPr="002F0E6F">
        <w:t xml:space="preserve"> Supreme Court</w:t>
      </w:r>
      <w:r w:rsidRPr="002F0E6F">
        <w:t xml:space="preserve"> may only make a notional estate order if</w:t>
      </w:r>
      <w:r w:rsidR="001F6318" w:rsidRPr="002F0E6F">
        <w:t xml:space="preserve"> an applicant is successful in their claim, and only if</w:t>
      </w:r>
      <w:r w:rsidRPr="002F0E6F">
        <w:t xml:space="preserve"> there are </w:t>
      </w:r>
      <w:r w:rsidR="002437FC">
        <w:t>insufficient</w:t>
      </w:r>
      <w:r w:rsidR="002437FC" w:rsidRPr="002F0E6F">
        <w:t xml:space="preserve"> </w:t>
      </w:r>
      <w:r w:rsidRPr="002F0E6F">
        <w:t xml:space="preserve">assets to pay </w:t>
      </w:r>
      <w:r w:rsidR="001F6318" w:rsidRPr="002F0E6F">
        <w:t>the</w:t>
      </w:r>
      <w:r w:rsidRPr="002F0E6F">
        <w:t xml:space="preserve"> award </w:t>
      </w:r>
      <w:r w:rsidR="001F6318" w:rsidRPr="002F0E6F">
        <w:t>ordered.</w:t>
      </w:r>
      <w:r w:rsidRPr="002F0E6F">
        <w:t xml:space="preserve"> </w:t>
      </w:r>
      <w:r w:rsidR="001F6318" w:rsidRPr="002F0E6F">
        <w:t>Only transfers or other dealings occurr</w:t>
      </w:r>
      <w:r w:rsidR="00A31DC4" w:rsidRPr="002F0E6F">
        <w:t>ing</w:t>
      </w:r>
      <w:r w:rsidR="001F6318" w:rsidRPr="002F0E6F">
        <w:t xml:space="preserve"> within three years of the deceased’s death (or that occur upon </w:t>
      </w:r>
      <w:r w:rsidR="00DA2512" w:rsidRPr="002F0E6F">
        <w:t xml:space="preserve">or after </w:t>
      </w:r>
      <w:r w:rsidR="001F6318" w:rsidRPr="002F0E6F">
        <w:t>the person’s death) may be treated as notional estate. Before designating property as notional estate, the Court must consider the importance of not interfering with reasonable expectations in relation to property, the substantial justice and the merits involved</w:t>
      </w:r>
      <w:r w:rsidR="00062B40" w:rsidRPr="002F0E6F">
        <w:t>,</w:t>
      </w:r>
      <w:r w:rsidR="001F6318" w:rsidRPr="002F0E6F">
        <w:t xml:space="preserve"> and any other matter it considers relevant.</w:t>
      </w:r>
    </w:p>
    <w:p w14:paraId="79AECB5A" w14:textId="223AE398" w:rsidR="001F6318" w:rsidRPr="002F0E6F" w:rsidRDefault="001F6318" w:rsidP="000F2AEC">
      <w:pPr>
        <w:pStyle w:val="NumberlessNormalText"/>
        <w:ind w:right="0"/>
      </w:pPr>
      <w:r w:rsidRPr="002F0E6F">
        <w:t xml:space="preserve">The </w:t>
      </w:r>
      <w:r w:rsidR="009B004F" w:rsidRPr="002F0E6F">
        <w:t>New South Wales</w:t>
      </w:r>
      <w:r w:rsidRPr="002F0E6F">
        <w:t xml:space="preserve"> notional estate provisions apply equally to acts and omissions. So, if a person fails to do an act </w:t>
      </w:r>
      <w:r w:rsidR="00015C50" w:rsidRPr="002F0E6F">
        <w:t>—</w:t>
      </w:r>
      <w:r w:rsidRPr="002F0E6F">
        <w:t xml:space="preserve"> like sever a joint tenancy, or make or change a binding death benefit nomination</w:t>
      </w:r>
      <w:r w:rsidR="00015C50" w:rsidRPr="002F0E6F">
        <w:t>,</w:t>
      </w:r>
      <w:r w:rsidRPr="002F0E6F">
        <w:t xml:space="preserve"> or make a distribution from a trust </w:t>
      </w:r>
      <w:r w:rsidR="00015C50" w:rsidRPr="002F0E6F">
        <w:t>—</w:t>
      </w:r>
      <w:r w:rsidRPr="002F0E6F">
        <w:t xml:space="preserve"> then those </w:t>
      </w:r>
      <w:r w:rsidR="00132B17" w:rsidRPr="002F0E6F">
        <w:t>‘</w:t>
      </w:r>
      <w:r w:rsidRPr="002F0E6F">
        <w:t>transactions</w:t>
      </w:r>
      <w:r w:rsidR="00132B17" w:rsidRPr="002F0E6F">
        <w:t>’</w:t>
      </w:r>
      <w:r w:rsidRPr="002F0E6F">
        <w:t xml:space="preserve"> may also be captured.</w:t>
      </w:r>
    </w:p>
    <w:p w14:paraId="6CEE1190" w14:textId="3C601240" w:rsidR="001F6318" w:rsidRPr="002F0E6F" w:rsidRDefault="001F6318" w:rsidP="000F2AEC">
      <w:pPr>
        <w:pStyle w:val="NumberlessNormalText"/>
        <w:ind w:right="0"/>
      </w:pPr>
      <w:r w:rsidRPr="002F0E6F">
        <w:t xml:space="preserve">These provisions enable the </w:t>
      </w:r>
      <w:r w:rsidR="009B004F" w:rsidRPr="002F0E6F">
        <w:t>New South Wales</w:t>
      </w:r>
      <w:r w:rsidR="00132B17" w:rsidRPr="002F0E6F">
        <w:t xml:space="preserve"> Supreme C</w:t>
      </w:r>
      <w:r w:rsidRPr="002F0E6F">
        <w:t xml:space="preserve">ourt to award provision for successful TFM claimants from a much broader pool of assets than are presently available to the </w:t>
      </w:r>
      <w:r w:rsidR="00132B17" w:rsidRPr="002F0E6F">
        <w:t>C</w:t>
      </w:r>
      <w:r w:rsidRPr="002F0E6F">
        <w:t xml:space="preserve">ourt in Tasmania. On one hand, extending the reach of TFM laws to assets not currently </w:t>
      </w:r>
      <w:r w:rsidR="00A31DC4" w:rsidRPr="002F0E6F">
        <w:t>impacted</w:t>
      </w:r>
      <w:r w:rsidRPr="002F0E6F">
        <w:t xml:space="preserve"> </w:t>
      </w:r>
      <w:r w:rsidR="00A31DC4" w:rsidRPr="002F0E6F">
        <w:t>imposes</w:t>
      </w:r>
      <w:r w:rsidRPr="002F0E6F">
        <w:t xml:space="preserve"> a further </w:t>
      </w:r>
      <w:r w:rsidR="002200D8" w:rsidRPr="002F0E6F">
        <w:t>restriction on a person</w:t>
      </w:r>
      <w:r w:rsidR="00A31DC4" w:rsidRPr="002F0E6F">
        <w:t>’s ability</w:t>
      </w:r>
      <w:r w:rsidR="002200D8" w:rsidRPr="002F0E6F">
        <w:t xml:space="preserve"> to choose how they want their estate distributed after their death. On the other hand, the law present</w:t>
      </w:r>
      <w:r w:rsidR="00132B17" w:rsidRPr="002F0E6F">
        <w:t>ly</w:t>
      </w:r>
      <w:r w:rsidR="002200D8" w:rsidRPr="002F0E6F">
        <w:t xml:space="preserve"> gives scope for people to structure their affairs in way</w:t>
      </w:r>
      <w:r w:rsidR="00A31DC4" w:rsidRPr="002F0E6F">
        <w:t>s</w:t>
      </w:r>
      <w:r w:rsidR="002200D8" w:rsidRPr="002F0E6F">
        <w:t xml:space="preserve"> that limit the utility of family provision laws which are intended to ensure that a person makes adequate provision for their spouse and children. </w:t>
      </w:r>
    </w:p>
    <w:p w14:paraId="415CDD37" w14:textId="46F24D81" w:rsidR="007E2A8C" w:rsidRPr="002F0E6F" w:rsidRDefault="002200D8" w:rsidP="000F2AEC">
      <w:pPr>
        <w:pStyle w:val="NumberlessNormalText"/>
        <w:ind w:right="0"/>
      </w:pPr>
      <w:r w:rsidRPr="002F0E6F">
        <w:t xml:space="preserve">The Institute has been asked to provide advice to the State Government about whether Tasmania should introduce notional estate legislation. If introduced, notional estate laws would extend the </w:t>
      </w:r>
      <w:r w:rsidRPr="002F0E6F">
        <w:lastRenderedPageBreak/>
        <w:t xml:space="preserve">reach of the Supreme Court to </w:t>
      </w:r>
      <w:r w:rsidR="00A31DC4" w:rsidRPr="002F0E6F">
        <w:t xml:space="preserve">enable it to </w:t>
      </w:r>
      <w:r w:rsidRPr="002F0E6F">
        <w:t xml:space="preserve">make orders affecting property that </w:t>
      </w:r>
      <w:r w:rsidR="00C8549F" w:rsidRPr="002F0E6F">
        <w:t xml:space="preserve">is </w:t>
      </w:r>
      <w:r w:rsidRPr="002F0E6F">
        <w:t>presently unable to be dealt with</w:t>
      </w:r>
      <w:r w:rsidR="00A31DC4" w:rsidRPr="002F0E6F">
        <w:t xml:space="preserve"> in a TFM claim</w:t>
      </w:r>
      <w:r w:rsidRPr="002F0E6F">
        <w:t>. This Issue</w:t>
      </w:r>
      <w:r w:rsidR="00C8549F" w:rsidRPr="002F0E6F">
        <w:t>s</w:t>
      </w:r>
      <w:r w:rsidRPr="002F0E6F">
        <w:t xml:space="preserve"> Paper asks a range of questions intended to </w:t>
      </w:r>
      <w:r w:rsidR="002437FC">
        <w:t>elicit</w:t>
      </w:r>
      <w:r w:rsidR="002437FC" w:rsidRPr="002F0E6F">
        <w:t xml:space="preserve"> </w:t>
      </w:r>
      <w:r w:rsidRPr="002F0E6F">
        <w:t xml:space="preserve">feedback from the Tasmanian community which will </w:t>
      </w:r>
      <w:r w:rsidR="00331520" w:rsidRPr="002F0E6F">
        <w:t xml:space="preserve">then be </w:t>
      </w:r>
      <w:r w:rsidRPr="002F0E6F">
        <w:t xml:space="preserve">used to </w:t>
      </w:r>
      <w:r w:rsidR="00A31DC4" w:rsidRPr="002F0E6F">
        <w:t>evaluate</w:t>
      </w:r>
      <w:r w:rsidRPr="002F0E6F">
        <w:t xml:space="preserve"> the degree of support or opposition </w:t>
      </w:r>
      <w:r w:rsidR="00331520" w:rsidRPr="002F0E6F">
        <w:t xml:space="preserve">that exists </w:t>
      </w:r>
      <w:r w:rsidRPr="002F0E6F">
        <w:t xml:space="preserve">to </w:t>
      </w:r>
      <w:r w:rsidR="00C8549F" w:rsidRPr="002F0E6F">
        <w:t xml:space="preserve">the </w:t>
      </w:r>
      <w:r w:rsidRPr="002F0E6F">
        <w:t xml:space="preserve">introduction of </w:t>
      </w:r>
      <w:r w:rsidR="002437FC">
        <w:t>notional estate</w:t>
      </w:r>
      <w:r w:rsidR="002437FC" w:rsidRPr="002F0E6F">
        <w:t xml:space="preserve"> </w:t>
      </w:r>
      <w:r w:rsidRPr="002F0E6F">
        <w:t xml:space="preserve">laws. </w:t>
      </w:r>
    </w:p>
    <w:p w14:paraId="7038976B" w14:textId="2042DA42" w:rsidR="002200D8" w:rsidRPr="002F0E6F" w:rsidRDefault="002200D8" w:rsidP="000F2AEC">
      <w:pPr>
        <w:pStyle w:val="NumberlessNormalText"/>
        <w:ind w:right="0"/>
      </w:pPr>
      <w:r w:rsidRPr="002F0E6F">
        <w:t>It is outside of t</w:t>
      </w:r>
      <w:r w:rsidR="004815EE" w:rsidRPr="002F0E6F">
        <w:t>he</w:t>
      </w:r>
      <w:r w:rsidRPr="002F0E6F">
        <w:t xml:space="preserve"> </w:t>
      </w:r>
      <w:r w:rsidR="00A758D5" w:rsidRPr="002F0E6F">
        <w:t>s</w:t>
      </w:r>
      <w:r w:rsidRPr="002F0E6F">
        <w:t xml:space="preserve">cope of this review to consider the need for, or desirability of, other changes to the </w:t>
      </w:r>
      <w:r w:rsidR="007E547C" w:rsidRPr="006F26E2">
        <w:rPr>
          <w:i/>
        </w:rPr>
        <w:t xml:space="preserve">TFM </w:t>
      </w:r>
      <w:r w:rsidR="00FE7253" w:rsidRPr="006F26E2">
        <w:rPr>
          <w:i/>
        </w:rPr>
        <w:t>Act</w:t>
      </w:r>
      <w:r w:rsidR="00F14B5B" w:rsidRPr="002F0E6F">
        <w:t xml:space="preserve">, </w:t>
      </w:r>
      <w:r w:rsidR="00A31DC4" w:rsidRPr="002F0E6F">
        <w:t>other than to</w:t>
      </w:r>
      <w:r w:rsidR="00FE7253" w:rsidRPr="002F0E6F">
        <w:t xml:space="preserve"> consider </w:t>
      </w:r>
      <w:r w:rsidR="00A31DC4" w:rsidRPr="002F0E6F">
        <w:t>an</w:t>
      </w:r>
      <w:r w:rsidR="001375E3" w:rsidRPr="002F0E6F">
        <w:t>y</w:t>
      </w:r>
      <w:r w:rsidR="00A31DC4" w:rsidRPr="002F0E6F">
        <w:t xml:space="preserve"> </w:t>
      </w:r>
      <w:r w:rsidR="00FE7253" w:rsidRPr="002F0E6F">
        <w:t xml:space="preserve">changes </w:t>
      </w:r>
      <w:r w:rsidR="00A31DC4" w:rsidRPr="002F0E6F">
        <w:t>that may become necessary or desirable if notional estate legislation were introduced in Tasmania</w:t>
      </w:r>
      <w:r w:rsidR="00FE7253" w:rsidRPr="002F0E6F">
        <w:t>.</w:t>
      </w:r>
    </w:p>
    <w:p w14:paraId="2C33D963" w14:textId="5C277478" w:rsidR="003A4761" w:rsidRPr="002F0E6F" w:rsidRDefault="003A4761" w:rsidP="00E70A0A">
      <w:pPr>
        <w:pStyle w:val="NumberlessNormalText"/>
      </w:pPr>
    </w:p>
    <w:p w14:paraId="6ED2164E" w14:textId="77777777" w:rsidR="003A4761" w:rsidRPr="002F0E6F" w:rsidRDefault="003A4761" w:rsidP="00E70A0A">
      <w:pPr>
        <w:pStyle w:val="NumberlessNormalText"/>
        <w:sectPr w:rsidR="003A4761" w:rsidRPr="002F0E6F" w:rsidSect="000F2AEC">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440" w:left="1440" w:header="709" w:footer="709" w:gutter="0"/>
          <w:pgNumType w:fmt="lowerRoman"/>
          <w:cols w:space="708"/>
          <w:titlePg/>
          <w:docGrid w:linePitch="360"/>
        </w:sectPr>
      </w:pPr>
    </w:p>
    <w:p w14:paraId="492F91BB" w14:textId="77777777" w:rsidR="00880F23" w:rsidRPr="002F0E6F" w:rsidRDefault="00880F23" w:rsidP="000979EC">
      <w:pPr>
        <w:pStyle w:val="NumberlessSectionHeading"/>
        <w:spacing w:before="240"/>
        <w:ind w:right="0"/>
      </w:pPr>
      <w:bookmarkStart w:id="26" w:name="_Toc2256845"/>
      <w:r w:rsidRPr="002F0E6F">
        <w:rPr>
          <w:w w:val="105"/>
        </w:rPr>
        <w:lastRenderedPageBreak/>
        <w:t>List of Questions</w:t>
      </w:r>
      <w:bookmarkEnd w:id="26"/>
    </w:p>
    <w:p w14:paraId="756DD355" w14:textId="0F1BE6A9" w:rsidR="00EF121E" w:rsidRPr="00A941CB" w:rsidRDefault="00EF121E" w:rsidP="00EF121E">
      <w:pPr>
        <w:pStyle w:val="NumberlessNormalText"/>
        <w:spacing w:before="120" w:after="120"/>
        <w:ind w:right="0"/>
        <w:rPr>
          <w:w w:val="105"/>
        </w:rPr>
      </w:pPr>
      <w:r w:rsidRPr="00A941CB">
        <w:rPr>
          <w:w w:val="105"/>
        </w:rPr>
        <w:t>The Institute welcomes your response to any individual question or to all questions contained</w:t>
      </w:r>
      <w:r w:rsidRPr="00A941CB">
        <w:rPr>
          <w:spacing w:val="28"/>
          <w:w w:val="105"/>
        </w:rPr>
        <w:t xml:space="preserve"> </w:t>
      </w:r>
      <w:r w:rsidRPr="00A941CB">
        <w:rPr>
          <w:w w:val="105"/>
        </w:rPr>
        <w:t>within</w:t>
      </w:r>
      <w:r w:rsidRPr="00A941CB">
        <w:rPr>
          <w:w w:val="102"/>
        </w:rPr>
        <w:t xml:space="preserve"> </w:t>
      </w:r>
      <w:r w:rsidRPr="00A941CB">
        <w:rPr>
          <w:w w:val="105"/>
        </w:rPr>
        <w:t xml:space="preserve">this Issues Paper. A full list of the consultation questions is </w:t>
      </w:r>
      <w:r w:rsidR="00AC1249">
        <w:rPr>
          <w:w w:val="105"/>
        </w:rPr>
        <w:t>provided below</w:t>
      </w:r>
      <w:r w:rsidRPr="00A941CB">
        <w:rPr>
          <w:w w:val="105"/>
        </w:rPr>
        <w:t>.</w:t>
      </w:r>
    </w:p>
    <w:p w14:paraId="1D08FA73" w14:textId="77777777" w:rsidR="00E51E39" w:rsidRPr="002F0E6F" w:rsidRDefault="00E51E39" w:rsidP="000979EC">
      <w:pPr>
        <w:pStyle w:val="NumberlessNormalText"/>
        <w:spacing w:after="120"/>
        <w:ind w:right="0"/>
        <w:rPr>
          <w:b/>
        </w:rPr>
      </w:pPr>
      <w:r w:rsidRPr="002F0E6F">
        <w:rPr>
          <w:b/>
        </w:rPr>
        <w:t>Question 1</w:t>
      </w:r>
    </w:p>
    <w:p w14:paraId="6A70BA27" w14:textId="77744E68" w:rsidR="00331520" w:rsidRPr="002F0E6F" w:rsidRDefault="00E51E39" w:rsidP="000979EC">
      <w:pPr>
        <w:pStyle w:val="NumberlessNormalText"/>
        <w:spacing w:before="120" w:after="360"/>
        <w:ind w:right="0"/>
        <w:rPr>
          <w:b/>
          <w:i/>
          <w:szCs w:val="20"/>
        </w:rPr>
      </w:pPr>
      <w:r w:rsidRPr="002F0E6F">
        <w:t xml:space="preserve">In your experience, do people deal with or structure their assets in order to reduce the property that is available to make provision for a successful applicant under the </w:t>
      </w:r>
      <w:r w:rsidRPr="002F0E6F">
        <w:rPr>
          <w:i/>
        </w:rPr>
        <w:t>Testator’s Family Maintenance Act 1912</w:t>
      </w:r>
      <w:r w:rsidRPr="002F0E6F">
        <w:t xml:space="preserve"> (Tas)? Please provide examples.</w:t>
      </w:r>
      <w:r w:rsidR="006B5177" w:rsidRPr="002F0E6F">
        <w:t xml:space="preserve"> </w:t>
      </w:r>
      <w:r w:rsid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Question1 \h </w:instrText>
      </w:r>
      <w:r w:rsidR="000E6BC6" w:rsidRPr="003E6A6E">
        <w:rPr>
          <w:szCs w:val="20"/>
        </w:rPr>
      </w:r>
      <w:r w:rsidR="000E6BC6" w:rsidRPr="003E6A6E">
        <w:rPr>
          <w:szCs w:val="20"/>
        </w:rPr>
        <w:fldChar w:fldCharType="separate"/>
      </w:r>
      <w:r w:rsidR="00582310">
        <w:rPr>
          <w:noProof/>
          <w:szCs w:val="20"/>
        </w:rPr>
        <w:t>31</w:t>
      </w:r>
      <w:r w:rsidR="000E6BC6" w:rsidRPr="003E6A6E">
        <w:rPr>
          <w:szCs w:val="20"/>
        </w:rPr>
        <w:fldChar w:fldCharType="end"/>
      </w:r>
      <w:r w:rsidR="003E6A6E">
        <w:rPr>
          <w:szCs w:val="20"/>
        </w:rPr>
        <w:t>)</w:t>
      </w:r>
    </w:p>
    <w:p w14:paraId="58E0AE5A" w14:textId="5615B3D8" w:rsidR="00E51E39" w:rsidRPr="002F0E6F" w:rsidRDefault="00E51E39" w:rsidP="000979EC">
      <w:pPr>
        <w:pStyle w:val="NumberlessNormalText"/>
        <w:spacing w:after="120"/>
        <w:ind w:right="0"/>
        <w:rPr>
          <w:b/>
        </w:rPr>
      </w:pPr>
      <w:r w:rsidRPr="002F0E6F">
        <w:rPr>
          <w:b/>
        </w:rPr>
        <w:t>Question 2</w:t>
      </w:r>
    </w:p>
    <w:p w14:paraId="4599A4EE" w14:textId="09529A0F" w:rsidR="00331520" w:rsidRPr="002F0E6F" w:rsidRDefault="00E51E39" w:rsidP="000979EC">
      <w:pPr>
        <w:pStyle w:val="NumberlessNormalText"/>
        <w:spacing w:before="120" w:after="360"/>
        <w:ind w:right="0"/>
        <w:rPr>
          <w:rFonts w:ascii="Garamond" w:hAnsi="Garamond"/>
        </w:rPr>
      </w:pPr>
      <w:r w:rsidRPr="002F0E6F">
        <w:t xml:space="preserve">Should people be entitled to deal with their assets during their lifetime to reduce the property that is in their estate and available to claim under the </w:t>
      </w:r>
      <w:r w:rsidR="00282DB1" w:rsidRPr="002F0E6F">
        <w:rPr>
          <w:i/>
        </w:rPr>
        <w:t>Testator’s Family Maintenance Act 1912</w:t>
      </w:r>
      <w:r w:rsidR="00282DB1" w:rsidRPr="002F0E6F">
        <w:t xml:space="preserve"> (Tas)</w:t>
      </w:r>
      <w:r w:rsidRPr="002F0E6F">
        <w:t xml:space="preserve">? Please provide reasons </w:t>
      </w:r>
      <w:r w:rsidR="00CD4196" w:rsidRPr="002F0E6F">
        <w:t>explaining</w:t>
      </w:r>
      <w:r w:rsidRPr="002F0E6F">
        <w:t xml:space="preserve"> your </w:t>
      </w:r>
      <w:r w:rsidR="00CD4196" w:rsidRPr="002F0E6F">
        <w:t>view</w:t>
      </w:r>
      <w:r w:rsidRPr="002F0E6F">
        <w:t>.</w:t>
      </w:r>
      <w:r w:rsidR="00601A03" w:rsidRPr="002F0E6F">
        <w:t xml:space="preserve"> </w:t>
      </w:r>
      <w:r w:rsidR="003E6A6E" w:rsidRP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Question2 \h </w:instrText>
      </w:r>
      <w:r w:rsidR="000E6BC6" w:rsidRPr="003E6A6E">
        <w:rPr>
          <w:szCs w:val="20"/>
        </w:rPr>
      </w:r>
      <w:r w:rsidR="000E6BC6" w:rsidRPr="003E6A6E">
        <w:rPr>
          <w:szCs w:val="20"/>
        </w:rPr>
        <w:fldChar w:fldCharType="separate"/>
      </w:r>
      <w:r w:rsidR="00582310">
        <w:rPr>
          <w:noProof/>
          <w:szCs w:val="20"/>
        </w:rPr>
        <w:t>32</w:t>
      </w:r>
      <w:r w:rsidR="000E6BC6" w:rsidRPr="003E6A6E">
        <w:rPr>
          <w:szCs w:val="20"/>
        </w:rPr>
        <w:fldChar w:fldCharType="end"/>
      </w:r>
      <w:r w:rsidR="003E6A6E" w:rsidRPr="003E6A6E">
        <w:rPr>
          <w:szCs w:val="20"/>
        </w:rPr>
        <w:t>)</w:t>
      </w:r>
    </w:p>
    <w:p w14:paraId="5B6B865E" w14:textId="77777777" w:rsidR="00E51E39" w:rsidRPr="002F0E6F" w:rsidRDefault="00E51E39" w:rsidP="000979EC">
      <w:pPr>
        <w:pStyle w:val="NumberlessNormalText"/>
        <w:spacing w:after="120"/>
        <w:ind w:right="0"/>
        <w:rPr>
          <w:b/>
        </w:rPr>
      </w:pPr>
      <w:r w:rsidRPr="002F0E6F">
        <w:rPr>
          <w:b/>
        </w:rPr>
        <w:t>Question 3</w:t>
      </w:r>
    </w:p>
    <w:p w14:paraId="3FC163DC" w14:textId="7CB9CFAF" w:rsidR="00E51E39" w:rsidRPr="002F0E6F" w:rsidRDefault="00E51E39" w:rsidP="000979EC">
      <w:pPr>
        <w:pStyle w:val="NumberlessNormalText"/>
        <w:spacing w:before="120" w:after="120"/>
        <w:ind w:right="0"/>
      </w:pPr>
      <w:r w:rsidRPr="002F0E6F">
        <w:t>Please indicate your level of support (if any) for the following proposition</w:t>
      </w:r>
      <w:r w:rsidR="00601A03" w:rsidRPr="002F0E6F">
        <w:t xml:space="preserve">: </w:t>
      </w:r>
      <w:r w:rsidR="00D9621D">
        <w:t>‘</w:t>
      </w:r>
      <w:r w:rsidRPr="002F0E6F">
        <w:t>notional estate legislation should be introduced in Tasmania</w:t>
      </w:r>
      <w:r w:rsidR="00D9621D">
        <w:t>’</w:t>
      </w:r>
      <w:r w:rsidR="00582310">
        <w:t>:</w:t>
      </w:r>
      <w:r w:rsidR="00E77B3E" w:rsidRPr="002F0E6F">
        <w:t xml:space="preserve"> </w:t>
      </w:r>
    </w:p>
    <w:p w14:paraId="7920CDC7" w14:textId="555AD9B3" w:rsidR="00E51E39" w:rsidRPr="002F0E6F" w:rsidRDefault="00582310" w:rsidP="000979EC">
      <w:pPr>
        <w:pStyle w:val="NumberlessNormalText"/>
        <w:numPr>
          <w:ilvl w:val="0"/>
          <w:numId w:val="21"/>
        </w:numPr>
        <w:tabs>
          <w:tab w:val="clear" w:pos="851"/>
          <w:tab w:val="left" w:pos="709"/>
        </w:tabs>
        <w:spacing w:before="80" w:after="80"/>
        <w:ind w:left="709" w:right="0" w:hanging="425"/>
      </w:pPr>
      <w:r>
        <w:t>s</w:t>
      </w:r>
      <w:r w:rsidR="00E51E39" w:rsidRPr="002F0E6F">
        <w:t>trongly agree;</w:t>
      </w:r>
    </w:p>
    <w:p w14:paraId="7A8349D8" w14:textId="15219CCB"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a</w:t>
      </w:r>
      <w:r w:rsidR="00E51E39" w:rsidRPr="002F0E6F">
        <w:t>gree;</w:t>
      </w:r>
    </w:p>
    <w:p w14:paraId="19B4DBBB" w14:textId="19102FF2"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s</w:t>
      </w:r>
      <w:r w:rsidR="00E51E39" w:rsidRPr="002F0E6F">
        <w:t>omewhat agree;</w:t>
      </w:r>
    </w:p>
    <w:p w14:paraId="4A5E5CF0" w14:textId="1D0C2238"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n</w:t>
      </w:r>
      <w:r w:rsidR="00E51E39" w:rsidRPr="002F0E6F">
        <w:t>eutral/no view;</w:t>
      </w:r>
    </w:p>
    <w:p w14:paraId="21205262" w14:textId="758986DF"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s</w:t>
      </w:r>
      <w:r w:rsidR="00E51E39" w:rsidRPr="002F0E6F">
        <w:t>omewhat disagree;</w:t>
      </w:r>
    </w:p>
    <w:p w14:paraId="7005425B" w14:textId="3808129F"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d</w:t>
      </w:r>
      <w:r w:rsidR="00E51E39" w:rsidRPr="002F0E6F">
        <w:t>isagree;</w:t>
      </w:r>
    </w:p>
    <w:p w14:paraId="14CF8536" w14:textId="28BF301C" w:rsidR="00E51E39" w:rsidRPr="002F0E6F" w:rsidRDefault="00897CE4" w:rsidP="000979EC">
      <w:pPr>
        <w:pStyle w:val="NumberlessNormalText"/>
        <w:numPr>
          <w:ilvl w:val="0"/>
          <w:numId w:val="21"/>
        </w:numPr>
        <w:tabs>
          <w:tab w:val="clear" w:pos="851"/>
          <w:tab w:val="left" w:pos="709"/>
        </w:tabs>
        <w:spacing w:before="80" w:after="80"/>
        <w:ind w:left="709" w:right="0" w:hanging="425"/>
      </w:pPr>
      <w:r w:rsidRPr="002F0E6F">
        <w:t>s</w:t>
      </w:r>
      <w:r w:rsidR="00E51E39" w:rsidRPr="002F0E6F">
        <w:t>trongly disagree.</w:t>
      </w:r>
    </w:p>
    <w:p w14:paraId="296DFA4E" w14:textId="181773E1" w:rsidR="00331520" w:rsidRPr="002F0E6F" w:rsidRDefault="00E51E39" w:rsidP="000979EC">
      <w:pPr>
        <w:pStyle w:val="NumberlessNormalText"/>
        <w:ind w:right="0"/>
      </w:pPr>
      <w:r w:rsidRPr="002F0E6F">
        <w:t xml:space="preserve">Please </w:t>
      </w:r>
      <w:r w:rsidRPr="00D9621D">
        <w:t>provide</w:t>
      </w:r>
      <w:r w:rsidRPr="002F0E6F">
        <w:t xml:space="preserve"> reasons explaining your view.</w:t>
      </w:r>
      <w:r w:rsidR="00897CE4" w:rsidRPr="002F0E6F">
        <w:t xml:space="preserve"> </w:t>
      </w:r>
      <w:r w:rsid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Question3 \h </w:instrText>
      </w:r>
      <w:r w:rsidR="000E6BC6" w:rsidRPr="003E6A6E">
        <w:rPr>
          <w:szCs w:val="20"/>
        </w:rPr>
      </w:r>
      <w:r w:rsidR="000E6BC6" w:rsidRPr="003E6A6E">
        <w:rPr>
          <w:szCs w:val="20"/>
        </w:rPr>
        <w:fldChar w:fldCharType="separate"/>
      </w:r>
      <w:r w:rsidR="002279E8">
        <w:rPr>
          <w:noProof/>
          <w:szCs w:val="20"/>
        </w:rPr>
        <w:t>32</w:t>
      </w:r>
      <w:r w:rsidR="000E6BC6" w:rsidRPr="003E6A6E">
        <w:rPr>
          <w:szCs w:val="20"/>
        </w:rPr>
        <w:fldChar w:fldCharType="end"/>
      </w:r>
      <w:r w:rsidR="003E6A6E">
        <w:rPr>
          <w:szCs w:val="20"/>
        </w:rPr>
        <w:t>)</w:t>
      </w:r>
    </w:p>
    <w:p w14:paraId="51A97651" w14:textId="31DB8806" w:rsidR="00E51E39" w:rsidRPr="002F0E6F" w:rsidRDefault="00E51E39" w:rsidP="000979EC">
      <w:pPr>
        <w:pStyle w:val="NumberlessNormalText"/>
        <w:spacing w:before="240" w:after="120"/>
        <w:ind w:right="0"/>
        <w:rPr>
          <w:b/>
        </w:rPr>
      </w:pPr>
      <w:r w:rsidRPr="002F0E6F">
        <w:rPr>
          <w:b/>
        </w:rPr>
        <w:t>Question 4</w:t>
      </w:r>
    </w:p>
    <w:p w14:paraId="6D2CE8C0" w14:textId="0CF21DF3" w:rsidR="00E51E39" w:rsidRPr="002F0E6F" w:rsidRDefault="00E51E39" w:rsidP="000979EC">
      <w:pPr>
        <w:pStyle w:val="NumberlessNormalText"/>
        <w:spacing w:before="120" w:after="120"/>
        <w:ind w:right="0"/>
      </w:pPr>
      <w:r w:rsidRPr="002F0E6F">
        <w:t xml:space="preserve">Do you consider that introduction of notional estate provisions in Tasmania would create difficulties or issues? For example, in your experience or opinion how might notional estate legislation interfere with: </w:t>
      </w:r>
    </w:p>
    <w:p w14:paraId="56D7CBE3" w14:textId="14132346" w:rsidR="00DB1065" w:rsidRPr="002F0E6F" w:rsidRDefault="00E51E39" w:rsidP="000979EC">
      <w:pPr>
        <w:pStyle w:val="NumberlessNormalText"/>
        <w:numPr>
          <w:ilvl w:val="0"/>
          <w:numId w:val="22"/>
        </w:numPr>
        <w:spacing w:before="80" w:after="80"/>
        <w:ind w:left="709" w:right="0" w:hanging="425"/>
      </w:pPr>
      <w:r w:rsidRPr="002F0E6F">
        <w:t>tax planning;</w:t>
      </w:r>
    </w:p>
    <w:p w14:paraId="212C5DBC" w14:textId="254F7A11" w:rsidR="00E51E39" w:rsidRPr="002F0E6F" w:rsidRDefault="00E51E39" w:rsidP="000979EC">
      <w:pPr>
        <w:pStyle w:val="NumberlessNormalText"/>
        <w:numPr>
          <w:ilvl w:val="0"/>
          <w:numId w:val="22"/>
        </w:numPr>
        <w:spacing w:before="80" w:after="80"/>
        <w:ind w:left="709" w:right="0" w:hanging="425"/>
      </w:pPr>
      <w:r w:rsidRPr="002F0E6F">
        <w:t xml:space="preserve">asset protection </w:t>
      </w:r>
      <w:r w:rsidR="004A7F03" w:rsidRPr="002F0E6F">
        <w:t>arrangements</w:t>
      </w:r>
      <w:r w:rsidRPr="002F0E6F">
        <w:t xml:space="preserve">; </w:t>
      </w:r>
    </w:p>
    <w:p w14:paraId="3E14C83E" w14:textId="3C95134C" w:rsidR="00E51E39" w:rsidRPr="002F0E6F" w:rsidRDefault="00E51E39" w:rsidP="000979EC">
      <w:pPr>
        <w:pStyle w:val="NumberlessNormalText"/>
        <w:numPr>
          <w:ilvl w:val="0"/>
          <w:numId w:val="22"/>
        </w:numPr>
        <w:spacing w:before="80" w:after="80"/>
        <w:ind w:left="709" w:right="0" w:hanging="425"/>
      </w:pPr>
      <w:r w:rsidRPr="002F0E6F">
        <w:t>provisions made for individuals during a person’s life;</w:t>
      </w:r>
    </w:p>
    <w:p w14:paraId="3E52CF49" w14:textId="77777777" w:rsidR="00E51E39" w:rsidRPr="002F0E6F" w:rsidRDefault="00E51E39" w:rsidP="000979EC">
      <w:pPr>
        <w:pStyle w:val="NumberlessNormalText"/>
        <w:numPr>
          <w:ilvl w:val="0"/>
          <w:numId w:val="22"/>
        </w:numPr>
        <w:spacing w:before="80" w:after="80"/>
        <w:ind w:left="709" w:right="0" w:hanging="425"/>
      </w:pPr>
      <w:r w:rsidRPr="002F0E6F">
        <w:t>farming or business succession arrangements; or</w:t>
      </w:r>
    </w:p>
    <w:p w14:paraId="032E9DF1" w14:textId="67FBA471" w:rsidR="00331520" w:rsidRPr="002F0E6F" w:rsidRDefault="00E51E39" w:rsidP="000979EC">
      <w:pPr>
        <w:pStyle w:val="NumberlessNormalText"/>
        <w:numPr>
          <w:ilvl w:val="0"/>
          <w:numId w:val="22"/>
        </w:numPr>
        <w:spacing w:before="80" w:after="0"/>
        <w:ind w:left="709" w:right="0" w:hanging="425"/>
        <w:rPr>
          <w:rFonts w:ascii="Garamond" w:hAnsi="Garamond"/>
        </w:rPr>
      </w:pPr>
      <w:r w:rsidRPr="002F0E6F">
        <w:t>other aspects of estate planning?</w:t>
      </w:r>
      <w:r w:rsidR="004A7F03" w:rsidRPr="002F0E6F">
        <w:t xml:space="preserve"> </w:t>
      </w:r>
      <w:r w:rsid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Question4 \h </w:instrText>
      </w:r>
      <w:r w:rsidR="000E6BC6" w:rsidRPr="003E6A6E">
        <w:rPr>
          <w:szCs w:val="20"/>
        </w:rPr>
      </w:r>
      <w:r w:rsidR="000E6BC6" w:rsidRPr="003E6A6E">
        <w:rPr>
          <w:szCs w:val="20"/>
        </w:rPr>
        <w:fldChar w:fldCharType="separate"/>
      </w:r>
      <w:r w:rsidR="002279E8">
        <w:rPr>
          <w:noProof/>
          <w:szCs w:val="20"/>
        </w:rPr>
        <w:t>33</w:t>
      </w:r>
      <w:r w:rsidR="000E6BC6" w:rsidRPr="003E6A6E">
        <w:rPr>
          <w:szCs w:val="20"/>
        </w:rPr>
        <w:fldChar w:fldCharType="end"/>
      </w:r>
      <w:r w:rsidR="003E6A6E">
        <w:rPr>
          <w:szCs w:val="20"/>
        </w:rPr>
        <w:t>)</w:t>
      </w:r>
    </w:p>
    <w:p w14:paraId="7CD4CCA0" w14:textId="77777777" w:rsidR="00E51E39" w:rsidRPr="002F0E6F" w:rsidRDefault="00E51E39" w:rsidP="00AC1249">
      <w:pPr>
        <w:pStyle w:val="NumberlessNormalText"/>
        <w:keepNext/>
        <w:spacing w:after="120"/>
        <w:ind w:right="0"/>
        <w:rPr>
          <w:b/>
        </w:rPr>
      </w:pPr>
      <w:r w:rsidRPr="002F0E6F">
        <w:rPr>
          <w:b/>
        </w:rPr>
        <w:lastRenderedPageBreak/>
        <w:t>Question 5</w:t>
      </w:r>
    </w:p>
    <w:p w14:paraId="77FBD1A6" w14:textId="1B1DB595" w:rsidR="0093045E" w:rsidRPr="002F0E6F" w:rsidRDefault="0093045E" w:rsidP="00AC1249">
      <w:pPr>
        <w:pStyle w:val="NumberlessNormalText"/>
        <w:keepNext/>
        <w:spacing w:before="120" w:after="120"/>
        <w:ind w:right="0"/>
      </w:pPr>
      <w:r w:rsidRPr="002F0E6F">
        <w:t xml:space="preserve">If notional estate provisions were introduced in Tasmania, should the New South Wales legislation be used as a precedent? If so, are there any parts of </w:t>
      </w:r>
      <w:r w:rsidR="002437FC">
        <w:t>these</w:t>
      </w:r>
      <w:r w:rsidRPr="002F0E6F">
        <w:t xml:space="preserve"> provisions that you think should be changed? For example, do you consider that there is a need to make any change to: </w:t>
      </w:r>
    </w:p>
    <w:p w14:paraId="20643FE2" w14:textId="57E09DCB" w:rsidR="00202B06" w:rsidRPr="002F0E6F" w:rsidRDefault="00E51E39" w:rsidP="000979EC">
      <w:pPr>
        <w:pStyle w:val="NumberlessNormalText"/>
        <w:numPr>
          <w:ilvl w:val="0"/>
          <w:numId w:val="24"/>
        </w:numPr>
        <w:tabs>
          <w:tab w:val="clear" w:pos="851"/>
          <w:tab w:val="left" w:pos="709"/>
        </w:tabs>
        <w:spacing w:before="80" w:after="80"/>
        <w:ind w:right="0" w:hanging="436"/>
      </w:pPr>
      <w:r w:rsidRPr="002F0E6F">
        <w:t xml:space="preserve">the types of property that </w:t>
      </w:r>
      <w:r w:rsidR="00BE5F4C">
        <w:t>may be affected</w:t>
      </w:r>
      <w:r w:rsidRPr="002F0E6F">
        <w:t>;</w:t>
      </w:r>
    </w:p>
    <w:p w14:paraId="3AA4018D" w14:textId="77777777" w:rsidR="00202B06" w:rsidRPr="002F0E6F" w:rsidRDefault="00E51E39" w:rsidP="000979EC">
      <w:pPr>
        <w:pStyle w:val="NumberlessNormalText"/>
        <w:numPr>
          <w:ilvl w:val="0"/>
          <w:numId w:val="24"/>
        </w:numPr>
        <w:tabs>
          <w:tab w:val="clear" w:pos="851"/>
          <w:tab w:val="left" w:pos="709"/>
        </w:tabs>
        <w:spacing w:before="80" w:after="80"/>
        <w:ind w:right="0" w:hanging="436"/>
      </w:pPr>
      <w:r w:rsidRPr="002F0E6F">
        <w:t>the acts (or failures to act) captured;</w:t>
      </w:r>
    </w:p>
    <w:p w14:paraId="1A2903D8" w14:textId="77777777" w:rsidR="00202B06" w:rsidRPr="002F0E6F" w:rsidRDefault="00E51E39" w:rsidP="000979EC">
      <w:pPr>
        <w:pStyle w:val="NumberlessNormalText"/>
        <w:numPr>
          <w:ilvl w:val="0"/>
          <w:numId w:val="24"/>
        </w:numPr>
        <w:tabs>
          <w:tab w:val="clear" w:pos="851"/>
          <w:tab w:val="left" w:pos="709"/>
        </w:tabs>
        <w:spacing w:before="80" w:after="80"/>
        <w:ind w:right="0" w:hanging="436"/>
      </w:pPr>
      <w:r w:rsidRPr="002F0E6F">
        <w:t>the relevance of a person’s intentions;</w:t>
      </w:r>
    </w:p>
    <w:p w14:paraId="692BBEA4" w14:textId="77777777" w:rsidR="00202B06" w:rsidRPr="002F0E6F" w:rsidRDefault="00E51E39" w:rsidP="000979EC">
      <w:pPr>
        <w:pStyle w:val="NumberlessNormalText"/>
        <w:numPr>
          <w:ilvl w:val="0"/>
          <w:numId w:val="24"/>
        </w:numPr>
        <w:tabs>
          <w:tab w:val="clear" w:pos="851"/>
          <w:tab w:val="left" w:pos="709"/>
        </w:tabs>
        <w:spacing w:before="80" w:after="80"/>
        <w:ind w:right="0" w:hanging="436"/>
      </w:pPr>
      <w:r w:rsidRPr="002F0E6F">
        <w:t xml:space="preserve">the period of time in which a relevant property </w:t>
      </w:r>
      <w:r w:rsidR="00D15E84" w:rsidRPr="002F0E6F">
        <w:t>transaction</w:t>
      </w:r>
      <w:r w:rsidRPr="002F0E6F">
        <w:t xml:space="preserve"> occurs that is covered;</w:t>
      </w:r>
    </w:p>
    <w:p w14:paraId="57E08016" w14:textId="53B3F666" w:rsidR="00202B06" w:rsidRPr="002F0E6F" w:rsidRDefault="00E51E39" w:rsidP="000979EC">
      <w:pPr>
        <w:pStyle w:val="NumberlessNormalText"/>
        <w:numPr>
          <w:ilvl w:val="0"/>
          <w:numId w:val="24"/>
        </w:numPr>
        <w:tabs>
          <w:tab w:val="clear" w:pos="851"/>
          <w:tab w:val="left" w:pos="709"/>
        </w:tabs>
        <w:spacing w:before="80" w:after="80"/>
        <w:ind w:right="0" w:hanging="436"/>
      </w:pPr>
      <w:r w:rsidRPr="002F0E6F">
        <w:t>the circumstances in which a notional estate</w:t>
      </w:r>
      <w:r w:rsidR="00D9621D">
        <w:t xml:space="preserve"> </w:t>
      </w:r>
      <w:r w:rsidRPr="002F0E6F">
        <w:t>order may be made; or</w:t>
      </w:r>
    </w:p>
    <w:p w14:paraId="3AD471A4" w14:textId="002D8B09" w:rsidR="00E51E39" w:rsidRPr="002F0E6F" w:rsidRDefault="00E51E39" w:rsidP="000979EC">
      <w:pPr>
        <w:pStyle w:val="NumberlessNormalText"/>
        <w:numPr>
          <w:ilvl w:val="0"/>
          <w:numId w:val="24"/>
        </w:numPr>
        <w:tabs>
          <w:tab w:val="clear" w:pos="851"/>
          <w:tab w:val="left" w:pos="709"/>
        </w:tabs>
        <w:spacing w:before="80" w:after="360"/>
        <w:ind w:left="721" w:right="0" w:hanging="437"/>
      </w:pPr>
      <w:r w:rsidRPr="002F0E6F">
        <w:t>any other provisions</w:t>
      </w:r>
      <w:r w:rsidR="00D9621D">
        <w:t>?</w:t>
      </w:r>
      <w:r w:rsidR="00D9621D" w:rsidRPr="002F0E6F">
        <w:t xml:space="preserve"> </w:t>
      </w:r>
      <w:r w:rsid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Question5 \h </w:instrText>
      </w:r>
      <w:r w:rsidR="000E6BC6" w:rsidRPr="003E6A6E">
        <w:rPr>
          <w:szCs w:val="20"/>
        </w:rPr>
      </w:r>
      <w:r w:rsidR="000E6BC6" w:rsidRPr="003E6A6E">
        <w:rPr>
          <w:szCs w:val="20"/>
        </w:rPr>
        <w:fldChar w:fldCharType="separate"/>
      </w:r>
      <w:r w:rsidR="002279E8">
        <w:rPr>
          <w:noProof/>
          <w:szCs w:val="20"/>
        </w:rPr>
        <w:t>34</w:t>
      </w:r>
      <w:r w:rsidR="000E6BC6" w:rsidRPr="003E6A6E">
        <w:rPr>
          <w:szCs w:val="20"/>
        </w:rPr>
        <w:fldChar w:fldCharType="end"/>
      </w:r>
      <w:r w:rsidR="003E6A6E">
        <w:rPr>
          <w:szCs w:val="20"/>
        </w:rPr>
        <w:t>)</w:t>
      </w:r>
    </w:p>
    <w:p w14:paraId="4AB4B360" w14:textId="11BDD657" w:rsidR="00E51E39" w:rsidRPr="002F0E6F" w:rsidRDefault="00E51E39" w:rsidP="000979EC">
      <w:pPr>
        <w:pStyle w:val="NumberlessNormalText"/>
        <w:spacing w:after="120"/>
        <w:ind w:right="0"/>
        <w:rPr>
          <w:b/>
        </w:rPr>
      </w:pPr>
      <w:r w:rsidRPr="002F0E6F">
        <w:rPr>
          <w:b/>
        </w:rPr>
        <w:t>Question 6</w:t>
      </w:r>
    </w:p>
    <w:p w14:paraId="31B46149" w14:textId="159D0F0D" w:rsidR="006573DF" w:rsidRPr="002F0E6F" w:rsidRDefault="00E51E39" w:rsidP="002279E8">
      <w:pPr>
        <w:pStyle w:val="NumberlessNormalText"/>
        <w:spacing w:before="120"/>
        <w:ind w:right="0"/>
        <w:rPr>
          <w:b/>
          <w:i/>
          <w:szCs w:val="20"/>
        </w:rPr>
      </w:pPr>
      <w:r w:rsidRPr="002F0E6F">
        <w:t xml:space="preserve">Are there any other </w:t>
      </w:r>
      <w:r w:rsidRPr="00B767EA">
        <w:t>matters</w:t>
      </w:r>
      <w:r w:rsidRPr="002F0E6F">
        <w:t xml:space="preserve"> in relation to introducing notional estate legislation in Tasmania that you would like to comment on?</w:t>
      </w:r>
      <w:r w:rsidR="00AC1CEF" w:rsidRPr="002F0E6F">
        <w:t xml:space="preserve"> </w:t>
      </w:r>
      <w:r w:rsidR="003E6A6E">
        <w:t>(</w:t>
      </w:r>
      <w:r w:rsidR="00331520" w:rsidRPr="003E6A6E">
        <w:rPr>
          <w:szCs w:val="20"/>
        </w:rPr>
        <w:t xml:space="preserve">Page </w:t>
      </w:r>
      <w:r w:rsidR="000E6BC6" w:rsidRPr="003E6A6E">
        <w:rPr>
          <w:szCs w:val="20"/>
        </w:rPr>
        <w:fldChar w:fldCharType="begin"/>
      </w:r>
      <w:r w:rsidR="000E6BC6" w:rsidRPr="003E6A6E">
        <w:rPr>
          <w:szCs w:val="20"/>
        </w:rPr>
        <w:instrText xml:space="preserve"> PAGEREF Question6 \h </w:instrText>
      </w:r>
      <w:r w:rsidR="000E6BC6" w:rsidRPr="003E6A6E">
        <w:rPr>
          <w:szCs w:val="20"/>
        </w:rPr>
      </w:r>
      <w:r w:rsidR="000E6BC6" w:rsidRPr="003E6A6E">
        <w:rPr>
          <w:szCs w:val="20"/>
        </w:rPr>
        <w:fldChar w:fldCharType="separate"/>
      </w:r>
      <w:r w:rsidR="002279E8">
        <w:rPr>
          <w:noProof/>
          <w:szCs w:val="20"/>
        </w:rPr>
        <w:t>34</w:t>
      </w:r>
      <w:r w:rsidR="000E6BC6" w:rsidRPr="003E6A6E">
        <w:rPr>
          <w:szCs w:val="20"/>
        </w:rPr>
        <w:fldChar w:fldCharType="end"/>
      </w:r>
      <w:r w:rsidR="003E6A6E">
        <w:rPr>
          <w:szCs w:val="20"/>
        </w:rPr>
        <w:t>)</w:t>
      </w:r>
    </w:p>
    <w:p w14:paraId="15B34E85" w14:textId="77777777" w:rsidR="00AC1CEF" w:rsidRPr="002F0E6F" w:rsidRDefault="00AC1CEF" w:rsidP="00AC1CEF">
      <w:pPr>
        <w:spacing w:after="360"/>
        <w:rPr>
          <w:rFonts w:ascii="Garamond" w:hAnsi="Garamond"/>
        </w:rPr>
        <w:sectPr w:rsidR="00AC1CEF" w:rsidRPr="002F0E6F" w:rsidSect="000F2AEC">
          <w:headerReference w:type="even" r:id="rId39"/>
          <w:headerReference w:type="default" r:id="rId40"/>
          <w:footerReference w:type="even" r:id="rId41"/>
          <w:headerReference w:type="first" r:id="rId42"/>
          <w:footerReference w:type="first" r:id="rId43"/>
          <w:pgSz w:w="11906" w:h="16838" w:code="9"/>
          <w:pgMar w:top="1440" w:right="1440" w:bottom="1440" w:left="1440" w:header="709" w:footer="709" w:gutter="0"/>
          <w:pgNumType w:fmt="lowerRoman"/>
          <w:cols w:space="708"/>
          <w:titlePg/>
          <w:docGrid w:linePitch="360"/>
        </w:sectPr>
      </w:pPr>
    </w:p>
    <w:p w14:paraId="79406D04" w14:textId="77777777" w:rsidR="002C3DFE" w:rsidRPr="002F0E6F" w:rsidRDefault="002C3DFE" w:rsidP="002C3DFE">
      <w:pPr>
        <w:pStyle w:val="PartNoTLRI"/>
        <w:numPr>
          <w:ilvl w:val="0"/>
          <w:numId w:val="1"/>
        </w:numPr>
        <w:ind w:left="0" w:firstLine="0"/>
        <w:rPr>
          <w:lang w:val="en-AU"/>
        </w:rPr>
      </w:pPr>
      <w:bookmarkStart w:id="27" w:name="_Toc2256846"/>
      <w:bookmarkStart w:id="28" w:name="_Toc91058317"/>
      <w:bookmarkStart w:id="29" w:name="_Toc93466587"/>
      <w:bookmarkEnd w:id="27"/>
    </w:p>
    <w:p w14:paraId="09CA7F30" w14:textId="77777777" w:rsidR="002C3DFE" w:rsidRPr="002F0E6F" w:rsidRDefault="002C3DFE" w:rsidP="00331520">
      <w:pPr>
        <w:pStyle w:val="PartHeadingTLRI"/>
        <w:rPr>
          <w:lang w:val="en-AU"/>
        </w:rPr>
      </w:pPr>
      <w:bookmarkStart w:id="30" w:name="_Toc2256847"/>
      <w:r w:rsidRPr="002F0E6F">
        <w:rPr>
          <w:lang w:val="en-AU"/>
        </w:rPr>
        <w:t>Introduction</w:t>
      </w:r>
      <w:bookmarkEnd w:id="28"/>
      <w:bookmarkEnd w:id="29"/>
      <w:bookmarkEnd w:id="30"/>
    </w:p>
    <w:p w14:paraId="387E0152" w14:textId="1D9F3FFB" w:rsidR="00D12E56" w:rsidRPr="002F0E6F" w:rsidRDefault="00D12E56" w:rsidP="00596911">
      <w:pPr>
        <w:pStyle w:val="NumberedHeadingTLRI"/>
        <w:numPr>
          <w:ilvl w:val="1"/>
          <w:numId w:val="11"/>
        </w:numPr>
        <w:rPr>
          <w:lang w:val="en-AU"/>
        </w:rPr>
      </w:pPr>
      <w:bookmarkStart w:id="31" w:name="_Toc2256848"/>
      <w:r w:rsidRPr="002F0E6F">
        <w:rPr>
          <w:lang w:val="en-AU"/>
        </w:rPr>
        <w:t xml:space="preserve">The </w:t>
      </w:r>
      <w:r w:rsidR="00AC3CCE">
        <w:rPr>
          <w:lang w:val="en-AU"/>
        </w:rPr>
        <w:t>i</w:t>
      </w:r>
      <w:r w:rsidRPr="002F0E6F">
        <w:rPr>
          <w:lang w:val="en-AU"/>
        </w:rPr>
        <w:t>ssue</w:t>
      </w:r>
      <w:bookmarkEnd w:id="31"/>
    </w:p>
    <w:p w14:paraId="5505790F" w14:textId="1CD5AD93" w:rsidR="00833960" w:rsidRPr="002F0E6F" w:rsidRDefault="00833960" w:rsidP="002705FF">
      <w:pPr>
        <w:pStyle w:val="NormalNumberedTextTLRI"/>
        <w:rPr>
          <w:lang w:val="en-AU"/>
        </w:rPr>
      </w:pPr>
      <w:r w:rsidRPr="002F0E6F">
        <w:rPr>
          <w:lang w:val="en-AU"/>
        </w:rPr>
        <w:t xml:space="preserve">All Australian </w:t>
      </w:r>
      <w:r w:rsidR="00AC1CEF" w:rsidRPr="002F0E6F">
        <w:rPr>
          <w:lang w:val="en-AU"/>
        </w:rPr>
        <w:t>s</w:t>
      </w:r>
      <w:r w:rsidRPr="002F0E6F">
        <w:rPr>
          <w:lang w:val="en-AU"/>
        </w:rPr>
        <w:t xml:space="preserve">tates and </w:t>
      </w:r>
      <w:r w:rsidR="00AC1CEF" w:rsidRPr="002F0E6F">
        <w:rPr>
          <w:lang w:val="en-AU"/>
        </w:rPr>
        <w:t>t</w:t>
      </w:r>
      <w:r w:rsidRPr="002F0E6F">
        <w:rPr>
          <w:lang w:val="en-AU"/>
        </w:rPr>
        <w:t xml:space="preserve">erritories adopt a ‘freedom of testation’ model, where a person </w:t>
      </w:r>
      <w:r w:rsidR="003841AD" w:rsidRPr="002F0E6F">
        <w:rPr>
          <w:lang w:val="en-AU"/>
        </w:rPr>
        <w:t xml:space="preserve">with the necessary capacity to make a will </w:t>
      </w:r>
      <w:r w:rsidRPr="002F0E6F">
        <w:rPr>
          <w:lang w:val="en-AU"/>
        </w:rPr>
        <w:t>(a testator) is free to make a will that leaves their estate to whomever they wish</w:t>
      </w:r>
      <w:r w:rsidR="003841AD" w:rsidRPr="002F0E6F">
        <w:rPr>
          <w:lang w:val="en-AU"/>
        </w:rPr>
        <w:t xml:space="preserve"> upon their death</w:t>
      </w:r>
      <w:r w:rsidRPr="002F0E6F">
        <w:rPr>
          <w:lang w:val="en-AU"/>
        </w:rPr>
        <w:t>. Subject to family provision legislation (explained below)</w:t>
      </w:r>
      <w:r w:rsidR="003841AD" w:rsidRPr="002F0E6F">
        <w:rPr>
          <w:lang w:val="en-AU"/>
        </w:rPr>
        <w:t>,</w:t>
      </w:r>
      <w:r w:rsidRPr="002F0E6F">
        <w:rPr>
          <w:lang w:val="en-AU"/>
        </w:rPr>
        <w:t xml:space="preserve"> there is no legal obligation upon a testator </w:t>
      </w:r>
      <w:r w:rsidR="003841AD" w:rsidRPr="002F0E6F">
        <w:rPr>
          <w:lang w:val="en-AU"/>
        </w:rPr>
        <w:t>to make any particular provision for their spouse, children or other dependants in their will. Where a person dies without a valid will, legislation sets out how that person’s estate is to be divided and distributed amongst their family</w:t>
      </w:r>
      <w:r w:rsidR="008F5BC5" w:rsidRPr="002F0E6F">
        <w:rPr>
          <w:lang w:val="en-AU"/>
        </w:rPr>
        <w:t xml:space="preserve"> members</w:t>
      </w:r>
      <w:r w:rsidR="003841AD" w:rsidRPr="002F0E6F">
        <w:rPr>
          <w:lang w:val="en-AU"/>
        </w:rPr>
        <w:t>.</w:t>
      </w:r>
      <w:r w:rsidR="003841AD" w:rsidRPr="002F0E6F">
        <w:rPr>
          <w:rStyle w:val="FootnoteReference"/>
          <w:lang w:val="en-AU"/>
        </w:rPr>
        <w:footnoteReference w:id="3"/>
      </w:r>
    </w:p>
    <w:p w14:paraId="4E021F39" w14:textId="5E784783" w:rsidR="00833960" w:rsidRPr="00EF121E" w:rsidRDefault="00882F91" w:rsidP="007F5F63">
      <w:pPr>
        <w:pStyle w:val="NormalNumberedTextTLRI"/>
        <w:rPr>
          <w:lang w:val="en-AU"/>
        </w:rPr>
      </w:pPr>
      <w:r w:rsidRPr="00EF121E">
        <w:rPr>
          <w:lang w:val="en-AU"/>
        </w:rPr>
        <w:t xml:space="preserve">All </w:t>
      </w:r>
      <w:r w:rsidR="002745A9" w:rsidRPr="00EF121E">
        <w:rPr>
          <w:lang w:val="en-AU"/>
        </w:rPr>
        <w:t>s</w:t>
      </w:r>
      <w:r w:rsidRPr="00EF121E">
        <w:rPr>
          <w:lang w:val="en-AU"/>
        </w:rPr>
        <w:t xml:space="preserve">tates and </w:t>
      </w:r>
      <w:r w:rsidR="002745A9" w:rsidRPr="00EF121E">
        <w:rPr>
          <w:lang w:val="en-AU"/>
        </w:rPr>
        <w:t>t</w:t>
      </w:r>
      <w:r w:rsidRPr="00EF121E">
        <w:rPr>
          <w:lang w:val="en-AU"/>
        </w:rPr>
        <w:t>erritories have legislation</w:t>
      </w:r>
      <w:r w:rsidR="008F5BC5" w:rsidRPr="00EF121E">
        <w:rPr>
          <w:lang w:val="en-AU"/>
        </w:rPr>
        <w:t xml:space="preserve">, however, </w:t>
      </w:r>
      <w:r w:rsidRPr="00EF121E">
        <w:rPr>
          <w:lang w:val="en-AU"/>
        </w:rPr>
        <w:t>that allows a court to make provision</w:t>
      </w:r>
      <w:r w:rsidR="008F5BC5" w:rsidRPr="00EF121E">
        <w:rPr>
          <w:lang w:val="en-AU"/>
        </w:rPr>
        <w:t xml:space="preserve"> (or additional provision)</w:t>
      </w:r>
      <w:r w:rsidRPr="00EF121E">
        <w:rPr>
          <w:lang w:val="en-AU"/>
        </w:rPr>
        <w:t xml:space="preserve"> for </w:t>
      </w:r>
      <w:r w:rsidR="0071771D" w:rsidRPr="00EF121E">
        <w:rPr>
          <w:lang w:val="en-AU"/>
        </w:rPr>
        <w:t>an eligible applicant</w:t>
      </w:r>
      <w:r w:rsidRPr="00EF121E">
        <w:rPr>
          <w:lang w:val="en-AU"/>
        </w:rPr>
        <w:t xml:space="preserve"> where</w:t>
      </w:r>
      <w:r w:rsidR="00F62490" w:rsidRPr="00EF121E">
        <w:rPr>
          <w:lang w:val="en-AU"/>
        </w:rPr>
        <w:t xml:space="preserve"> the court </w:t>
      </w:r>
      <w:r w:rsidR="00790194" w:rsidRPr="00EF121E">
        <w:rPr>
          <w:lang w:val="en-AU"/>
        </w:rPr>
        <w:t>determines</w:t>
      </w:r>
      <w:r w:rsidR="00F62490" w:rsidRPr="00EF121E">
        <w:rPr>
          <w:lang w:val="en-AU"/>
        </w:rPr>
        <w:t xml:space="preserve"> that</w:t>
      </w:r>
      <w:r w:rsidRPr="00EF121E">
        <w:rPr>
          <w:lang w:val="en-AU"/>
        </w:rPr>
        <w:t xml:space="preserve"> </w:t>
      </w:r>
      <w:r w:rsidR="0071771D" w:rsidRPr="00EF121E">
        <w:rPr>
          <w:lang w:val="en-AU"/>
        </w:rPr>
        <w:t>a testator’s</w:t>
      </w:r>
      <w:r w:rsidRPr="00EF121E">
        <w:rPr>
          <w:lang w:val="en-AU"/>
        </w:rPr>
        <w:t xml:space="preserve"> will (or </w:t>
      </w:r>
      <w:r w:rsidR="00A60314" w:rsidRPr="00EF121E">
        <w:rPr>
          <w:lang w:val="en-AU"/>
        </w:rPr>
        <w:t>the effect of</w:t>
      </w:r>
      <w:r w:rsidRPr="00EF121E">
        <w:rPr>
          <w:lang w:val="en-AU"/>
        </w:rPr>
        <w:t xml:space="preserve"> intestacy</w:t>
      </w:r>
      <w:r w:rsidR="008F5BC5" w:rsidRPr="00EF121E">
        <w:rPr>
          <w:lang w:val="en-AU"/>
        </w:rPr>
        <w:t xml:space="preserve"> laws</w:t>
      </w:r>
      <w:r w:rsidRPr="00EF121E">
        <w:rPr>
          <w:lang w:val="en-AU"/>
        </w:rPr>
        <w:t xml:space="preserve">) does not make adequate provision for </w:t>
      </w:r>
      <w:r w:rsidR="00F62490" w:rsidRPr="00EF121E">
        <w:rPr>
          <w:lang w:val="en-AU"/>
        </w:rPr>
        <w:t xml:space="preserve">that </w:t>
      </w:r>
      <w:r w:rsidR="00A60314" w:rsidRPr="00EF121E">
        <w:rPr>
          <w:lang w:val="en-AU"/>
        </w:rPr>
        <w:t>applicant</w:t>
      </w:r>
      <w:r w:rsidR="00833960" w:rsidRPr="00EF121E">
        <w:rPr>
          <w:lang w:val="en-AU"/>
        </w:rPr>
        <w:t>.</w:t>
      </w:r>
      <w:bookmarkStart w:id="32" w:name="_Ref2242859"/>
      <w:r w:rsidR="008F5BC5" w:rsidRPr="002F0E6F">
        <w:rPr>
          <w:rStyle w:val="FootnoteReference"/>
          <w:lang w:val="en-AU"/>
        </w:rPr>
        <w:footnoteReference w:id="4"/>
      </w:r>
      <w:bookmarkEnd w:id="32"/>
      <w:r w:rsidR="008F5BC5" w:rsidRPr="00EF121E">
        <w:rPr>
          <w:lang w:val="en-AU"/>
        </w:rPr>
        <w:t xml:space="preserve"> </w:t>
      </w:r>
      <w:r w:rsidR="00EF121E" w:rsidRPr="00EF121E">
        <w:rPr>
          <w:lang w:val="en-AU"/>
        </w:rPr>
        <w:t xml:space="preserve">In Tasmania, </w:t>
      </w:r>
      <w:r w:rsidR="00EF121E">
        <w:rPr>
          <w:lang w:val="en-AU"/>
        </w:rPr>
        <w:t>t</w:t>
      </w:r>
      <w:r w:rsidR="00833960" w:rsidRPr="00EF121E">
        <w:rPr>
          <w:lang w:val="en-AU"/>
        </w:rPr>
        <w:t xml:space="preserve">hese </w:t>
      </w:r>
      <w:r w:rsidR="000F6BD4" w:rsidRPr="00EF121E">
        <w:rPr>
          <w:lang w:val="en-AU"/>
        </w:rPr>
        <w:t xml:space="preserve">matters </w:t>
      </w:r>
      <w:r w:rsidR="00EF121E" w:rsidRPr="00EF121E">
        <w:rPr>
          <w:lang w:val="en-AU"/>
        </w:rPr>
        <w:t xml:space="preserve">fall under the </w:t>
      </w:r>
      <w:r w:rsidR="00833960" w:rsidRPr="00EF121E">
        <w:rPr>
          <w:i/>
          <w:iCs/>
          <w:lang w:val="en-AU"/>
        </w:rPr>
        <w:t>Testator’s Family Maintenance Act 1912</w:t>
      </w:r>
      <w:r w:rsidR="00833960" w:rsidRPr="00EF121E">
        <w:rPr>
          <w:lang w:val="en-AU"/>
        </w:rPr>
        <w:t xml:space="preserve"> (Tas) </w:t>
      </w:r>
      <w:r w:rsidR="00F15E1B" w:rsidRPr="00EF121E">
        <w:rPr>
          <w:lang w:val="en-AU"/>
        </w:rPr>
        <w:t xml:space="preserve">(the </w:t>
      </w:r>
      <w:r w:rsidR="009E7E2C" w:rsidRPr="00EF121E">
        <w:rPr>
          <w:lang w:val="en-AU"/>
        </w:rPr>
        <w:t>‘</w:t>
      </w:r>
      <w:r w:rsidR="002437FC" w:rsidRPr="00EF121E">
        <w:rPr>
          <w:i/>
          <w:lang w:val="en-AU"/>
        </w:rPr>
        <w:t xml:space="preserve">TFM </w:t>
      </w:r>
      <w:r w:rsidR="00F15E1B" w:rsidRPr="00EF121E">
        <w:rPr>
          <w:i/>
          <w:lang w:val="en-AU"/>
        </w:rPr>
        <w:t>Act</w:t>
      </w:r>
      <w:r w:rsidR="00F15E1B" w:rsidRPr="00EF121E">
        <w:rPr>
          <w:lang w:val="en-AU"/>
        </w:rPr>
        <w:t xml:space="preserve">’) </w:t>
      </w:r>
      <w:r w:rsidR="00833960" w:rsidRPr="00EF121E">
        <w:rPr>
          <w:lang w:val="en-AU"/>
        </w:rPr>
        <w:t xml:space="preserve">and </w:t>
      </w:r>
      <w:r w:rsidR="00EF121E" w:rsidRPr="00EF121E">
        <w:rPr>
          <w:lang w:val="en-AU"/>
        </w:rPr>
        <w:t>a</w:t>
      </w:r>
      <w:r w:rsidR="00EF121E" w:rsidRPr="007F5F63">
        <w:rPr>
          <w:lang w:val="en-AU"/>
        </w:rPr>
        <w:t xml:space="preserve">re </w:t>
      </w:r>
      <w:r w:rsidR="00833960" w:rsidRPr="007F5F63">
        <w:rPr>
          <w:lang w:val="en-AU"/>
        </w:rPr>
        <w:t xml:space="preserve">commonly </w:t>
      </w:r>
      <w:r w:rsidR="00EF121E" w:rsidRPr="007F5F63">
        <w:rPr>
          <w:lang w:val="en-AU"/>
        </w:rPr>
        <w:t xml:space="preserve">known as family provision or </w:t>
      </w:r>
      <w:r w:rsidR="00833960" w:rsidRPr="007F5F63">
        <w:rPr>
          <w:lang w:val="en-AU"/>
        </w:rPr>
        <w:t>‘TFM</w:t>
      </w:r>
      <w:r w:rsidR="008F5BC5" w:rsidRPr="007F5F63">
        <w:rPr>
          <w:lang w:val="en-AU"/>
        </w:rPr>
        <w:t>’</w:t>
      </w:r>
      <w:r w:rsidR="00833960" w:rsidRPr="007F5F63">
        <w:rPr>
          <w:lang w:val="en-AU"/>
        </w:rPr>
        <w:t xml:space="preserve"> claim</w:t>
      </w:r>
      <w:r w:rsidR="00EF121E">
        <w:rPr>
          <w:lang w:val="en-AU"/>
        </w:rPr>
        <w:t>s</w:t>
      </w:r>
      <w:r w:rsidR="00833960" w:rsidRPr="00EF121E">
        <w:rPr>
          <w:lang w:val="en-AU"/>
        </w:rPr>
        <w:t>.</w:t>
      </w:r>
    </w:p>
    <w:p w14:paraId="4274A154" w14:textId="6A010522" w:rsidR="00A60314" w:rsidRPr="002F0E6F" w:rsidRDefault="00A60314" w:rsidP="00607671">
      <w:pPr>
        <w:pStyle w:val="NormalNumberedTextTLRI"/>
        <w:rPr>
          <w:lang w:val="en-AU"/>
        </w:rPr>
      </w:pPr>
      <w:r w:rsidRPr="002F0E6F">
        <w:rPr>
          <w:lang w:val="en-AU"/>
        </w:rPr>
        <w:t xml:space="preserve">In </w:t>
      </w:r>
      <w:r w:rsidR="008F5BC5" w:rsidRPr="002F0E6F">
        <w:rPr>
          <w:lang w:val="en-AU"/>
        </w:rPr>
        <w:t xml:space="preserve">all </w:t>
      </w:r>
      <w:r w:rsidR="000F6BD4">
        <w:rPr>
          <w:lang w:val="en-AU"/>
        </w:rPr>
        <w:t xml:space="preserve">Australian </w:t>
      </w:r>
      <w:r w:rsidR="008F5BC5" w:rsidRPr="002F0E6F">
        <w:rPr>
          <w:lang w:val="en-AU"/>
        </w:rPr>
        <w:t>jurisdictions apart from New South Wales</w:t>
      </w:r>
      <w:r w:rsidR="00882F91" w:rsidRPr="002F0E6F">
        <w:rPr>
          <w:lang w:val="en-AU"/>
        </w:rPr>
        <w:t xml:space="preserve">, only those assets that are </w:t>
      </w:r>
      <w:r w:rsidR="008F5BC5" w:rsidRPr="002F0E6F">
        <w:rPr>
          <w:lang w:val="en-AU"/>
        </w:rPr>
        <w:t>part of</w:t>
      </w:r>
      <w:r w:rsidR="00882F91" w:rsidRPr="002F0E6F">
        <w:rPr>
          <w:lang w:val="en-AU"/>
        </w:rPr>
        <w:t xml:space="preserve"> the </w:t>
      </w:r>
      <w:r w:rsidR="008F5BC5" w:rsidRPr="002F0E6F">
        <w:rPr>
          <w:lang w:val="en-AU"/>
        </w:rPr>
        <w:t>deceased’s ‘</w:t>
      </w:r>
      <w:r w:rsidR="00882F91" w:rsidRPr="002F0E6F">
        <w:rPr>
          <w:lang w:val="en-AU"/>
        </w:rPr>
        <w:t>estate</w:t>
      </w:r>
      <w:r w:rsidR="008F5BC5" w:rsidRPr="002F0E6F">
        <w:rPr>
          <w:lang w:val="en-AU"/>
        </w:rPr>
        <w:t>’</w:t>
      </w:r>
      <w:r w:rsidR="00882F91" w:rsidRPr="002F0E6F">
        <w:rPr>
          <w:lang w:val="en-AU"/>
        </w:rPr>
        <w:t xml:space="preserve"> can be used to </w:t>
      </w:r>
      <w:r w:rsidRPr="002F0E6F">
        <w:rPr>
          <w:lang w:val="en-AU"/>
        </w:rPr>
        <w:t>fund</w:t>
      </w:r>
      <w:r w:rsidR="00882F91" w:rsidRPr="002F0E6F">
        <w:rPr>
          <w:lang w:val="en-AU"/>
        </w:rPr>
        <w:t xml:space="preserve"> </w:t>
      </w:r>
      <w:r w:rsidR="008F5BC5" w:rsidRPr="002F0E6F">
        <w:rPr>
          <w:lang w:val="en-AU"/>
        </w:rPr>
        <w:t>a</w:t>
      </w:r>
      <w:r w:rsidR="00833960" w:rsidRPr="002F0E6F">
        <w:rPr>
          <w:lang w:val="en-AU"/>
        </w:rPr>
        <w:t xml:space="preserve"> successful </w:t>
      </w:r>
      <w:r w:rsidR="008F5BC5" w:rsidRPr="002F0E6F">
        <w:rPr>
          <w:lang w:val="en-AU"/>
        </w:rPr>
        <w:t>claim for provision</w:t>
      </w:r>
      <w:r w:rsidR="00882F91" w:rsidRPr="002F0E6F">
        <w:rPr>
          <w:lang w:val="en-AU"/>
        </w:rPr>
        <w:t>.</w:t>
      </w:r>
      <w:r w:rsidR="00AD1F5E" w:rsidRPr="002F0E6F">
        <w:rPr>
          <w:rStyle w:val="FootnoteReference"/>
          <w:lang w:val="en-AU"/>
        </w:rPr>
        <w:footnoteReference w:id="5"/>
      </w:r>
      <w:r w:rsidR="00882F91" w:rsidRPr="002F0E6F">
        <w:rPr>
          <w:lang w:val="en-AU"/>
        </w:rPr>
        <w:t xml:space="preserve"> </w:t>
      </w:r>
      <w:r w:rsidR="00AD1F5E" w:rsidRPr="002F0E6F">
        <w:rPr>
          <w:lang w:val="en-AU"/>
        </w:rPr>
        <w:t>Broadly speaking, t</w:t>
      </w:r>
      <w:r w:rsidR="00833960" w:rsidRPr="002F0E6F">
        <w:rPr>
          <w:lang w:val="en-AU"/>
        </w:rPr>
        <w:t>his includes assets owned by the person solely, or owned with another person as a tenant in common.</w:t>
      </w:r>
      <w:r w:rsidR="00DD1FB0" w:rsidRPr="002F0E6F">
        <w:rPr>
          <w:rStyle w:val="FootnoteReference"/>
          <w:lang w:val="en-AU"/>
        </w:rPr>
        <w:footnoteReference w:id="6"/>
      </w:r>
      <w:r w:rsidR="00833960" w:rsidRPr="002F0E6F">
        <w:rPr>
          <w:lang w:val="en-AU"/>
        </w:rPr>
        <w:t xml:space="preserve"> </w:t>
      </w:r>
      <w:r w:rsidRPr="002F0E6F">
        <w:rPr>
          <w:lang w:val="en-AU"/>
        </w:rPr>
        <w:t>There are many instances where assets that might be considered the testator</w:t>
      </w:r>
      <w:r w:rsidR="00833960" w:rsidRPr="002F0E6F">
        <w:rPr>
          <w:lang w:val="en-AU"/>
        </w:rPr>
        <w:t xml:space="preserve">’s </w:t>
      </w:r>
      <w:r w:rsidRPr="002F0E6F">
        <w:rPr>
          <w:lang w:val="en-AU"/>
        </w:rPr>
        <w:t>are not</w:t>
      </w:r>
      <w:r w:rsidR="00833960" w:rsidRPr="002F0E6F">
        <w:rPr>
          <w:lang w:val="en-AU"/>
        </w:rPr>
        <w:t>,</w:t>
      </w:r>
      <w:r w:rsidRPr="002F0E6F">
        <w:rPr>
          <w:lang w:val="en-AU"/>
        </w:rPr>
        <w:t xml:space="preserve"> in fact</w:t>
      </w:r>
      <w:r w:rsidR="00833960" w:rsidRPr="002F0E6F">
        <w:rPr>
          <w:lang w:val="en-AU"/>
        </w:rPr>
        <w:t>,</w:t>
      </w:r>
      <w:r w:rsidRPr="002F0E6F">
        <w:rPr>
          <w:lang w:val="en-AU"/>
        </w:rPr>
        <w:t xml:space="preserve"> included within their e</w:t>
      </w:r>
      <w:r w:rsidR="00AD1F5E" w:rsidRPr="002F0E6F">
        <w:rPr>
          <w:lang w:val="en-AU"/>
        </w:rPr>
        <w:t>state.</w:t>
      </w:r>
      <w:r w:rsidRPr="002F0E6F">
        <w:rPr>
          <w:lang w:val="en-AU"/>
        </w:rPr>
        <w:t xml:space="preserve"> This includes assets </w:t>
      </w:r>
      <w:r w:rsidR="00833960" w:rsidRPr="002F0E6F">
        <w:rPr>
          <w:lang w:val="en-AU"/>
        </w:rPr>
        <w:t>owned</w:t>
      </w:r>
      <w:r w:rsidRPr="002F0E6F">
        <w:rPr>
          <w:lang w:val="en-AU"/>
        </w:rPr>
        <w:t xml:space="preserve"> with </w:t>
      </w:r>
      <w:r w:rsidR="00C0106B" w:rsidRPr="002F0E6F">
        <w:rPr>
          <w:lang w:val="en-AU"/>
        </w:rPr>
        <w:t>others</w:t>
      </w:r>
      <w:r w:rsidRPr="002F0E6F">
        <w:rPr>
          <w:lang w:val="en-AU"/>
        </w:rPr>
        <w:t xml:space="preserve"> as joint tenant</w:t>
      </w:r>
      <w:r w:rsidR="00C0106B" w:rsidRPr="002F0E6F">
        <w:rPr>
          <w:lang w:val="en-AU"/>
        </w:rPr>
        <w:t>s</w:t>
      </w:r>
      <w:r w:rsidRPr="002F0E6F">
        <w:rPr>
          <w:lang w:val="en-AU"/>
        </w:rPr>
        <w:t xml:space="preserve">, </w:t>
      </w:r>
      <w:r w:rsidR="00C0106B" w:rsidRPr="002F0E6F">
        <w:rPr>
          <w:lang w:val="en-AU"/>
        </w:rPr>
        <w:t xml:space="preserve">trust </w:t>
      </w:r>
      <w:r w:rsidRPr="002F0E6F">
        <w:rPr>
          <w:lang w:val="en-AU"/>
        </w:rPr>
        <w:t xml:space="preserve">assets </w:t>
      </w:r>
      <w:r w:rsidR="000A36E8" w:rsidRPr="002F0E6F">
        <w:rPr>
          <w:lang w:val="en-AU"/>
        </w:rPr>
        <w:t>and, in some instances, superannuation</w:t>
      </w:r>
      <w:r w:rsidRPr="002F0E6F">
        <w:rPr>
          <w:lang w:val="en-AU"/>
        </w:rPr>
        <w:t>. A person may also alter the</w:t>
      </w:r>
      <w:r w:rsidR="000A36E8" w:rsidRPr="002F0E6F">
        <w:rPr>
          <w:lang w:val="en-AU"/>
        </w:rPr>
        <w:t xml:space="preserve"> way </w:t>
      </w:r>
      <w:r w:rsidRPr="002F0E6F">
        <w:rPr>
          <w:lang w:val="en-AU"/>
        </w:rPr>
        <w:t xml:space="preserve">assets </w:t>
      </w:r>
      <w:r w:rsidR="00331520" w:rsidRPr="002F0E6F">
        <w:rPr>
          <w:lang w:val="en-AU"/>
        </w:rPr>
        <w:t xml:space="preserve">are owned </w:t>
      </w:r>
      <w:r w:rsidRPr="002F0E6F">
        <w:rPr>
          <w:lang w:val="en-AU"/>
        </w:rPr>
        <w:t>prior to death, including by making gifts</w:t>
      </w:r>
      <w:r w:rsidR="00C0106B" w:rsidRPr="002F0E6F">
        <w:rPr>
          <w:lang w:val="en-AU"/>
        </w:rPr>
        <w:t xml:space="preserve"> which </w:t>
      </w:r>
      <w:r w:rsidRPr="002F0E6F">
        <w:rPr>
          <w:lang w:val="en-AU"/>
        </w:rPr>
        <w:t>reduc</w:t>
      </w:r>
      <w:r w:rsidR="00331520" w:rsidRPr="002F0E6F">
        <w:rPr>
          <w:lang w:val="en-AU"/>
        </w:rPr>
        <w:t>e</w:t>
      </w:r>
      <w:r w:rsidRPr="002F0E6F">
        <w:rPr>
          <w:lang w:val="en-AU"/>
        </w:rPr>
        <w:t xml:space="preserve"> the</w:t>
      </w:r>
      <w:r w:rsidR="00C0106B" w:rsidRPr="002F0E6F">
        <w:rPr>
          <w:lang w:val="en-AU"/>
        </w:rPr>
        <w:t>ir</w:t>
      </w:r>
      <w:r w:rsidRPr="002F0E6F">
        <w:rPr>
          <w:lang w:val="en-AU"/>
        </w:rPr>
        <w:t xml:space="preserve"> estate. </w:t>
      </w:r>
      <w:r w:rsidR="00AD1F5E" w:rsidRPr="002F0E6F">
        <w:rPr>
          <w:lang w:val="en-AU"/>
        </w:rPr>
        <w:t xml:space="preserve">What is included within a person’s estate is </w:t>
      </w:r>
      <w:r w:rsidR="00331520" w:rsidRPr="002F0E6F">
        <w:rPr>
          <w:lang w:val="en-AU"/>
        </w:rPr>
        <w:t>explained</w:t>
      </w:r>
      <w:r w:rsidR="00AD1F5E" w:rsidRPr="002F0E6F">
        <w:rPr>
          <w:lang w:val="en-AU"/>
        </w:rPr>
        <w:t xml:space="preserve"> in more detail </w:t>
      </w:r>
      <w:r w:rsidR="00331520" w:rsidRPr="002F0E6F">
        <w:rPr>
          <w:lang w:val="en-AU"/>
        </w:rPr>
        <w:t xml:space="preserve">in </w:t>
      </w:r>
      <w:r w:rsidR="00607671" w:rsidRPr="002F0E6F">
        <w:rPr>
          <w:lang w:val="en-AU"/>
        </w:rPr>
        <w:t>P</w:t>
      </w:r>
      <w:r w:rsidR="00331520" w:rsidRPr="002F0E6F">
        <w:rPr>
          <w:lang w:val="en-AU"/>
        </w:rPr>
        <w:t>art 2.</w:t>
      </w:r>
    </w:p>
    <w:p w14:paraId="0F5DE245" w14:textId="4FE8BF48" w:rsidR="00A60314" w:rsidRPr="002F0E6F" w:rsidRDefault="00A60314" w:rsidP="00607671">
      <w:pPr>
        <w:pStyle w:val="NormalNumberedTextTLRI"/>
        <w:rPr>
          <w:lang w:val="en-AU"/>
        </w:rPr>
      </w:pPr>
      <w:r w:rsidRPr="002F0E6F">
        <w:rPr>
          <w:lang w:val="en-AU"/>
        </w:rPr>
        <w:t xml:space="preserve">Legislation has been enacted in New South Wales </w:t>
      </w:r>
      <w:r w:rsidR="000A36E8" w:rsidRPr="002F0E6F">
        <w:rPr>
          <w:lang w:val="en-AU"/>
        </w:rPr>
        <w:t xml:space="preserve">that </w:t>
      </w:r>
      <w:r w:rsidR="00AD1F5E" w:rsidRPr="002F0E6F">
        <w:rPr>
          <w:lang w:val="en-AU"/>
        </w:rPr>
        <w:t>enables the court to</w:t>
      </w:r>
      <w:r w:rsidRPr="002F0E6F">
        <w:rPr>
          <w:lang w:val="en-AU"/>
        </w:rPr>
        <w:t xml:space="preserve"> deem assets</w:t>
      </w:r>
      <w:r w:rsidR="00AD1F5E" w:rsidRPr="002F0E6F">
        <w:rPr>
          <w:lang w:val="en-AU"/>
        </w:rPr>
        <w:t xml:space="preserve"> that are not part of a person’s estate</w:t>
      </w:r>
      <w:r w:rsidR="00833960" w:rsidRPr="002F0E6F">
        <w:rPr>
          <w:lang w:val="en-AU"/>
        </w:rPr>
        <w:t xml:space="preserve"> </w:t>
      </w:r>
      <w:r w:rsidRPr="002F0E6F">
        <w:rPr>
          <w:lang w:val="en-AU"/>
        </w:rPr>
        <w:t xml:space="preserve">as </w:t>
      </w:r>
      <w:r w:rsidR="00AD1F5E" w:rsidRPr="002F0E6F">
        <w:rPr>
          <w:lang w:val="en-AU"/>
        </w:rPr>
        <w:t xml:space="preserve">being </w:t>
      </w:r>
      <w:r w:rsidR="000A36E8" w:rsidRPr="002F0E6F">
        <w:rPr>
          <w:lang w:val="en-AU"/>
        </w:rPr>
        <w:t>part of</w:t>
      </w:r>
      <w:r w:rsidR="00AD1F5E" w:rsidRPr="002F0E6F">
        <w:rPr>
          <w:lang w:val="en-AU"/>
        </w:rPr>
        <w:t xml:space="preserve"> their</w:t>
      </w:r>
      <w:r w:rsidRPr="002F0E6F">
        <w:rPr>
          <w:lang w:val="en-AU"/>
        </w:rPr>
        <w:t xml:space="preserve"> ‘notional estate</w:t>
      </w:r>
      <w:r w:rsidR="00AD1F5E" w:rsidRPr="002F0E6F">
        <w:rPr>
          <w:lang w:val="en-AU"/>
        </w:rPr>
        <w:t>.</w:t>
      </w:r>
      <w:r w:rsidRPr="002F0E6F">
        <w:rPr>
          <w:lang w:val="en-AU"/>
        </w:rPr>
        <w:t>’</w:t>
      </w:r>
      <w:r w:rsidR="00AD1F5E" w:rsidRPr="00C82D4A">
        <w:rPr>
          <w:rStyle w:val="FootnoteReference"/>
          <w:lang w:val="en-AU"/>
        </w:rPr>
        <w:footnoteReference w:id="7"/>
      </w:r>
      <w:r w:rsidRPr="002F0E6F">
        <w:rPr>
          <w:lang w:val="en-AU"/>
        </w:rPr>
        <w:t xml:space="preserve"> </w:t>
      </w:r>
      <w:r w:rsidR="00AD1F5E" w:rsidRPr="002F0E6F">
        <w:rPr>
          <w:lang w:val="en-AU"/>
        </w:rPr>
        <w:t>This enables the court to fund provision for a successful family provision applicant</w:t>
      </w:r>
      <w:r w:rsidRPr="002F0E6F">
        <w:rPr>
          <w:lang w:val="en-AU"/>
        </w:rPr>
        <w:t xml:space="preserve"> </w:t>
      </w:r>
      <w:r w:rsidR="00AD1F5E" w:rsidRPr="002F0E6F">
        <w:rPr>
          <w:lang w:val="en-AU"/>
        </w:rPr>
        <w:t xml:space="preserve">from assets that </w:t>
      </w:r>
      <w:r w:rsidR="00C0106B" w:rsidRPr="002F0E6F">
        <w:rPr>
          <w:lang w:val="en-AU"/>
        </w:rPr>
        <w:t>are</w:t>
      </w:r>
      <w:r w:rsidR="00AD1F5E" w:rsidRPr="002F0E6F">
        <w:rPr>
          <w:lang w:val="en-AU"/>
        </w:rPr>
        <w:t xml:space="preserve"> not available</w:t>
      </w:r>
      <w:r w:rsidR="000A36E8" w:rsidRPr="002F0E6F">
        <w:rPr>
          <w:lang w:val="en-AU"/>
        </w:rPr>
        <w:t xml:space="preserve"> in other jurisdictions</w:t>
      </w:r>
      <w:r w:rsidR="00833960" w:rsidRPr="002F0E6F">
        <w:rPr>
          <w:lang w:val="en-AU"/>
        </w:rPr>
        <w:t>.</w:t>
      </w:r>
    </w:p>
    <w:p w14:paraId="1FBE20DF" w14:textId="611143B4" w:rsidR="00EF49AD" w:rsidRPr="002F0E6F" w:rsidRDefault="00AD1F5E" w:rsidP="007B0AF2">
      <w:pPr>
        <w:pStyle w:val="NormalNumberedTextTLRI"/>
        <w:rPr>
          <w:lang w:val="en-AU"/>
        </w:rPr>
      </w:pPr>
      <w:r w:rsidRPr="002F0E6F">
        <w:rPr>
          <w:lang w:val="en-AU"/>
        </w:rPr>
        <w:lastRenderedPageBreak/>
        <w:t>The purpose of this review is to evaluate</w:t>
      </w:r>
      <w:r w:rsidR="00882F91" w:rsidRPr="002F0E6F">
        <w:rPr>
          <w:lang w:val="en-AU"/>
        </w:rPr>
        <w:t xml:space="preserve"> whether Tasmania should introduce </w:t>
      </w:r>
      <w:r w:rsidRPr="002F0E6F">
        <w:rPr>
          <w:lang w:val="en-AU"/>
        </w:rPr>
        <w:t xml:space="preserve">similar notional estate legislation to </w:t>
      </w:r>
      <w:r w:rsidR="00282DB1" w:rsidRPr="002F0E6F">
        <w:rPr>
          <w:lang w:val="en-AU"/>
        </w:rPr>
        <w:t>‘</w:t>
      </w:r>
      <w:r w:rsidR="008328D6" w:rsidRPr="002F0E6F">
        <w:rPr>
          <w:lang w:val="en-AU"/>
        </w:rPr>
        <w:t>claw-back’</w:t>
      </w:r>
      <w:r w:rsidR="00882F91" w:rsidRPr="002F0E6F">
        <w:rPr>
          <w:lang w:val="en-AU"/>
        </w:rPr>
        <w:t xml:space="preserve"> assets </w:t>
      </w:r>
      <w:r w:rsidRPr="002F0E6F">
        <w:rPr>
          <w:lang w:val="en-AU"/>
        </w:rPr>
        <w:t>and make them available to fund an award of provision</w:t>
      </w:r>
      <w:r w:rsidR="00882F91" w:rsidRPr="002F0E6F">
        <w:rPr>
          <w:lang w:val="en-AU"/>
        </w:rPr>
        <w:t xml:space="preserve"> </w:t>
      </w:r>
      <w:r w:rsidR="000A36E8" w:rsidRPr="002F0E6F">
        <w:rPr>
          <w:lang w:val="en-AU"/>
        </w:rPr>
        <w:t xml:space="preserve">for </w:t>
      </w:r>
      <w:r w:rsidRPr="002F0E6F">
        <w:rPr>
          <w:lang w:val="en-AU"/>
        </w:rPr>
        <w:t>a successful TFM applicant</w:t>
      </w:r>
      <w:r w:rsidR="00882F91" w:rsidRPr="002F0E6F">
        <w:rPr>
          <w:lang w:val="en-AU"/>
        </w:rPr>
        <w:t>.</w:t>
      </w:r>
    </w:p>
    <w:p w14:paraId="0CDFE2DD" w14:textId="77777777" w:rsidR="00884C4C" w:rsidRPr="002F0E6F" w:rsidRDefault="00884C4C" w:rsidP="00AF564C">
      <w:pPr>
        <w:pStyle w:val="NumberedHeadingTLRI"/>
        <w:rPr>
          <w:lang w:val="en-AU"/>
        </w:rPr>
      </w:pPr>
      <w:bookmarkStart w:id="33" w:name="_Toc2256849"/>
      <w:r w:rsidRPr="00AF564C">
        <w:t>Background</w:t>
      </w:r>
      <w:r w:rsidRPr="002F0E6F">
        <w:rPr>
          <w:lang w:val="en-AU"/>
        </w:rPr>
        <w:t xml:space="preserve"> to this Reference</w:t>
      </w:r>
      <w:bookmarkEnd w:id="33"/>
    </w:p>
    <w:p w14:paraId="040EE34C" w14:textId="4D7803B7" w:rsidR="00884C4C" w:rsidRPr="002F0E6F" w:rsidRDefault="00884C4C" w:rsidP="007B0AF2">
      <w:pPr>
        <w:pStyle w:val="NormalNumberedTextTLRI"/>
        <w:rPr>
          <w:lang w:val="en-AU"/>
        </w:rPr>
      </w:pPr>
      <w:r w:rsidRPr="002F0E6F">
        <w:rPr>
          <w:lang w:val="en-AU"/>
        </w:rPr>
        <w:t xml:space="preserve">In December 2016, the then Attorney-General, the Honourable Dr Vanessa Goodwin MLC, wrote to the Tasmania Law Reform Institute following an approach by the Treasurer, the Honourable Peter Gutwein MP, about the issue of whether Tasmania should implement the concept of ‘notional estate’ within existing </w:t>
      </w:r>
      <w:r w:rsidR="00282DB1" w:rsidRPr="002F0E6F">
        <w:rPr>
          <w:lang w:val="en-AU"/>
        </w:rPr>
        <w:t>f</w:t>
      </w:r>
      <w:r w:rsidRPr="002F0E6F">
        <w:rPr>
          <w:lang w:val="en-AU"/>
        </w:rPr>
        <w:t xml:space="preserve">amily </w:t>
      </w:r>
      <w:r w:rsidR="00282DB1" w:rsidRPr="002F0E6F">
        <w:rPr>
          <w:lang w:val="en-AU"/>
        </w:rPr>
        <w:t>p</w:t>
      </w:r>
      <w:r w:rsidRPr="002F0E6F">
        <w:rPr>
          <w:lang w:val="en-AU"/>
        </w:rPr>
        <w:t xml:space="preserve">rovision legislation. This arose because of concerns raised by a constituent about gifts and transfers made prior to a testator’s death which resulted in their estate, for TFM purposes, being significantly smaller than what might be considered their net worth. The effect was to substantially reduce the pool of assets from which to award provision to an applicant under the </w:t>
      </w:r>
      <w:r w:rsidR="007A5F48" w:rsidRPr="007A5F48">
        <w:rPr>
          <w:i/>
          <w:lang w:val="en-AU"/>
        </w:rPr>
        <w:t xml:space="preserve">TFM </w:t>
      </w:r>
      <w:r w:rsidRPr="007A5F48">
        <w:rPr>
          <w:i/>
          <w:lang w:val="en-AU"/>
        </w:rPr>
        <w:t>Act</w:t>
      </w:r>
      <w:r w:rsidRPr="002F0E6F">
        <w:rPr>
          <w:lang w:val="en-AU"/>
        </w:rPr>
        <w:t>.</w:t>
      </w:r>
    </w:p>
    <w:p w14:paraId="4A329820" w14:textId="55EA3292" w:rsidR="00884C4C" w:rsidRPr="002F0E6F" w:rsidRDefault="00884C4C" w:rsidP="00AC3CCE">
      <w:pPr>
        <w:pStyle w:val="NormalNumberedTextTLRI"/>
        <w:rPr>
          <w:lang w:val="en-AU"/>
        </w:rPr>
      </w:pPr>
      <w:r w:rsidRPr="002F0E6F">
        <w:rPr>
          <w:lang w:val="en-AU"/>
        </w:rPr>
        <w:t xml:space="preserve">The Institute subsequently received funding to make recommendations to the Tasmanian Government on whether Tasmania should </w:t>
      </w:r>
      <w:r w:rsidR="008328D6" w:rsidRPr="002F0E6F">
        <w:rPr>
          <w:lang w:val="en-AU"/>
        </w:rPr>
        <w:t>introduce</w:t>
      </w:r>
      <w:r w:rsidRPr="002F0E6F">
        <w:rPr>
          <w:lang w:val="en-AU"/>
        </w:rPr>
        <w:t xml:space="preserve"> notional estate</w:t>
      </w:r>
      <w:r w:rsidR="00282DB1" w:rsidRPr="002F0E6F">
        <w:rPr>
          <w:lang w:val="en-AU"/>
        </w:rPr>
        <w:t xml:space="preserve"> </w:t>
      </w:r>
      <w:r w:rsidRPr="002F0E6F">
        <w:rPr>
          <w:lang w:val="en-AU"/>
        </w:rPr>
        <w:t>legislation.</w:t>
      </w:r>
    </w:p>
    <w:p w14:paraId="5BFFE081" w14:textId="35B81A92" w:rsidR="00726B43" w:rsidRPr="002F0E6F" w:rsidRDefault="00F1492B" w:rsidP="00AF564C">
      <w:pPr>
        <w:pStyle w:val="NumberedHeadingTLRI"/>
        <w:rPr>
          <w:u w:val="single"/>
          <w:lang w:val="en-AU"/>
        </w:rPr>
      </w:pPr>
      <w:bookmarkStart w:id="34" w:name="_Toc2256850"/>
      <w:r w:rsidRPr="002F0E6F">
        <w:rPr>
          <w:lang w:val="en-AU"/>
        </w:rPr>
        <w:t>Rep</w:t>
      </w:r>
      <w:r w:rsidR="00726B43" w:rsidRPr="002F0E6F">
        <w:rPr>
          <w:lang w:val="en-AU"/>
        </w:rPr>
        <w:t xml:space="preserve">ort </w:t>
      </w:r>
      <w:r w:rsidR="00AC3CCE" w:rsidRPr="00AF564C">
        <w:t>s</w:t>
      </w:r>
      <w:r w:rsidR="00726B43" w:rsidRPr="00AF564C">
        <w:t>tructure</w:t>
      </w:r>
      <w:bookmarkEnd w:id="34"/>
    </w:p>
    <w:p w14:paraId="0254985F" w14:textId="2939660C" w:rsidR="00726B43" w:rsidRPr="002F0E6F" w:rsidRDefault="00726B43" w:rsidP="00AC3CCE">
      <w:pPr>
        <w:pStyle w:val="NormalNumberedTextTLRI"/>
        <w:rPr>
          <w:lang w:val="en-AU"/>
        </w:rPr>
      </w:pPr>
      <w:r w:rsidRPr="002F0E6F">
        <w:rPr>
          <w:lang w:val="en-AU"/>
        </w:rPr>
        <w:t xml:space="preserve">The </w:t>
      </w:r>
      <w:r w:rsidRPr="00AC3CCE">
        <w:t>purpose</w:t>
      </w:r>
      <w:r w:rsidRPr="002F0E6F">
        <w:rPr>
          <w:lang w:val="en-AU"/>
        </w:rPr>
        <w:t xml:space="preserve"> of this Issues Paper is to examine whether Tasmania should amend the </w:t>
      </w:r>
      <w:r w:rsidR="007A5F48" w:rsidRPr="007A5F48">
        <w:rPr>
          <w:i/>
          <w:lang w:val="en-AU"/>
        </w:rPr>
        <w:t xml:space="preserve">TFM </w:t>
      </w:r>
      <w:r w:rsidR="00F15E1B" w:rsidRPr="007A5F48">
        <w:rPr>
          <w:i/>
          <w:lang w:val="en-AU"/>
        </w:rPr>
        <w:t>Act</w:t>
      </w:r>
      <w:r w:rsidRPr="002F0E6F">
        <w:rPr>
          <w:lang w:val="en-AU"/>
        </w:rPr>
        <w:t xml:space="preserve"> to incorporate notional estate provision</w:t>
      </w:r>
      <w:r w:rsidR="004F62D0" w:rsidRPr="002F0E6F">
        <w:rPr>
          <w:lang w:val="en-AU"/>
        </w:rPr>
        <w:t>s</w:t>
      </w:r>
      <w:r w:rsidRPr="002F0E6F">
        <w:rPr>
          <w:lang w:val="en-AU"/>
        </w:rPr>
        <w:t xml:space="preserve"> similar to th</w:t>
      </w:r>
      <w:r w:rsidR="004F62D0" w:rsidRPr="002F0E6F">
        <w:rPr>
          <w:lang w:val="en-AU"/>
        </w:rPr>
        <w:t>ose</w:t>
      </w:r>
      <w:r w:rsidRPr="002F0E6F">
        <w:rPr>
          <w:lang w:val="en-AU"/>
        </w:rPr>
        <w:t xml:space="preserve"> </w:t>
      </w:r>
      <w:r w:rsidR="004F62D0" w:rsidRPr="002F0E6F">
        <w:rPr>
          <w:lang w:val="en-AU"/>
        </w:rPr>
        <w:t>that</w:t>
      </w:r>
      <w:r w:rsidRPr="002F0E6F">
        <w:rPr>
          <w:lang w:val="en-AU"/>
        </w:rPr>
        <w:t xml:space="preserve"> exist in New South Wales.</w:t>
      </w:r>
    </w:p>
    <w:p w14:paraId="77C60C8A" w14:textId="708A193E" w:rsidR="00375D97" w:rsidRPr="002F0E6F" w:rsidRDefault="00726B43" w:rsidP="008D1C74">
      <w:pPr>
        <w:pStyle w:val="NormalNumberedTextTLRI"/>
      </w:pPr>
      <w:r w:rsidRPr="002F0E6F">
        <w:rPr>
          <w:lang w:val="en-AU"/>
        </w:rPr>
        <w:t xml:space="preserve">The </w:t>
      </w:r>
      <w:r w:rsidRPr="00AC3CCE">
        <w:t>Issues</w:t>
      </w:r>
      <w:r w:rsidRPr="002F0E6F">
        <w:rPr>
          <w:lang w:val="en-AU"/>
        </w:rPr>
        <w:t xml:space="preserve"> Paper comprises five parts</w:t>
      </w:r>
      <w:r w:rsidR="00C83434" w:rsidRPr="002F0E6F">
        <w:rPr>
          <w:lang w:val="en-AU"/>
        </w:rPr>
        <w:t>:</w:t>
      </w:r>
      <w:r w:rsidR="000F6BD4">
        <w:rPr>
          <w:lang w:val="en-AU"/>
        </w:rPr>
        <w:t xml:space="preserve"> </w:t>
      </w:r>
      <w:r w:rsidRPr="002F0E6F">
        <w:t xml:space="preserve">Part </w:t>
      </w:r>
      <w:r w:rsidR="007F6CC5" w:rsidRPr="002F0E6F">
        <w:t>1</w:t>
      </w:r>
      <w:r w:rsidRPr="002F0E6F">
        <w:t xml:space="preserve"> discusses the legal concept of family provision</w:t>
      </w:r>
      <w:r w:rsidR="00375D97" w:rsidRPr="002F0E6F">
        <w:t>.</w:t>
      </w:r>
      <w:r w:rsidR="004D12A0" w:rsidRPr="002F0E6F">
        <w:t xml:space="preserve"> </w:t>
      </w:r>
      <w:r w:rsidR="00375D97" w:rsidRPr="002F0E6F">
        <w:t xml:space="preserve">Part 2 outlines some of the </w:t>
      </w:r>
      <w:r w:rsidR="00E07FC8" w:rsidRPr="002F0E6F">
        <w:t>potential issues with</w:t>
      </w:r>
      <w:r w:rsidR="00375D97" w:rsidRPr="002F0E6F">
        <w:t xml:space="preserve"> the current law.</w:t>
      </w:r>
      <w:r w:rsidR="000F6BD4">
        <w:rPr>
          <w:lang w:val="en-AU"/>
        </w:rPr>
        <w:t xml:space="preserve"> </w:t>
      </w:r>
      <w:r w:rsidR="00375D97" w:rsidRPr="002F0E6F">
        <w:t>Part 3 introduces the concept of a ‘notional estate’ for the purpose</w:t>
      </w:r>
      <w:r w:rsidR="005640EC" w:rsidRPr="002F0E6F">
        <w:t>s</w:t>
      </w:r>
      <w:r w:rsidR="00375D97" w:rsidRPr="002F0E6F">
        <w:t xml:space="preserve"> of family provision law. It examines the recommendations of the National Committee </w:t>
      </w:r>
      <w:r w:rsidR="005640EC" w:rsidRPr="002F0E6F">
        <w:t>for</w:t>
      </w:r>
      <w:r w:rsidR="00931A68" w:rsidRPr="002F0E6F">
        <w:t xml:space="preserve"> </w:t>
      </w:r>
      <w:r w:rsidR="00375D97" w:rsidRPr="002F0E6F">
        <w:t>Uniform Succession Law</w:t>
      </w:r>
      <w:r w:rsidR="005640EC" w:rsidRPr="002F0E6F">
        <w:t>s</w:t>
      </w:r>
      <w:r w:rsidR="006033E3" w:rsidRPr="002F0E6F">
        <w:t xml:space="preserve">, </w:t>
      </w:r>
      <w:r w:rsidR="00057B52">
        <w:rPr>
          <w:lang w:val="en-AU"/>
        </w:rPr>
        <w:t xml:space="preserve">the </w:t>
      </w:r>
      <w:r w:rsidR="006033E3" w:rsidRPr="002F0E6F">
        <w:t xml:space="preserve">Victorian Law Reform Commission </w:t>
      </w:r>
      <w:r w:rsidR="006A224E" w:rsidRPr="000F6BD4">
        <w:rPr>
          <w:lang w:val="en-AU"/>
        </w:rPr>
        <w:t xml:space="preserve">(‘VLRC’) </w:t>
      </w:r>
      <w:r w:rsidR="006033E3" w:rsidRPr="002F0E6F">
        <w:t xml:space="preserve">and </w:t>
      </w:r>
      <w:r w:rsidR="00057B52">
        <w:rPr>
          <w:lang w:val="en-AU"/>
        </w:rPr>
        <w:t xml:space="preserve">the </w:t>
      </w:r>
      <w:r w:rsidR="006033E3" w:rsidRPr="002F0E6F">
        <w:t>South Australian Law Reform Institute</w:t>
      </w:r>
      <w:r w:rsidR="0091160D" w:rsidRPr="002F0E6F">
        <w:t xml:space="preserve"> </w:t>
      </w:r>
      <w:r w:rsidR="006A224E" w:rsidRPr="000F6BD4">
        <w:rPr>
          <w:lang w:val="en-AU"/>
        </w:rPr>
        <w:t xml:space="preserve">(‘SALRI’) </w:t>
      </w:r>
      <w:r w:rsidR="0091160D" w:rsidRPr="002F0E6F">
        <w:t>on</w:t>
      </w:r>
      <w:r w:rsidR="00931A68" w:rsidRPr="002F0E6F">
        <w:t xml:space="preserve"> </w:t>
      </w:r>
      <w:r w:rsidR="00375D97" w:rsidRPr="002F0E6F">
        <w:t>the matter</w:t>
      </w:r>
      <w:r w:rsidR="006033E3" w:rsidRPr="002F0E6F">
        <w:t>.</w:t>
      </w:r>
      <w:r w:rsidR="000F6BD4">
        <w:rPr>
          <w:lang w:val="en-AU"/>
        </w:rPr>
        <w:t xml:space="preserve"> </w:t>
      </w:r>
      <w:r w:rsidR="006033E3" w:rsidRPr="002F0E6F">
        <w:t>Part 4 reviews</w:t>
      </w:r>
      <w:r w:rsidR="001E376E" w:rsidRPr="002F0E6F">
        <w:t xml:space="preserve"> </w:t>
      </w:r>
      <w:r w:rsidR="002C4237" w:rsidRPr="002F0E6F">
        <w:t xml:space="preserve">the </w:t>
      </w:r>
      <w:r w:rsidR="007F1E6C" w:rsidRPr="002F0E6F">
        <w:t>New South Wales</w:t>
      </w:r>
      <w:r w:rsidR="006033E3" w:rsidRPr="002F0E6F">
        <w:t xml:space="preserve"> notional estate </w:t>
      </w:r>
      <w:r w:rsidR="008158F8">
        <w:rPr>
          <w:lang w:val="en-AU"/>
        </w:rPr>
        <w:t>provisions</w:t>
      </w:r>
      <w:r w:rsidR="00375D97" w:rsidRPr="002F0E6F">
        <w:t xml:space="preserve"> contained in the </w:t>
      </w:r>
      <w:r w:rsidR="00375D97" w:rsidRPr="000F6BD4">
        <w:rPr>
          <w:i/>
          <w:iCs/>
        </w:rPr>
        <w:t>Succession Act 2006</w:t>
      </w:r>
      <w:r w:rsidR="00375D97" w:rsidRPr="002F0E6F">
        <w:t xml:space="preserve"> (NSW)</w:t>
      </w:r>
      <w:r w:rsidR="006033E3" w:rsidRPr="002F0E6F">
        <w:t xml:space="preserve">, along with </w:t>
      </w:r>
      <w:r w:rsidR="007F1E6C" w:rsidRPr="002F0E6F">
        <w:t>cas</w:t>
      </w:r>
      <w:r w:rsidR="00375D97" w:rsidRPr="002F0E6F">
        <w:t xml:space="preserve">e </w:t>
      </w:r>
      <w:r w:rsidR="00E07FC8" w:rsidRPr="002F0E6F">
        <w:t>examples</w:t>
      </w:r>
      <w:r w:rsidR="00375D97" w:rsidRPr="002F0E6F">
        <w:t xml:space="preserve"> </w:t>
      </w:r>
      <w:r w:rsidR="006033E3" w:rsidRPr="002F0E6F">
        <w:t>from</w:t>
      </w:r>
      <w:r w:rsidR="00375D97" w:rsidRPr="002F0E6F">
        <w:t xml:space="preserve"> New South Wales.</w:t>
      </w:r>
      <w:r w:rsidR="000F6BD4">
        <w:rPr>
          <w:lang w:val="en-AU"/>
        </w:rPr>
        <w:t xml:space="preserve"> </w:t>
      </w:r>
      <w:r w:rsidR="00375D97" w:rsidRPr="002F0E6F">
        <w:t xml:space="preserve">Part 5 </w:t>
      </w:r>
      <w:r w:rsidR="00E07FC8" w:rsidRPr="002F0E6F">
        <w:t xml:space="preserve">then </w:t>
      </w:r>
      <w:r w:rsidR="00375D97" w:rsidRPr="002F0E6F">
        <w:t>considers options for reform and invites responses to a series of questions about these options.</w:t>
      </w:r>
    </w:p>
    <w:p w14:paraId="03DC046B" w14:textId="77777777" w:rsidR="002857B2" w:rsidRPr="002F0E6F" w:rsidRDefault="00E07FC8" w:rsidP="008328D6">
      <w:pPr>
        <w:pStyle w:val="NumberedHeadingTLRI"/>
        <w:rPr>
          <w:i/>
          <w:lang w:val="en-AU"/>
        </w:rPr>
      </w:pPr>
      <w:bookmarkStart w:id="35" w:name="_Toc2256851"/>
      <w:r w:rsidRPr="002F0E6F">
        <w:rPr>
          <w:lang w:val="en-AU"/>
        </w:rPr>
        <w:t>Family p</w:t>
      </w:r>
      <w:r w:rsidR="00383473" w:rsidRPr="002F0E6F">
        <w:rPr>
          <w:lang w:val="en-AU"/>
        </w:rPr>
        <w:t>rovision</w:t>
      </w:r>
      <w:r w:rsidRPr="002F0E6F">
        <w:rPr>
          <w:lang w:val="en-AU"/>
        </w:rPr>
        <w:t xml:space="preserve"> laws</w:t>
      </w:r>
      <w:bookmarkEnd w:id="35"/>
    </w:p>
    <w:p w14:paraId="2AA24122" w14:textId="2B454EF8" w:rsidR="00747649" w:rsidRPr="002F0E6F" w:rsidRDefault="00747649" w:rsidP="00037B00">
      <w:pPr>
        <w:pStyle w:val="NormalNumberedTextTLRI"/>
        <w:rPr>
          <w:lang w:val="en-AU"/>
        </w:rPr>
      </w:pPr>
      <w:r w:rsidRPr="00037B00">
        <w:t>This</w:t>
      </w:r>
      <w:r w:rsidRPr="002F0E6F">
        <w:rPr>
          <w:lang w:val="en-AU"/>
        </w:rPr>
        <w:t xml:space="preserve"> </w:t>
      </w:r>
      <w:r w:rsidR="00037B00">
        <w:rPr>
          <w:lang w:val="en-AU"/>
        </w:rPr>
        <w:t>P</w:t>
      </w:r>
      <w:r w:rsidRPr="002F0E6F">
        <w:rPr>
          <w:lang w:val="en-AU"/>
        </w:rPr>
        <w:t xml:space="preserve">art serves as an introduction to family provision </w:t>
      </w:r>
      <w:r w:rsidR="00EB1F80" w:rsidRPr="002F0E6F">
        <w:rPr>
          <w:lang w:val="en-AU"/>
        </w:rPr>
        <w:t>l</w:t>
      </w:r>
      <w:r w:rsidRPr="002F0E6F">
        <w:rPr>
          <w:lang w:val="en-AU"/>
        </w:rPr>
        <w:t>egislation generally</w:t>
      </w:r>
      <w:r w:rsidR="00206F1C" w:rsidRPr="002F0E6F">
        <w:rPr>
          <w:lang w:val="en-AU"/>
        </w:rPr>
        <w:t>.</w:t>
      </w:r>
      <w:r w:rsidR="00E07FC8" w:rsidRPr="002F0E6F">
        <w:rPr>
          <w:lang w:val="en-AU"/>
        </w:rPr>
        <w:t xml:space="preserve"> </w:t>
      </w:r>
      <w:r w:rsidRPr="002F0E6F">
        <w:rPr>
          <w:lang w:val="en-AU"/>
        </w:rPr>
        <w:t>It deals with the following issues:</w:t>
      </w:r>
    </w:p>
    <w:p w14:paraId="2DA97B09" w14:textId="77777777" w:rsidR="00747649" w:rsidRPr="002F0E6F" w:rsidRDefault="00E07FC8" w:rsidP="00AF564C">
      <w:pPr>
        <w:pStyle w:val="DotPointTLRI"/>
        <w:keepNext/>
      </w:pPr>
      <w:r w:rsidRPr="00C82D4A">
        <w:t>s</w:t>
      </w:r>
      <w:r w:rsidR="00747649" w:rsidRPr="00C82D4A">
        <w:t>uccession</w:t>
      </w:r>
      <w:r w:rsidR="00747649" w:rsidRPr="002F0E6F">
        <w:t xml:space="preserve"> and property</w:t>
      </w:r>
      <w:r w:rsidRPr="002F0E6F">
        <w:t>;</w:t>
      </w:r>
    </w:p>
    <w:p w14:paraId="59E1DF43" w14:textId="01781161" w:rsidR="00747649" w:rsidRPr="002F0E6F" w:rsidRDefault="00E07FC8" w:rsidP="00CF09A0">
      <w:pPr>
        <w:pStyle w:val="DotPointTLRI"/>
      </w:pPr>
      <w:r w:rsidRPr="002F0E6F">
        <w:t xml:space="preserve">the </w:t>
      </w:r>
      <w:r w:rsidRPr="00C82D4A">
        <w:t>r</w:t>
      </w:r>
      <w:r w:rsidR="00747649" w:rsidRPr="00C82D4A">
        <w:t>est</w:t>
      </w:r>
      <w:r w:rsidR="00C83434" w:rsidRPr="00C82D4A">
        <w:t>riction</w:t>
      </w:r>
      <w:r w:rsidR="00747649" w:rsidRPr="002F0E6F">
        <w:t xml:space="preserve"> on absolute testamentary </w:t>
      </w:r>
      <w:r w:rsidR="00C83434" w:rsidRPr="002F0E6F">
        <w:t>f</w:t>
      </w:r>
      <w:r w:rsidRPr="002F0E6F">
        <w:t>reedom</w:t>
      </w:r>
      <w:r w:rsidR="004F62D0" w:rsidRPr="002F0E6F">
        <w:t xml:space="preserve"> via</w:t>
      </w:r>
      <w:r w:rsidRPr="002F0E6F">
        <w:t xml:space="preserve"> family provision l</w:t>
      </w:r>
      <w:r w:rsidR="00747649" w:rsidRPr="002F0E6F">
        <w:t>egislation</w:t>
      </w:r>
      <w:r w:rsidRPr="002F0E6F">
        <w:t>; and</w:t>
      </w:r>
    </w:p>
    <w:p w14:paraId="493EE2C2" w14:textId="6221F41D" w:rsidR="00747649" w:rsidRPr="002F0E6F" w:rsidRDefault="00E07FC8" w:rsidP="00CF09A0">
      <w:pPr>
        <w:pStyle w:val="DotPointTLRI"/>
      </w:pPr>
      <w:r w:rsidRPr="002F0E6F">
        <w:t>a</w:t>
      </w:r>
      <w:r w:rsidR="00747649" w:rsidRPr="002F0E6F">
        <w:t xml:space="preserve">n </w:t>
      </w:r>
      <w:r w:rsidR="00747649" w:rsidRPr="00C82D4A">
        <w:t>explanation</w:t>
      </w:r>
      <w:r w:rsidR="00747649" w:rsidRPr="002F0E6F">
        <w:t xml:space="preserve"> of the </w:t>
      </w:r>
      <w:r w:rsidR="007A5F48" w:rsidRPr="007A5F48">
        <w:rPr>
          <w:i/>
        </w:rPr>
        <w:t xml:space="preserve">TFM </w:t>
      </w:r>
      <w:r w:rsidR="00F15E1B" w:rsidRPr="007A5F48">
        <w:rPr>
          <w:i/>
        </w:rPr>
        <w:t>Act</w:t>
      </w:r>
      <w:r w:rsidRPr="002F0E6F">
        <w:t>.</w:t>
      </w:r>
    </w:p>
    <w:p w14:paraId="0C8E0904" w14:textId="77777777" w:rsidR="002857B2" w:rsidRPr="002F0E6F" w:rsidRDefault="00A9043D" w:rsidP="00661180">
      <w:pPr>
        <w:pStyle w:val="Sub-HeadingTLRI"/>
        <w:keepNext/>
        <w:rPr>
          <w:lang w:val="en-AU"/>
        </w:rPr>
      </w:pPr>
      <w:r w:rsidRPr="002F0E6F">
        <w:rPr>
          <w:lang w:val="en-AU"/>
        </w:rPr>
        <w:lastRenderedPageBreak/>
        <w:t>History of s</w:t>
      </w:r>
      <w:r w:rsidR="00E07FC8" w:rsidRPr="002F0E6F">
        <w:rPr>
          <w:lang w:val="en-AU"/>
        </w:rPr>
        <w:t>uccession and p</w:t>
      </w:r>
      <w:r w:rsidR="00383473" w:rsidRPr="002F0E6F">
        <w:rPr>
          <w:lang w:val="en-AU"/>
        </w:rPr>
        <w:t>roperty</w:t>
      </w:r>
      <w:r w:rsidR="00E07FC8" w:rsidRPr="002F0E6F">
        <w:rPr>
          <w:lang w:val="en-AU"/>
        </w:rPr>
        <w:t xml:space="preserve"> laws</w:t>
      </w:r>
    </w:p>
    <w:p w14:paraId="3FFC9E71" w14:textId="5CDAD289" w:rsidR="002857B2" w:rsidRPr="002F0E6F" w:rsidRDefault="002857B2" w:rsidP="00C82D4A">
      <w:pPr>
        <w:pStyle w:val="NormalNumberedTextTLRI"/>
      </w:pPr>
      <w:r w:rsidRPr="002F0E6F">
        <w:t xml:space="preserve">The predominant view of the current law of succession is that </w:t>
      </w:r>
      <w:r w:rsidR="00B409FD" w:rsidRPr="002F0E6F">
        <w:t xml:space="preserve">it </w:t>
      </w:r>
      <w:r w:rsidRPr="002F0E6F">
        <w:t>i</w:t>
      </w:r>
      <w:r w:rsidR="0059627F" w:rsidRPr="002F0E6F">
        <w:t>s</w:t>
      </w:r>
      <w:r w:rsidRPr="002F0E6F">
        <w:t xml:space="preserve"> based on the rights of ownership and possession of private property. Many of the advantages of gaining private property would be lost if those private rights were not to extend to a right to t</w:t>
      </w:r>
      <w:r w:rsidR="0059627F" w:rsidRPr="002F0E6F">
        <w:t>ransmit that property on death.</w:t>
      </w:r>
      <w:bookmarkStart w:id="36" w:name="_Ref1471803"/>
      <w:r w:rsidR="00512528" w:rsidRPr="00C82D4A">
        <w:rPr>
          <w:rStyle w:val="FootnoteReference"/>
        </w:rPr>
        <w:footnoteReference w:id="8"/>
      </w:r>
      <w:bookmarkEnd w:id="36"/>
      <w:r w:rsidR="004D2FD0" w:rsidRPr="002F0E6F">
        <w:t xml:space="preserve"> This view was</w:t>
      </w:r>
      <w:r w:rsidR="00057B52">
        <w:rPr>
          <w:lang w:val="en-AU"/>
        </w:rPr>
        <w:t>,</w:t>
      </w:r>
      <w:r w:rsidR="004D2FD0" w:rsidRPr="002F0E6F">
        <w:t xml:space="preserve"> and is</w:t>
      </w:r>
      <w:r w:rsidR="00057B52">
        <w:rPr>
          <w:lang w:val="en-AU"/>
        </w:rPr>
        <w:t>,</w:t>
      </w:r>
      <w:r w:rsidR="004D2FD0" w:rsidRPr="002F0E6F">
        <w:t xml:space="preserve"> heavily based on the liberal views of John Stuart Mill (1806–1873)</w:t>
      </w:r>
      <w:r w:rsidR="00512528" w:rsidRPr="002F0E6F">
        <w:t>.</w:t>
      </w:r>
      <w:r w:rsidR="00512528" w:rsidRPr="00C82D4A">
        <w:rPr>
          <w:rStyle w:val="FootnoteReference"/>
        </w:rPr>
        <w:footnoteReference w:id="9"/>
      </w:r>
    </w:p>
    <w:p w14:paraId="0160EA7C" w14:textId="40A66302" w:rsidR="0059627F" w:rsidRPr="002F0E6F" w:rsidRDefault="002857B2" w:rsidP="00C82D4A">
      <w:pPr>
        <w:pStyle w:val="NormalNumberedTextTLRI"/>
        <w:rPr>
          <w:i/>
          <w:iCs/>
          <w:lang w:val="en-AU"/>
        </w:rPr>
      </w:pPr>
      <w:r w:rsidRPr="002F0E6F">
        <w:rPr>
          <w:lang w:val="en-AU"/>
        </w:rPr>
        <w:t>The basic argument, although simplistic, was that testamentary</w:t>
      </w:r>
      <w:r w:rsidR="004D2FD0" w:rsidRPr="002F0E6F">
        <w:rPr>
          <w:lang w:val="en-AU"/>
        </w:rPr>
        <w:t xml:space="preserve"> f</w:t>
      </w:r>
      <w:r w:rsidR="0059627F" w:rsidRPr="002F0E6F">
        <w:rPr>
          <w:lang w:val="en-AU"/>
        </w:rPr>
        <w:t xml:space="preserve">reedom was </w:t>
      </w:r>
      <w:r w:rsidR="004D2FD0" w:rsidRPr="002F0E6F">
        <w:rPr>
          <w:lang w:val="en-AU"/>
        </w:rPr>
        <w:t>a consequence of an in</w:t>
      </w:r>
      <w:r w:rsidR="00AC7225" w:rsidRPr="002F0E6F">
        <w:rPr>
          <w:lang w:val="en-AU"/>
        </w:rPr>
        <w:t>dividual’s</w:t>
      </w:r>
      <w:r w:rsidR="00A9043D" w:rsidRPr="002F0E6F">
        <w:rPr>
          <w:lang w:val="en-AU"/>
        </w:rPr>
        <w:t xml:space="preserve"> creation of property rights. I</w:t>
      </w:r>
      <w:r w:rsidR="004D2FD0" w:rsidRPr="002F0E6F">
        <w:rPr>
          <w:lang w:val="en-AU"/>
        </w:rPr>
        <w:t>t followed that there</w:t>
      </w:r>
      <w:r w:rsidR="00A9043D" w:rsidRPr="002F0E6F">
        <w:rPr>
          <w:lang w:val="en-AU"/>
        </w:rPr>
        <w:t xml:space="preserve"> should be no</w:t>
      </w:r>
      <w:r w:rsidR="004D2FD0" w:rsidRPr="002F0E6F">
        <w:rPr>
          <w:lang w:val="en-AU"/>
        </w:rPr>
        <w:t xml:space="preserve"> automatic right </w:t>
      </w:r>
      <w:r w:rsidR="00A9043D" w:rsidRPr="002F0E6F">
        <w:rPr>
          <w:lang w:val="en-AU"/>
        </w:rPr>
        <w:t>for</w:t>
      </w:r>
      <w:r w:rsidR="004D2FD0" w:rsidRPr="002F0E6F">
        <w:rPr>
          <w:lang w:val="en-AU"/>
        </w:rPr>
        <w:t xml:space="preserve"> any individuals (most likely members of the deceased</w:t>
      </w:r>
      <w:r w:rsidR="00A9043D" w:rsidRPr="002F0E6F">
        <w:rPr>
          <w:lang w:val="en-AU"/>
        </w:rPr>
        <w:t>’s family) to inherit.</w:t>
      </w:r>
      <w:r w:rsidR="004D2FD0" w:rsidRPr="002F0E6F">
        <w:rPr>
          <w:lang w:val="en-AU"/>
        </w:rPr>
        <w:t xml:space="preserve"> Under this view, testamentary freedom was seen to be absolute</w:t>
      </w:r>
      <w:r w:rsidR="0059627F" w:rsidRPr="002F0E6F">
        <w:rPr>
          <w:lang w:val="en-AU"/>
        </w:rPr>
        <w:t xml:space="preserve">. </w:t>
      </w:r>
      <w:r w:rsidR="00A9043D" w:rsidRPr="002F0E6F">
        <w:rPr>
          <w:lang w:val="en-AU"/>
        </w:rPr>
        <w:t>T</w:t>
      </w:r>
      <w:r w:rsidR="0059627F" w:rsidRPr="002F0E6F">
        <w:rPr>
          <w:lang w:val="en-AU"/>
        </w:rPr>
        <w:t>he ability of the testator to leave his or her property to who</w:t>
      </w:r>
      <w:r w:rsidR="00AC7225" w:rsidRPr="002F0E6F">
        <w:rPr>
          <w:lang w:val="en-AU"/>
        </w:rPr>
        <w:t>m</w:t>
      </w:r>
      <w:r w:rsidR="0059627F" w:rsidRPr="002F0E6F">
        <w:rPr>
          <w:lang w:val="en-AU"/>
        </w:rPr>
        <w:t>ever pleased him or her wa</w:t>
      </w:r>
      <w:r w:rsidR="00A9043D" w:rsidRPr="002F0E6F">
        <w:rPr>
          <w:lang w:val="en-AU"/>
        </w:rPr>
        <w:t>s the dominant doctrine in the common l</w:t>
      </w:r>
      <w:r w:rsidR="0059627F" w:rsidRPr="002F0E6F">
        <w:rPr>
          <w:lang w:val="en-AU"/>
        </w:rPr>
        <w:t>aw world for about 200 years before the twentieth century</w:t>
      </w:r>
      <w:r w:rsidR="0059627F" w:rsidRPr="002F0E6F">
        <w:rPr>
          <w:i/>
          <w:iCs/>
          <w:lang w:val="en-AU"/>
        </w:rPr>
        <w:t>.</w:t>
      </w:r>
      <w:r w:rsidR="00A9043D" w:rsidRPr="00C82D4A">
        <w:rPr>
          <w:rStyle w:val="FootnoteReference"/>
        </w:rPr>
        <w:footnoteReference w:id="10"/>
      </w:r>
    </w:p>
    <w:p w14:paraId="7E10571B" w14:textId="0DCE0DFC" w:rsidR="002857B2" w:rsidRPr="002F0E6F" w:rsidRDefault="002857B2" w:rsidP="00C82D4A">
      <w:pPr>
        <w:pStyle w:val="NormalNumberedTextTLRI"/>
        <w:rPr>
          <w:lang w:val="en-AU"/>
        </w:rPr>
      </w:pPr>
      <w:r w:rsidRPr="002F0E6F">
        <w:rPr>
          <w:lang w:val="en-AU"/>
        </w:rPr>
        <w:t>This is in stark contrast to most civil law countries</w:t>
      </w:r>
      <w:r w:rsidR="00057B52">
        <w:rPr>
          <w:lang w:val="en-AU"/>
        </w:rPr>
        <w:t>,</w:t>
      </w:r>
      <w:r w:rsidRPr="002F0E6F">
        <w:rPr>
          <w:lang w:val="en-AU"/>
        </w:rPr>
        <w:t xml:space="preserve"> which feature partial forced succession laws, where there is a compromise between total freedom of testat</w:t>
      </w:r>
      <w:r w:rsidR="00AA6F50" w:rsidRPr="002F0E6F">
        <w:rPr>
          <w:lang w:val="en-AU"/>
        </w:rPr>
        <w:t>ion</w:t>
      </w:r>
      <w:r w:rsidRPr="002F0E6F">
        <w:rPr>
          <w:lang w:val="en-AU"/>
        </w:rPr>
        <w:t xml:space="preserve"> on the one hand and the interests of the deceased’s family on the other. The compromise has taken a number of forms, </w:t>
      </w:r>
      <w:r w:rsidR="001E5584" w:rsidRPr="002F0E6F">
        <w:rPr>
          <w:lang w:val="en-AU"/>
        </w:rPr>
        <w:t xml:space="preserve">the essence of </w:t>
      </w:r>
      <w:r w:rsidR="001E5584" w:rsidRPr="00C82D4A">
        <w:t>which</w:t>
      </w:r>
      <w:r w:rsidR="001E5584" w:rsidRPr="002F0E6F">
        <w:rPr>
          <w:lang w:val="en-AU"/>
        </w:rPr>
        <w:t xml:space="preserve"> is that</w:t>
      </w:r>
      <w:r w:rsidRPr="002F0E6F">
        <w:rPr>
          <w:lang w:val="en-AU"/>
        </w:rPr>
        <w:t xml:space="preserve"> the immediate relatives of the deceased have</w:t>
      </w:r>
      <w:r w:rsidR="00AA6F50" w:rsidRPr="002F0E6F">
        <w:rPr>
          <w:lang w:val="en-AU"/>
        </w:rPr>
        <w:t xml:space="preserve"> certain </w:t>
      </w:r>
      <w:r w:rsidRPr="002F0E6F">
        <w:rPr>
          <w:lang w:val="en-AU"/>
        </w:rPr>
        <w:t>shares of w</w:t>
      </w:r>
      <w:r w:rsidR="00A9043D" w:rsidRPr="002F0E6F">
        <w:rPr>
          <w:lang w:val="en-AU"/>
        </w:rPr>
        <w:t xml:space="preserve">hich they may not be deprived. </w:t>
      </w:r>
      <w:r w:rsidRPr="002F0E6F">
        <w:rPr>
          <w:lang w:val="en-AU"/>
        </w:rPr>
        <w:t xml:space="preserve">Freedom of testation rests only with that part of the </w:t>
      </w:r>
      <w:r w:rsidR="00AA6F50" w:rsidRPr="002F0E6F">
        <w:rPr>
          <w:lang w:val="en-AU"/>
        </w:rPr>
        <w:t>e</w:t>
      </w:r>
      <w:r w:rsidRPr="002F0E6F">
        <w:rPr>
          <w:lang w:val="en-AU"/>
        </w:rPr>
        <w:t xml:space="preserve">state not subject to the shares. Mackie </w:t>
      </w:r>
      <w:r w:rsidR="00A9043D" w:rsidRPr="002F0E6F">
        <w:rPr>
          <w:lang w:val="en-AU"/>
        </w:rPr>
        <w:t>comments that</w:t>
      </w:r>
      <w:r w:rsidRPr="002F0E6F">
        <w:rPr>
          <w:lang w:val="en-AU"/>
        </w:rPr>
        <w:t xml:space="preserve"> the advantages of such schemes include the obvious certainty created, the equality of treatment of relatives and the lack of need to resort to judicial </w:t>
      </w:r>
      <w:r w:rsidR="002A72AC" w:rsidRPr="002F0E6F">
        <w:rPr>
          <w:lang w:val="en-AU"/>
        </w:rPr>
        <w:t>proceedings</w:t>
      </w:r>
      <w:r w:rsidRPr="002F0E6F">
        <w:rPr>
          <w:lang w:val="en-AU"/>
        </w:rPr>
        <w:t xml:space="preserve"> to enfo</w:t>
      </w:r>
      <w:r w:rsidR="00BE182C" w:rsidRPr="002F0E6F">
        <w:rPr>
          <w:lang w:val="en-AU"/>
        </w:rPr>
        <w:t>r</w:t>
      </w:r>
      <w:r w:rsidRPr="002F0E6F">
        <w:rPr>
          <w:lang w:val="en-AU"/>
        </w:rPr>
        <w:t>ce the right</w:t>
      </w:r>
      <w:r w:rsidR="003874C1" w:rsidRPr="002F0E6F">
        <w:rPr>
          <w:lang w:val="en-AU"/>
        </w:rPr>
        <w:t>.</w:t>
      </w:r>
      <w:r w:rsidR="00A9043D" w:rsidRPr="00C82D4A">
        <w:rPr>
          <w:rStyle w:val="FootnoteReference"/>
        </w:rPr>
        <w:footnoteReference w:id="11"/>
      </w:r>
      <w:r w:rsidR="003874C1" w:rsidRPr="002F0E6F">
        <w:rPr>
          <w:lang w:val="en-AU"/>
        </w:rPr>
        <w:t xml:space="preserve"> </w:t>
      </w:r>
      <w:r w:rsidR="000F6BD4">
        <w:rPr>
          <w:lang w:val="en-AU"/>
        </w:rPr>
        <w:t>Conversely</w:t>
      </w:r>
      <w:r w:rsidR="00A9043D" w:rsidRPr="002F0E6F">
        <w:rPr>
          <w:lang w:val="en-AU"/>
        </w:rPr>
        <w:t>,</w:t>
      </w:r>
      <w:r w:rsidR="003874C1" w:rsidRPr="002F0E6F">
        <w:rPr>
          <w:lang w:val="en-AU"/>
        </w:rPr>
        <w:t xml:space="preserve"> Atkinson</w:t>
      </w:r>
      <w:r w:rsidR="00A9043D" w:rsidRPr="002F0E6F">
        <w:rPr>
          <w:lang w:val="en-AU"/>
        </w:rPr>
        <w:t xml:space="preserve"> comments</w:t>
      </w:r>
      <w:r w:rsidR="00AA6F50" w:rsidRPr="002F0E6F">
        <w:rPr>
          <w:lang w:val="en-AU"/>
        </w:rPr>
        <w:t>:</w:t>
      </w:r>
      <w:r w:rsidR="003874C1" w:rsidRPr="002F0E6F">
        <w:rPr>
          <w:lang w:val="en-AU"/>
        </w:rPr>
        <w:t xml:space="preserve"> </w:t>
      </w:r>
    </w:p>
    <w:p w14:paraId="53EAB2A0" w14:textId="0EE8C967" w:rsidR="00CA1EBA" w:rsidRPr="00C82D4A" w:rsidRDefault="002857B2" w:rsidP="00C47D98">
      <w:pPr>
        <w:pStyle w:val="QuoteTLRI"/>
      </w:pPr>
      <w:r w:rsidRPr="00C82D4A">
        <w:t xml:space="preserve">One obtains property in his lifetime and may do with it as he pleases </w:t>
      </w:r>
      <w:r w:rsidR="00C82D4A">
        <w:t>—</w:t>
      </w:r>
      <w:r w:rsidRPr="00C82D4A">
        <w:t xml:space="preserve"> why should he not be permitted to appoint his successors? Akin to this is the argument that a plan of forced inheritance might discourage individual initiative and thrift. Such a scheme would also tend to destroy parental control, and thus render family relations unwholesome. The testator would have no protection which would enable him to re</w:t>
      </w:r>
      <w:r w:rsidR="003874C1" w:rsidRPr="00C82D4A">
        <w:t>ward kindness or punish cruelty</w:t>
      </w:r>
      <w:r w:rsidR="00AA6F50" w:rsidRPr="00C82D4A">
        <w:t>.</w:t>
      </w:r>
      <w:r w:rsidR="00F45EF1" w:rsidRPr="00C82D4A">
        <w:rPr>
          <w:rStyle w:val="FootnoteReference"/>
        </w:rPr>
        <w:footnoteReference w:id="12"/>
      </w:r>
    </w:p>
    <w:p w14:paraId="6DD38741" w14:textId="0D063E09" w:rsidR="002857B2" w:rsidRPr="002F0E6F" w:rsidRDefault="00A9043D" w:rsidP="00A9043D">
      <w:pPr>
        <w:pStyle w:val="Sub-HeadingTLRI"/>
        <w:rPr>
          <w:lang w:val="en-AU"/>
        </w:rPr>
      </w:pPr>
      <w:r w:rsidRPr="002F0E6F">
        <w:rPr>
          <w:lang w:val="en-AU"/>
        </w:rPr>
        <w:t>Restrictions on absolute testamentary freedom: Family p</w:t>
      </w:r>
      <w:r w:rsidR="002857B2" w:rsidRPr="002F0E6F">
        <w:rPr>
          <w:lang w:val="en-AU"/>
        </w:rPr>
        <w:t xml:space="preserve">rovision </w:t>
      </w:r>
      <w:r w:rsidRPr="002F0E6F">
        <w:rPr>
          <w:lang w:val="en-AU"/>
        </w:rPr>
        <w:t>l</w:t>
      </w:r>
      <w:r w:rsidR="002857B2" w:rsidRPr="002F0E6F">
        <w:rPr>
          <w:lang w:val="en-AU"/>
        </w:rPr>
        <w:t>egislation</w:t>
      </w:r>
    </w:p>
    <w:p w14:paraId="66F8AE5D" w14:textId="4A35F7EB" w:rsidR="002857B2" w:rsidRPr="002F0E6F" w:rsidRDefault="00383473" w:rsidP="003A659D">
      <w:pPr>
        <w:pStyle w:val="NormalNumberedTextTLRI"/>
        <w:rPr>
          <w:lang w:val="en-AU"/>
        </w:rPr>
      </w:pPr>
      <w:r w:rsidRPr="002F0E6F">
        <w:rPr>
          <w:lang w:val="en-AU"/>
        </w:rPr>
        <w:tab/>
      </w:r>
      <w:r w:rsidR="00B47249" w:rsidRPr="002F0E6F">
        <w:rPr>
          <w:lang w:val="en-AU"/>
        </w:rPr>
        <w:t>A</w:t>
      </w:r>
      <w:r w:rsidR="002857B2" w:rsidRPr="002F0E6F">
        <w:rPr>
          <w:lang w:val="en-AU"/>
        </w:rPr>
        <w:t xml:space="preserve"> difficulty with complete </w:t>
      </w:r>
      <w:r w:rsidR="002A72AC" w:rsidRPr="002F0E6F">
        <w:rPr>
          <w:lang w:val="en-AU"/>
        </w:rPr>
        <w:t xml:space="preserve">testamentary </w:t>
      </w:r>
      <w:r w:rsidR="002857B2" w:rsidRPr="002F0E6F">
        <w:rPr>
          <w:lang w:val="en-AU"/>
        </w:rPr>
        <w:t>freedom is</w:t>
      </w:r>
      <w:r w:rsidR="00C83434" w:rsidRPr="002F0E6F">
        <w:rPr>
          <w:lang w:val="en-AU"/>
        </w:rPr>
        <w:t>,</w:t>
      </w:r>
      <w:r w:rsidR="002857B2" w:rsidRPr="002F0E6F">
        <w:rPr>
          <w:lang w:val="en-AU"/>
        </w:rPr>
        <w:t xml:space="preserve"> of course</w:t>
      </w:r>
      <w:r w:rsidR="00C83434" w:rsidRPr="002F0E6F">
        <w:rPr>
          <w:lang w:val="en-AU"/>
        </w:rPr>
        <w:t>,</w:t>
      </w:r>
      <w:r w:rsidR="002857B2" w:rsidRPr="002F0E6F">
        <w:rPr>
          <w:lang w:val="en-AU"/>
        </w:rPr>
        <w:t xml:space="preserve"> that testators have an absolute right to leave property </w:t>
      </w:r>
      <w:r w:rsidR="002A72AC" w:rsidRPr="002F0E6F">
        <w:rPr>
          <w:lang w:val="en-AU"/>
        </w:rPr>
        <w:t xml:space="preserve">as </w:t>
      </w:r>
      <w:r w:rsidR="002857B2" w:rsidRPr="002F0E6F">
        <w:rPr>
          <w:lang w:val="en-AU"/>
        </w:rPr>
        <w:t xml:space="preserve">they wish and </w:t>
      </w:r>
      <w:r w:rsidR="00B47249" w:rsidRPr="002F0E6F">
        <w:rPr>
          <w:lang w:val="en-AU"/>
        </w:rPr>
        <w:t>may</w:t>
      </w:r>
      <w:r w:rsidR="002857B2" w:rsidRPr="002F0E6F">
        <w:rPr>
          <w:lang w:val="en-AU"/>
        </w:rPr>
        <w:t xml:space="preserve"> ignore the claims of </w:t>
      </w:r>
      <w:r w:rsidR="00B47249" w:rsidRPr="002F0E6F">
        <w:rPr>
          <w:lang w:val="en-AU"/>
        </w:rPr>
        <w:t xml:space="preserve">family and other dependants. </w:t>
      </w:r>
      <w:r w:rsidR="002857B2" w:rsidRPr="002F0E6F">
        <w:rPr>
          <w:lang w:val="en-AU"/>
        </w:rPr>
        <w:t xml:space="preserve">The </w:t>
      </w:r>
      <w:r w:rsidR="002857B2" w:rsidRPr="003A659D">
        <w:t>need</w:t>
      </w:r>
      <w:r w:rsidR="002857B2" w:rsidRPr="002F0E6F">
        <w:rPr>
          <w:lang w:val="en-AU"/>
        </w:rPr>
        <w:t xml:space="preserve"> for legislative intervention to protect those dependants was recognis</w:t>
      </w:r>
      <w:r w:rsidR="00AC7225" w:rsidRPr="002F0E6F">
        <w:rPr>
          <w:lang w:val="en-AU"/>
        </w:rPr>
        <w:t>ed in the early twentieth century</w:t>
      </w:r>
      <w:r w:rsidR="002857B2" w:rsidRPr="002F0E6F">
        <w:rPr>
          <w:lang w:val="en-AU"/>
        </w:rPr>
        <w:t xml:space="preserve">. </w:t>
      </w:r>
      <w:r w:rsidR="00B47249" w:rsidRPr="002F0E6F">
        <w:rPr>
          <w:lang w:val="en-AU"/>
        </w:rPr>
        <w:t>T</w:t>
      </w:r>
      <w:r w:rsidR="002857B2" w:rsidRPr="002F0E6F">
        <w:rPr>
          <w:lang w:val="en-AU"/>
        </w:rPr>
        <w:t>he original suggestions for reform were for the adoption of a mixed system of testate and universal succession, with fixed shares devolving on the wife and children, as wit</w:t>
      </w:r>
      <w:r w:rsidR="00B47249" w:rsidRPr="002F0E6F">
        <w:rPr>
          <w:lang w:val="en-AU"/>
        </w:rPr>
        <w:t>h the European Civil Law system</w:t>
      </w:r>
      <w:r w:rsidR="002857B2" w:rsidRPr="002F0E6F">
        <w:rPr>
          <w:lang w:val="en-AU"/>
        </w:rPr>
        <w:t xml:space="preserve"> discussed above.</w:t>
      </w:r>
      <w:r w:rsidR="00B47249" w:rsidRPr="003A659D">
        <w:rPr>
          <w:rStyle w:val="FootnoteReference"/>
        </w:rPr>
        <w:footnoteReference w:id="13"/>
      </w:r>
      <w:r w:rsidR="006C5350">
        <w:rPr>
          <w:lang w:val="en-AU"/>
        </w:rPr>
        <w:t xml:space="preserve"> </w:t>
      </w:r>
      <w:r w:rsidR="000F6BD4">
        <w:rPr>
          <w:lang w:val="en-AU"/>
        </w:rPr>
        <w:t>E</w:t>
      </w:r>
      <w:r w:rsidR="002857B2" w:rsidRPr="002F0E6F">
        <w:rPr>
          <w:lang w:val="en-AU"/>
        </w:rPr>
        <w:t>ventually</w:t>
      </w:r>
      <w:r w:rsidR="000F6BD4">
        <w:rPr>
          <w:lang w:val="en-AU"/>
        </w:rPr>
        <w:t>, however,</w:t>
      </w:r>
      <w:r w:rsidR="002857B2" w:rsidRPr="002F0E6F">
        <w:rPr>
          <w:lang w:val="en-AU"/>
        </w:rPr>
        <w:t xml:space="preserve"> that system was </w:t>
      </w:r>
      <w:r w:rsidR="00AC7225" w:rsidRPr="002F0E6F">
        <w:rPr>
          <w:lang w:val="en-AU"/>
        </w:rPr>
        <w:t>considered to be</w:t>
      </w:r>
      <w:r w:rsidR="002857B2" w:rsidRPr="002F0E6F">
        <w:rPr>
          <w:lang w:val="en-AU"/>
        </w:rPr>
        <w:t xml:space="preserve"> too inflexible and rigid and the solution adopted by all Australian jurisdictions </w:t>
      </w:r>
      <w:r w:rsidR="002857B2" w:rsidRPr="002F0E6F">
        <w:rPr>
          <w:lang w:val="en-AU"/>
        </w:rPr>
        <w:lastRenderedPageBreak/>
        <w:t xml:space="preserve">was to vest the courts with a discretionary power to </w:t>
      </w:r>
      <w:r w:rsidR="00C54F8E" w:rsidRPr="002F0E6F">
        <w:rPr>
          <w:lang w:val="en-AU"/>
        </w:rPr>
        <w:t>a</w:t>
      </w:r>
      <w:r w:rsidR="00E86B1B" w:rsidRPr="002F0E6F">
        <w:rPr>
          <w:lang w:val="en-AU"/>
        </w:rPr>
        <w:t>wa</w:t>
      </w:r>
      <w:r w:rsidR="00C54F8E" w:rsidRPr="002F0E6F">
        <w:rPr>
          <w:lang w:val="en-AU"/>
        </w:rPr>
        <w:t xml:space="preserve">rd </w:t>
      </w:r>
      <w:r w:rsidR="002857B2" w:rsidRPr="002F0E6F">
        <w:rPr>
          <w:lang w:val="en-AU"/>
        </w:rPr>
        <w:t>provision where the circumstances were appropriate.</w:t>
      </w:r>
    </w:p>
    <w:p w14:paraId="3549424F" w14:textId="465E05DF" w:rsidR="002857B2" w:rsidRPr="002F0E6F" w:rsidRDefault="002857B2" w:rsidP="003A659D">
      <w:pPr>
        <w:pStyle w:val="NormalNumberedTextTLRI"/>
        <w:rPr>
          <w:lang w:val="en-AU"/>
        </w:rPr>
      </w:pPr>
      <w:r w:rsidRPr="002F0E6F">
        <w:rPr>
          <w:lang w:val="en-AU"/>
        </w:rPr>
        <w:t xml:space="preserve">The </w:t>
      </w:r>
      <w:r w:rsidR="003874C1" w:rsidRPr="002F0E6F">
        <w:rPr>
          <w:lang w:val="en-AU"/>
        </w:rPr>
        <w:t xml:space="preserve">first legislation </w:t>
      </w:r>
      <w:r w:rsidR="0082251D" w:rsidRPr="002F0E6F">
        <w:rPr>
          <w:lang w:val="en-AU"/>
        </w:rPr>
        <w:t xml:space="preserve">of this type </w:t>
      </w:r>
      <w:r w:rsidRPr="002F0E6F">
        <w:rPr>
          <w:lang w:val="en-AU"/>
        </w:rPr>
        <w:t xml:space="preserve">was enacted in New Zealand with the passing of the </w:t>
      </w:r>
      <w:r w:rsidRPr="002F0E6F">
        <w:rPr>
          <w:i/>
          <w:lang w:val="en-AU"/>
        </w:rPr>
        <w:t>Testator’s Family Maintenance Act</w:t>
      </w:r>
      <w:r w:rsidRPr="002F0E6F">
        <w:rPr>
          <w:lang w:val="en-AU"/>
        </w:rPr>
        <w:t xml:space="preserve"> in 1900.</w:t>
      </w:r>
      <w:r w:rsidR="00546869" w:rsidRPr="002F0E6F">
        <w:rPr>
          <w:lang w:val="en-AU"/>
        </w:rPr>
        <w:t xml:space="preserve"> </w:t>
      </w:r>
      <w:r w:rsidRPr="002F0E6F">
        <w:rPr>
          <w:lang w:val="en-AU"/>
        </w:rPr>
        <w:t xml:space="preserve">All </w:t>
      </w:r>
      <w:r w:rsidR="003A659D">
        <w:rPr>
          <w:lang w:val="en-AU"/>
        </w:rPr>
        <w:t>s</w:t>
      </w:r>
      <w:r w:rsidRPr="002F0E6F">
        <w:rPr>
          <w:lang w:val="en-AU"/>
        </w:rPr>
        <w:t>tate</w:t>
      </w:r>
      <w:r w:rsidR="00467D71" w:rsidRPr="002F0E6F">
        <w:rPr>
          <w:lang w:val="en-AU"/>
        </w:rPr>
        <w:t xml:space="preserve"> and </w:t>
      </w:r>
      <w:r w:rsidR="003A659D">
        <w:rPr>
          <w:lang w:val="en-AU"/>
        </w:rPr>
        <w:t>t</w:t>
      </w:r>
      <w:r w:rsidR="00467D71" w:rsidRPr="002F0E6F">
        <w:rPr>
          <w:lang w:val="en-AU"/>
        </w:rPr>
        <w:t>erritory</w:t>
      </w:r>
      <w:r w:rsidRPr="002F0E6F">
        <w:rPr>
          <w:lang w:val="en-AU"/>
        </w:rPr>
        <w:t xml:space="preserve"> jurisdict</w:t>
      </w:r>
      <w:r w:rsidR="00B47249" w:rsidRPr="002F0E6F">
        <w:rPr>
          <w:lang w:val="en-AU"/>
        </w:rPr>
        <w:t>ions in Australia followed suit:</w:t>
      </w:r>
      <w:r w:rsidRPr="002F0E6F">
        <w:rPr>
          <w:lang w:val="en-AU"/>
        </w:rPr>
        <w:t xml:space="preserve"> Victoria in </w:t>
      </w:r>
      <w:r w:rsidRPr="003A659D">
        <w:t>1906</w:t>
      </w:r>
      <w:r w:rsidRPr="002F0E6F">
        <w:rPr>
          <w:lang w:val="en-AU"/>
        </w:rPr>
        <w:t>, Tasmania in 1912, Queensland in 191</w:t>
      </w:r>
      <w:r w:rsidR="00953FFC" w:rsidRPr="002F0E6F">
        <w:rPr>
          <w:lang w:val="en-AU"/>
        </w:rPr>
        <w:t>4</w:t>
      </w:r>
      <w:r w:rsidRPr="002F0E6F">
        <w:rPr>
          <w:lang w:val="en-AU"/>
        </w:rPr>
        <w:t xml:space="preserve">, </w:t>
      </w:r>
      <w:r w:rsidR="00953FFC" w:rsidRPr="002F0E6F">
        <w:rPr>
          <w:lang w:val="en-AU"/>
        </w:rPr>
        <w:t xml:space="preserve">New South Wales in 1916, </w:t>
      </w:r>
      <w:r w:rsidRPr="002F0E6F">
        <w:rPr>
          <w:lang w:val="en-AU"/>
        </w:rPr>
        <w:t xml:space="preserve">South Australia in 1918, Western Australia in 1920 and </w:t>
      </w:r>
      <w:r w:rsidR="00467D71" w:rsidRPr="002F0E6F">
        <w:rPr>
          <w:lang w:val="en-AU"/>
        </w:rPr>
        <w:t xml:space="preserve">both </w:t>
      </w:r>
      <w:r w:rsidRPr="002F0E6F">
        <w:rPr>
          <w:lang w:val="en-AU"/>
        </w:rPr>
        <w:t>the Australian Capital Territory and the Northern Territory</w:t>
      </w:r>
      <w:r w:rsidR="00467D71" w:rsidRPr="002F0E6F">
        <w:rPr>
          <w:lang w:val="en-AU"/>
        </w:rPr>
        <w:t xml:space="preserve"> </w:t>
      </w:r>
      <w:r w:rsidRPr="002F0E6F">
        <w:rPr>
          <w:lang w:val="en-AU"/>
        </w:rPr>
        <w:t>in 1929.</w:t>
      </w:r>
      <w:r w:rsidR="00DD7CB8" w:rsidRPr="003A659D">
        <w:rPr>
          <w:rStyle w:val="FootnoteReference"/>
        </w:rPr>
        <w:footnoteReference w:id="14"/>
      </w:r>
      <w:r w:rsidRPr="002F0E6F">
        <w:rPr>
          <w:lang w:val="en-AU"/>
        </w:rPr>
        <w:t xml:space="preserve"> Similar legislation was passed in England in 193</w:t>
      </w:r>
      <w:r w:rsidR="00467D71" w:rsidRPr="002F0E6F">
        <w:rPr>
          <w:lang w:val="en-AU"/>
        </w:rPr>
        <w:t>8</w:t>
      </w:r>
      <w:r w:rsidR="00B47249" w:rsidRPr="002F0E6F">
        <w:rPr>
          <w:lang w:val="en-AU"/>
        </w:rPr>
        <w:t>.</w:t>
      </w:r>
      <w:bookmarkStart w:id="37" w:name="_Ref1668849"/>
      <w:r w:rsidR="00176475" w:rsidRPr="003A659D">
        <w:rPr>
          <w:rStyle w:val="FootnoteReference"/>
        </w:rPr>
        <w:footnoteReference w:id="15"/>
      </w:r>
      <w:bookmarkEnd w:id="37"/>
      <w:r w:rsidR="00B47249" w:rsidRPr="002F0E6F">
        <w:rPr>
          <w:lang w:val="en-AU"/>
        </w:rPr>
        <w:t xml:space="preserve"> </w:t>
      </w:r>
      <w:r w:rsidRPr="002F0E6F">
        <w:rPr>
          <w:lang w:val="en-AU"/>
        </w:rPr>
        <w:t xml:space="preserve">The </w:t>
      </w:r>
      <w:r w:rsidR="000F6BD4">
        <w:rPr>
          <w:lang w:val="en-AU"/>
        </w:rPr>
        <w:t>focus</w:t>
      </w:r>
      <w:r w:rsidR="000F6BD4" w:rsidRPr="002F0E6F">
        <w:rPr>
          <w:lang w:val="en-AU"/>
        </w:rPr>
        <w:t xml:space="preserve"> </w:t>
      </w:r>
      <w:r w:rsidRPr="002F0E6F">
        <w:rPr>
          <w:lang w:val="en-AU"/>
        </w:rPr>
        <w:t>of the earlier law was</w:t>
      </w:r>
      <w:r w:rsidR="00467D71" w:rsidRPr="002F0E6F">
        <w:rPr>
          <w:lang w:val="en-AU"/>
        </w:rPr>
        <w:t xml:space="preserve"> upon</w:t>
      </w:r>
      <w:r w:rsidRPr="002F0E6F">
        <w:rPr>
          <w:lang w:val="en-AU"/>
        </w:rPr>
        <w:t xml:space="preserve"> the protection of widow</w:t>
      </w:r>
      <w:r w:rsidR="008328D6" w:rsidRPr="002F0E6F">
        <w:rPr>
          <w:lang w:val="en-AU"/>
        </w:rPr>
        <w:t>s</w:t>
      </w:r>
      <w:r w:rsidRPr="002F0E6F">
        <w:rPr>
          <w:lang w:val="en-AU"/>
        </w:rPr>
        <w:t>, a</w:t>
      </w:r>
      <w:r w:rsidR="00953FFC" w:rsidRPr="002F0E6F">
        <w:rPr>
          <w:lang w:val="en-AU"/>
        </w:rPr>
        <w:t>s</w:t>
      </w:r>
      <w:r w:rsidRPr="002F0E6F">
        <w:rPr>
          <w:lang w:val="en-AU"/>
        </w:rPr>
        <w:t xml:space="preserve"> </w:t>
      </w:r>
      <w:r w:rsidR="00953FFC" w:rsidRPr="002F0E6F">
        <w:rPr>
          <w:lang w:val="en-AU"/>
        </w:rPr>
        <w:t xml:space="preserve">exemplified </w:t>
      </w:r>
      <w:r w:rsidRPr="002F0E6F">
        <w:rPr>
          <w:lang w:val="en-AU"/>
        </w:rPr>
        <w:t xml:space="preserve">by the parliamentary remarks </w:t>
      </w:r>
      <w:r w:rsidR="008A02E9" w:rsidRPr="002F0E6F">
        <w:rPr>
          <w:lang w:val="en-AU"/>
        </w:rPr>
        <w:t>of</w:t>
      </w:r>
      <w:r w:rsidRPr="002F0E6F">
        <w:rPr>
          <w:lang w:val="en-AU"/>
        </w:rPr>
        <w:t xml:space="preserve"> the Attorney-General of New South Wales preceding the introduction of the original New South Wales Act of 1916</w:t>
      </w:r>
      <w:r w:rsidR="008A02E9" w:rsidRPr="002F0E6F">
        <w:rPr>
          <w:lang w:val="en-AU"/>
        </w:rPr>
        <w:t>:</w:t>
      </w:r>
      <w:r w:rsidR="00953FFC" w:rsidRPr="002F0E6F">
        <w:rPr>
          <w:lang w:val="en-AU"/>
        </w:rPr>
        <w:t xml:space="preserve"> </w:t>
      </w:r>
    </w:p>
    <w:p w14:paraId="5681AC09" w14:textId="4F17A9EA" w:rsidR="002857B2" w:rsidRPr="002F0E6F" w:rsidRDefault="002857B2" w:rsidP="00C47D98">
      <w:pPr>
        <w:pStyle w:val="QuoteTLRI"/>
      </w:pPr>
      <w:r w:rsidRPr="002F0E6F">
        <w:t>It is remarkable that in Australia, where the rights of women have developed as rapidly as the matter of property, we have wiped out whatever right a woman has in the estate of her husband.</w:t>
      </w:r>
      <w:r w:rsidR="00956543">
        <w:t xml:space="preserve"> </w:t>
      </w:r>
      <w:r w:rsidRPr="002F0E6F">
        <w:t>The dower which existed here for many years exists no longer. It was abolished in the year 1890 and today a man may</w:t>
      </w:r>
      <w:r w:rsidR="00A552B3" w:rsidRPr="002F0E6F">
        <w:t xml:space="preserve"> leave the whole of his property</w:t>
      </w:r>
      <w:r w:rsidRPr="002F0E6F">
        <w:t xml:space="preserve"> both real and personal, to any stranger to whom he chooses to leave it.</w:t>
      </w:r>
      <w:r w:rsidR="00956543">
        <w:t xml:space="preserve"> </w:t>
      </w:r>
      <w:r w:rsidRPr="002F0E6F">
        <w:t>The wife may have been with him a partner for forty or fifty years. She may have assisted him in acquiring whatever wealth he possesses, yet he, dying, may</w:t>
      </w:r>
      <w:r w:rsidR="00942020" w:rsidRPr="002F0E6F">
        <w:t xml:space="preserve"> will the</w:t>
      </w:r>
      <w:r w:rsidRPr="002F0E6F">
        <w:t xml:space="preserve"> property away and leave her depend</w:t>
      </w:r>
      <w:r w:rsidR="006C5350">
        <w:t>e</w:t>
      </w:r>
      <w:r w:rsidRPr="002F0E6F">
        <w:t xml:space="preserve">nt on the kindness of friends or the </w:t>
      </w:r>
      <w:r w:rsidR="00942020" w:rsidRPr="002F0E6F">
        <w:t>charity of the state</w:t>
      </w:r>
      <w:r w:rsidRPr="002F0E6F">
        <w:t>.</w:t>
      </w:r>
      <w:r w:rsidR="00956543">
        <w:t xml:space="preserve"> </w:t>
      </w:r>
      <w:r w:rsidRPr="002F0E6F">
        <w:t>During his lifetime he cannot do that, for it is incumbent on him to maintain his wife. Th</w:t>
      </w:r>
      <w:r w:rsidR="00942020" w:rsidRPr="002F0E6F">
        <w:t xml:space="preserve">e object of </w:t>
      </w:r>
      <w:r w:rsidRPr="002F0E6F">
        <w:t xml:space="preserve">the Bill is to secure that after her husband’s death the right of the wife to get sufficient </w:t>
      </w:r>
      <w:r w:rsidR="00942020" w:rsidRPr="002F0E6F">
        <w:t>from h</w:t>
      </w:r>
      <w:r w:rsidRPr="002F0E6F">
        <w:t>is estate to maintain her shall continue, and the right of his children shall be equally preserved.</w:t>
      </w:r>
      <w:r w:rsidR="00176475" w:rsidRPr="00E908E6">
        <w:rPr>
          <w:rStyle w:val="FootnoteReference"/>
        </w:rPr>
        <w:footnoteReference w:id="16"/>
      </w:r>
    </w:p>
    <w:p w14:paraId="47B1BF38" w14:textId="12935837" w:rsidR="002857B2" w:rsidRPr="002F0E6F" w:rsidRDefault="00383473" w:rsidP="00E908E6">
      <w:pPr>
        <w:pStyle w:val="NormalNumberedTextTLRI"/>
        <w:rPr>
          <w:lang w:val="en-AU"/>
        </w:rPr>
      </w:pPr>
      <w:r w:rsidRPr="002F0E6F">
        <w:rPr>
          <w:lang w:val="en-AU"/>
        </w:rPr>
        <w:tab/>
      </w:r>
      <w:r w:rsidR="000F3664" w:rsidRPr="002F0E6F">
        <w:rPr>
          <w:lang w:val="en-AU"/>
        </w:rPr>
        <w:t>As is evident in this</w:t>
      </w:r>
      <w:r w:rsidR="002857B2" w:rsidRPr="002F0E6F">
        <w:rPr>
          <w:lang w:val="en-AU"/>
        </w:rPr>
        <w:t xml:space="preserve"> statement</w:t>
      </w:r>
      <w:r w:rsidR="00937403" w:rsidRPr="002F0E6F">
        <w:rPr>
          <w:lang w:val="en-AU"/>
        </w:rPr>
        <w:t>,</w:t>
      </w:r>
      <w:r w:rsidR="002857B2" w:rsidRPr="002F0E6F">
        <w:rPr>
          <w:lang w:val="en-AU"/>
        </w:rPr>
        <w:t xml:space="preserve"> the original legislation was directed at the protection of women</w:t>
      </w:r>
      <w:r w:rsidR="00467D71" w:rsidRPr="002F0E6F">
        <w:rPr>
          <w:lang w:val="en-AU"/>
        </w:rPr>
        <w:t>,</w:t>
      </w:r>
      <w:r w:rsidR="008A02E9" w:rsidRPr="002F0E6F">
        <w:rPr>
          <w:lang w:val="en-AU"/>
        </w:rPr>
        <w:t xml:space="preserve"> </w:t>
      </w:r>
      <w:r w:rsidR="002857B2" w:rsidRPr="002F0E6F">
        <w:rPr>
          <w:lang w:val="en-AU"/>
        </w:rPr>
        <w:t xml:space="preserve">who were likely to be </w:t>
      </w:r>
      <w:r w:rsidR="002857B2" w:rsidRPr="00E908E6">
        <w:t>financially</w:t>
      </w:r>
      <w:r w:rsidR="002857B2" w:rsidRPr="002F0E6F">
        <w:rPr>
          <w:lang w:val="en-AU"/>
        </w:rPr>
        <w:t xml:space="preserve"> dependent on their husbands, </w:t>
      </w:r>
      <w:r w:rsidR="0082251D" w:rsidRPr="002F0E6F">
        <w:rPr>
          <w:lang w:val="en-AU"/>
        </w:rPr>
        <w:t>along with</w:t>
      </w:r>
      <w:r w:rsidR="002857B2" w:rsidRPr="002F0E6F">
        <w:rPr>
          <w:lang w:val="en-AU"/>
        </w:rPr>
        <w:t xml:space="preserve"> the children of </w:t>
      </w:r>
      <w:r w:rsidR="0082251D" w:rsidRPr="002F0E6F">
        <w:rPr>
          <w:lang w:val="en-AU"/>
        </w:rPr>
        <w:t>a</w:t>
      </w:r>
      <w:r w:rsidR="002857B2" w:rsidRPr="002F0E6F">
        <w:rPr>
          <w:lang w:val="en-AU"/>
        </w:rPr>
        <w:t xml:space="preserve"> marriage. Over time, however</w:t>
      </w:r>
      <w:r w:rsidR="00AC59C1" w:rsidRPr="002F0E6F">
        <w:rPr>
          <w:lang w:val="en-AU"/>
        </w:rPr>
        <w:t>,</w:t>
      </w:r>
      <w:r w:rsidR="002857B2" w:rsidRPr="002F0E6F">
        <w:rPr>
          <w:lang w:val="en-AU"/>
        </w:rPr>
        <w:t xml:space="preserve"> it was recognised that similar problems existed in relation to </w:t>
      </w:r>
      <w:r w:rsidR="000F3664" w:rsidRPr="002F0E6F">
        <w:rPr>
          <w:lang w:val="en-AU"/>
        </w:rPr>
        <w:t>other classes of individuals</w:t>
      </w:r>
      <w:r w:rsidR="002857B2" w:rsidRPr="002F0E6F">
        <w:rPr>
          <w:lang w:val="en-AU"/>
        </w:rPr>
        <w:t xml:space="preserve"> and</w:t>
      </w:r>
      <w:r w:rsidR="00AC59C1" w:rsidRPr="002F0E6F">
        <w:rPr>
          <w:lang w:val="en-AU"/>
        </w:rPr>
        <w:t xml:space="preserve"> so</w:t>
      </w:r>
      <w:r w:rsidR="008A02E9" w:rsidRPr="002F0E6F">
        <w:rPr>
          <w:lang w:val="en-AU"/>
        </w:rPr>
        <w:t xml:space="preserve"> </w:t>
      </w:r>
      <w:r w:rsidR="00D41D62" w:rsidRPr="002F0E6F">
        <w:rPr>
          <w:lang w:val="en-AU"/>
        </w:rPr>
        <w:t xml:space="preserve">the categories </w:t>
      </w:r>
      <w:r w:rsidR="00953FFC" w:rsidRPr="002F0E6F">
        <w:rPr>
          <w:lang w:val="en-AU"/>
        </w:rPr>
        <w:t xml:space="preserve">of </w:t>
      </w:r>
      <w:r w:rsidR="002857B2" w:rsidRPr="002F0E6F">
        <w:rPr>
          <w:lang w:val="en-AU"/>
        </w:rPr>
        <w:t xml:space="preserve">eligible applicants </w:t>
      </w:r>
      <w:r w:rsidR="00D41D62" w:rsidRPr="002F0E6F">
        <w:rPr>
          <w:lang w:val="en-AU"/>
        </w:rPr>
        <w:t>have been</w:t>
      </w:r>
      <w:r w:rsidR="00953FFC" w:rsidRPr="002F0E6F">
        <w:rPr>
          <w:lang w:val="en-AU"/>
        </w:rPr>
        <w:t xml:space="preserve"> </w:t>
      </w:r>
      <w:r w:rsidR="000F3664" w:rsidRPr="002F0E6F">
        <w:rPr>
          <w:lang w:val="en-AU"/>
        </w:rPr>
        <w:t xml:space="preserve">expanded. </w:t>
      </w:r>
    </w:p>
    <w:p w14:paraId="09019B0B" w14:textId="7023D00F" w:rsidR="00AC59C1" w:rsidRPr="002F0E6F" w:rsidRDefault="00B47249" w:rsidP="00D41D62">
      <w:pPr>
        <w:pStyle w:val="NumberedHeadingTLRI"/>
        <w:rPr>
          <w:lang w:val="en-AU"/>
        </w:rPr>
      </w:pPr>
      <w:bookmarkStart w:id="38" w:name="_Toc2256852"/>
      <w:r w:rsidRPr="002F0E6F">
        <w:rPr>
          <w:lang w:val="en-AU"/>
        </w:rPr>
        <w:t>T</w:t>
      </w:r>
      <w:r w:rsidR="00AC59C1" w:rsidRPr="002F0E6F">
        <w:rPr>
          <w:lang w:val="en-AU"/>
        </w:rPr>
        <w:t xml:space="preserve">he </w:t>
      </w:r>
      <w:r w:rsidR="00AC59C1" w:rsidRPr="002F0E6F">
        <w:rPr>
          <w:i/>
          <w:iCs/>
          <w:lang w:val="en-AU"/>
        </w:rPr>
        <w:t>Testator’s Family Maintenance Act 1912</w:t>
      </w:r>
      <w:r w:rsidR="00AC59C1" w:rsidRPr="002F0E6F">
        <w:rPr>
          <w:lang w:val="en-AU"/>
        </w:rPr>
        <w:t xml:space="preserve"> (Tas)</w:t>
      </w:r>
      <w:bookmarkEnd w:id="38"/>
    </w:p>
    <w:p w14:paraId="102E46B4" w14:textId="39332609" w:rsidR="0082251D" w:rsidRPr="002F0E6F" w:rsidRDefault="0082251D" w:rsidP="00E908E6">
      <w:pPr>
        <w:pStyle w:val="NormalNumberedTextTLRI"/>
        <w:rPr>
          <w:lang w:val="en-AU"/>
        </w:rPr>
      </w:pPr>
      <w:r w:rsidRPr="00E908E6">
        <w:t>This</w:t>
      </w:r>
      <w:r w:rsidRPr="002F0E6F">
        <w:rPr>
          <w:lang w:val="en-AU"/>
        </w:rPr>
        <w:t xml:space="preserve"> next section outlines key provisions of </w:t>
      </w:r>
      <w:r w:rsidR="00763109" w:rsidRPr="002F0E6F">
        <w:rPr>
          <w:lang w:val="en-AU"/>
        </w:rPr>
        <w:t xml:space="preserve">the </w:t>
      </w:r>
      <w:r w:rsidR="00D902B1" w:rsidRPr="00D902B1">
        <w:rPr>
          <w:i/>
          <w:lang w:val="en-AU"/>
        </w:rPr>
        <w:t xml:space="preserve">TFM </w:t>
      </w:r>
      <w:r w:rsidR="00A825A2" w:rsidRPr="00D902B1">
        <w:rPr>
          <w:i/>
          <w:lang w:val="en-AU"/>
        </w:rPr>
        <w:t>Act</w:t>
      </w:r>
      <w:r w:rsidR="00763109" w:rsidRPr="002F0E6F">
        <w:rPr>
          <w:lang w:val="en-AU"/>
        </w:rPr>
        <w:t>.</w:t>
      </w:r>
      <w:r w:rsidR="00763109" w:rsidRPr="00A66B8A">
        <w:rPr>
          <w:rStyle w:val="FootnoteReference"/>
        </w:rPr>
        <w:footnoteReference w:id="17"/>
      </w:r>
      <w:r w:rsidR="00A825A2" w:rsidRPr="002F0E6F">
        <w:rPr>
          <w:lang w:val="en-AU"/>
        </w:rPr>
        <w:t xml:space="preserve"> It is the Supreme Court of Tasmania that has jurisdiction to hear </w:t>
      </w:r>
      <w:r w:rsidR="00F15E1B" w:rsidRPr="002F0E6F">
        <w:rPr>
          <w:lang w:val="en-AU"/>
        </w:rPr>
        <w:t xml:space="preserve">and determine </w:t>
      </w:r>
      <w:r w:rsidR="00A825A2" w:rsidRPr="002F0E6F">
        <w:rPr>
          <w:lang w:val="en-AU"/>
        </w:rPr>
        <w:t>claims under the Act.</w:t>
      </w:r>
    </w:p>
    <w:p w14:paraId="71E7DE4C" w14:textId="77777777" w:rsidR="00D41D62" w:rsidRPr="002F0E6F" w:rsidRDefault="00D41D62" w:rsidP="002F2BFA">
      <w:pPr>
        <w:pStyle w:val="Sub-HeadingTLRI"/>
        <w:rPr>
          <w:lang w:val="en-AU"/>
        </w:rPr>
      </w:pPr>
      <w:r w:rsidRPr="002F0E6F">
        <w:rPr>
          <w:lang w:val="en-AU"/>
        </w:rPr>
        <w:t>The test applied</w:t>
      </w:r>
    </w:p>
    <w:p w14:paraId="674802F4" w14:textId="2E995EE1" w:rsidR="00B640CD" w:rsidRPr="00791AC7" w:rsidRDefault="000F6BD4" w:rsidP="00044426">
      <w:pPr>
        <w:pStyle w:val="NormalNumberedTextTLRI"/>
        <w:rPr>
          <w:lang w:val="en-AU"/>
        </w:rPr>
      </w:pPr>
      <w:r w:rsidRPr="00791AC7">
        <w:rPr>
          <w:lang w:val="en-AU"/>
        </w:rPr>
        <w:lastRenderedPageBreak/>
        <w:t>S</w:t>
      </w:r>
      <w:r w:rsidR="00A825A2" w:rsidRPr="00791AC7">
        <w:rPr>
          <w:lang w:val="en-AU"/>
        </w:rPr>
        <w:t>ection</w:t>
      </w:r>
      <w:r w:rsidRPr="00791AC7">
        <w:rPr>
          <w:lang w:val="en-AU"/>
        </w:rPr>
        <w:t xml:space="preserve"> 3 of the </w:t>
      </w:r>
      <w:r w:rsidRPr="00791AC7">
        <w:rPr>
          <w:i/>
          <w:lang w:val="en-AU"/>
        </w:rPr>
        <w:t>TFM Act</w:t>
      </w:r>
      <w:r w:rsidR="00A825A2" w:rsidRPr="00791AC7">
        <w:rPr>
          <w:lang w:val="en-AU"/>
        </w:rPr>
        <w:t xml:space="preserve"> outlines the test that the Court must apply when determining the merits of a claim.</w:t>
      </w:r>
      <w:r w:rsidR="00791AC7" w:rsidRPr="00791AC7">
        <w:rPr>
          <w:lang w:val="en-AU"/>
        </w:rPr>
        <w:t xml:space="preserve"> </w:t>
      </w:r>
      <w:r w:rsidR="00A825A2" w:rsidRPr="00791AC7">
        <w:rPr>
          <w:lang w:val="en-AU"/>
        </w:rPr>
        <w:t>The section</w:t>
      </w:r>
      <w:r w:rsidR="002857B2" w:rsidRPr="00791AC7">
        <w:rPr>
          <w:lang w:val="en-AU"/>
        </w:rPr>
        <w:t xml:space="preserve"> provides a threshold </w:t>
      </w:r>
      <w:r w:rsidR="009577C2" w:rsidRPr="00791AC7">
        <w:rPr>
          <w:lang w:val="en-AU"/>
        </w:rPr>
        <w:t xml:space="preserve">jurisdictional </w:t>
      </w:r>
      <w:r w:rsidR="002857B2" w:rsidRPr="00791AC7">
        <w:rPr>
          <w:lang w:val="en-AU"/>
        </w:rPr>
        <w:t xml:space="preserve">question </w:t>
      </w:r>
      <w:r w:rsidR="00E255B5" w:rsidRPr="00791AC7">
        <w:rPr>
          <w:lang w:val="en-AU"/>
        </w:rPr>
        <w:t>requiring</w:t>
      </w:r>
      <w:r w:rsidR="002857B2" w:rsidRPr="00791AC7">
        <w:rPr>
          <w:lang w:val="en-AU"/>
        </w:rPr>
        <w:t xml:space="preserve"> the </w:t>
      </w:r>
      <w:r w:rsidR="00A825A2" w:rsidRPr="00791AC7">
        <w:rPr>
          <w:lang w:val="en-AU"/>
        </w:rPr>
        <w:t>C</w:t>
      </w:r>
      <w:r w:rsidR="002857B2" w:rsidRPr="00791AC7">
        <w:rPr>
          <w:lang w:val="en-AU"/>
        </w:rPr>
        <w:t xml:space="preserve">ourt </w:t>
      </w:r>
      <w:r w:rsidR="00E255B5" w:rsidRPr="00791AC7">
        <w:rPr>
          <w:lang w:val="en-AU"/>
        </w:rPr>
        <w:t>to</w:t>
      </w:r>
      <w:r w:rsidR="002857B2" w:rsidRPr="00791AC7">
        <w:rPr>
          <w:lang w:val="en-AU"/>
        </w:rPr>
        <w:t xml:space="preserve"> be satisfied that </w:t>
      </w:r>
      <w:r w:rsidR="00A825A2" w:rsidRPr="00791AC7">
        <w:rPr>
          <w:lang w:val="en-AU"/>
        </w:rPr>
        <w:t>a</w:t>
      </w:r>
      <w:r w:rsidR="002857B2" w:rsidRPr="00791AC7">
        <w:rPr>
          <w:lang w:val="en-AU"/>
        </w:rPr>
        <w:t xml:space="preserve"> deceased</w:t>
      </w:r>
      <w:r w:rsidR="00252C48" w:rsidRPr="00791AC7">
        <w:rPr>
          <w:lang w:val="en-AU"/>
        </w:rPr>
        <w:t>’s</w:t>
      </w:r>
      <w:r w:rsidR="002857B2" w:rsidRPr="00791AC7">
        <w:rPr>
          <w:lang w:val="en-AU"/>
        </w:rPr>
        <w:t xml:space="preserve"> will </w:t>
      </w:r>
      <w:r w:rsidR="00A825A2" w:rsidRPr="00791AC7">
        <w:rPr>
          <w:lang w:val="en-AU"/>
        </w:rPr>
        <w:t>(</w:t>
      </w:r>
      <w:r w:rsidR="002857B2" w:rsidRPr="00791AC7">
        <w:rPr>
          <w:lang w:val="en-AU"/>
        </w:rPr>
        <w:t>or intestacy provisions</w:t>
      </w:r>
      <w:r w:rsidR="00A825A2" w:rsidRPr="00791AC7">
        <w:rPr>
          <w:lang w:val="en-AU"/>
        </w:rPr>
        <w:t>)</w:t>
      </w:r>
      <w:r w:rsidR="002857B2" w:rsidRPr="00791AC7">
        <w:rPr>
          <w:lang w:val="en-AU"/>
        </w:rPr>
        <w:t xml:space="preserve"> ha</w:t>
      </w:r>
      <w:r w:rsidR="0053556C" w:rsidRPr="00791AC7">
        <w:rPr>
          <w:lang w:val="en-AU"/>
        </w:rPr>
        <w:t>ve</w:t>
      </w:r>
      <w:r w:rsidR="002857B2" w:rsidRPr="00791AC7">
        <w:rPr>
          <w:lang w:val="en-AU"/>
        </w:rPr>
        <w:t xml:space="preserve"> left </w:t>
      </w:r>
      <w:r w:rsidR="00A825A2" w:rsidRPr="00791AC7">
        <w:rPr>
          <w:lang w:val="en-AU"/>
        </w:rPr>
        <w:t>an</w:t>
      </w:r>
      <w:r w:rsidR="002857B2" w:rsidRPr="00791AC7">
        <w:rPr>
          <w:lang w:val="en-AU"/>
        </w:rPr>
        <w:t xml:space="preserve"> applicant </w:t>
      </w:r>
      <w:r w:rsidR="00F135E5" w:rsidRPr="00791AC7">
        <w:rPr>
          <w:lang w:val="en-AU"/>
        </w:rPr>
        <w:t>‘</w:t>
      </w:r>
      <w:r w:rsidR="002857B2" w:rsidRPr="00791AC7">
        <w:rPr>
          <w:lang w:val="en-AU"/>
        </w:rPr>
        <w:t>without adequate provision for his proper maintenance and support</w:t>
      </w:r>
      <w:r w:rsidR="00F135E5" w:rsidRPr="00791AC7">
        <w:rPr>
          <w:lang w:val="en-AU"/>
        </w:rPr>
        <w:t>’</w:t>
      </w:r>
      <w:r w:rsidR="002857B2" w:rsidRPr="00791AC7">
        <w:rPr>
          <w:lang w:val="en-AU"/>
        </w:rPr>
        <w:t>.</w:t>
      </w:r>
      <w:r w:rsidR="008328D6" w:rsidRPr="00A66B8A">
        <w:rPr>
          <w:rStyle w:val="FootnoteReference"/>
        </w:rPr>
        <w:footnoteReference w:id="18"/>
      </w:r>
      <w:r w:rsidR="002857B2" w:rsidRPr="00791AC7">
        <w:rPr>
          <w:lang w:val="en-AU"/>
        </w:rPr>
        <w:t xml:space="preserve"> If, and only if, that condition is satisfied may the </w:t>
      </w:r>
      <w:r w:rsidRPr="00791AC7">
        <w:rPr>
          <w:lang w:val="en-AU"/>
        </w:rPr>
        <w:t>C</w:t>
      </w:r>
      <w:r w:rsidR="002857B2" w:rsidRPr="00791AC7">
        <w:rPr>
          <w:lang w:val="en-AU"/>
        </w:rPr>
        <w:t>ourt embark on the discretionary question as to whether provision should be made</w:t>
      </w:r>
      <w:r w:rsidR="00AE24E5">
        <w:rPr>
          <w:lang w:val="en-AU"/>
        </w:rPr>
        <w:t>,</w:t>
      </w:r>
      <w:r w:rsidR="002857B2" w:rsidRPr="00791AC7">
        <w:rPr>
          <w:lang w:val="en-AU"/>
        </w:rPr>
        <w:t xml:space="preserve"> and if so, to what extent.</w:t>
      </w:r>
      <w:r w:rsidR="00AD3157" w:rsidRPr="00A66B8A">
        <w:rPr>
          <w:rStyle w:val="FootnoteReference"/>
        </w:rPr>
        <w:footnoteReference w:id="19"/>
      </w:r>
    </w:p>
    <w:p w14:paraId="50A63E1B" w14:textId="5B97C024" w:rsidR="002857B2" w:rsidRPr="002F0E6F" w:rsidRDefault="00A825A2" w:rsidP="00C10503">
      <w:pPr>
        <w:pStyle w:val="NormalNumberedTextTLRI"/>
        <w:rPr>
          <w:lang w:val="en-AU"/>
        </w:rPr>
      </w:pPr>
      <w:r w:rsidRPr="002F0E6F">
        <w:rPr>
          <w:lang w:val="en-AU"/>
        </w:rPr>
        <w:t>C</w:t>
      </w:r>
      <w:r w:rsidR="002857B2" w:rsidRPr="002F0E6F">
        <w:rPr>
          <w:lang w:val="en-AU"/>
        </w:rPr>
        <w:t>ourt</w:t>
      </w:r>
      <w:r w:rsidRPr="002F0E6F">
        <w:rPr>
          <w:lang w:val="en-AU"/>
        </w:rPr>
        <w:t>s</w:t>
      </w:r>
      <w:r w:rsidR="002857B2" w:rsidRPr="002F0E6F">
        <w:rPr>
          <w:lang w:val="en-AU"/>
        </w:rPr>
        <w:t xml:space="preserve"> ha</w:t>
      </w:r>
      <w:r w:rsidRPr="002F0E6F">
        <w:rPr>
          <w:lang w:val="en-AU"/>
        </w:rPr>
        <w:t>ve</w:t>
      </w:r>
      <w:r w:rsidR="002857B2" w:rsidRPr="002F0E6F">
        <w:rPr>
          <w:lang w:val="en-AU"/>
        </w:rPr>
        <w:t xml:space="preserve"> made it clear that the words ‘adequate’ and ‘proper</w:t>
      </w:r>
      <w:r w:rsidR="00AD3157" w:rsidRPr="002F0E6F">
        <w:rPr>
          <w:lang w:val="en-AU"/>
        </w:rPr>
        <w:t xml:space="preserve">’ establish independent tests as to </w:t>
      </w:r>
      <w:r w:rsidR="002857B2" w:rsidRPr="002F0E6F">
        <w:rPr>
          <w:lang w:val="en-AU"/>
        </w:rPr>
        <w:t>eligibility. ‘Adequate’ relates to the actual needs of the applicant, but ‘proper’ is a matter that can only be determined having regard to all the circumstances of the ca</w:t>
      </w:r>
      <w:r w:rsidR="00AD3157" w:rsidRPr="002F0E6F">
        <w:rPr>
          <w:lang w:val="en-AU"/>
        </w:rPr>
        <w:t>s</w:t>
      </w:r>
      <w:r w:rsidR="002857B2" w:rsidRPr="002F0E6F">
        <w:rPr>
          <w:lang w:val="en-AU"/>
        </w:rPr>
        <w:t>e.</w:t>
      </w:r>
      <w:r w:rsidR="0060396D" w:rsidRPr="004955F6">
        <w:rPr>
          <w:rStyle w:val="FootnoteReference"/>
        </w:rPr>
        <w:footnoteReference w:id="20"/>
      </w:r>
      <w:r w:rsidR="002857B2" w:rsidRPr="002F0E6F">
        <w:rPr>
          <w:lang w:val="en-AU"/>
        </w:rPr>
        <w:t xml:space="preserve"> In other words, there is no fixed concept,</w:t>
      </w:r>
      <w:r w:rsidR="00B640CD" w:rsidRPr="002F0E6F">
        <w:rPr>
          <w:lang w:val="en-AU"/>
        </w:rPr>
        <w:t xml:space="preserve"> with</w:t>
      </w:r>
      <w:r w:rsidR="002857B2" w:rsidRPr="002F0E6F">
        <w:rPr>
          <w:lang w:val="en-AU"/>
        </w:rPr>
        <w:t xml:space="preserve"> the Court </w:t>
      </w:r>
      <w:r w:rsidR="00252C48" w:rsidRPr="002F0E6F">
        <w:rPr>
          <w:lang w:val="en-AU"/>
        </w:rPr>
        <w:t xml:space="preserve">using </w:t>
      </w:r>
      <w:r w:rsidR="002857B2" w:rsidRPr="002F0E6F">
        <w:rPr>
          <w:lang w:val="en-AU"/>
        </w:rPr>
        <w:t>a ‘multi-faceted evaluation judgement’</w:t>
      </w:r>
      <w:r w:rsidR="0060396D" w:rsidRPr="00CF09A0">
        <w:rPr>
          <w:rStyle w:val="FootnoteReference"/>
        </w:rPr>
        <w:footnoteReference w:id="21"/>
      </w:r>
      <w:r w:rsidR="0060396D" w:rsidRPr="002F0E6F">
        <w:rPr>
          <w:lang w:val="en-AU"/>
        </w:rPr>
        <w:t xml:space="preserve"> </w:t>
      </w:r>
      <w:r w:rsidR="00B640CD" w:rsidRPr="002F0E6F">
        <w:rPr>
          <w:lang w:val="en-AU"/>
        </w:rPr>
        <w:t>to evaluate</w:t>
      </w:r>
      <w:r w:rsidR="002857B2" w:rsidRPr="002F0E6F">
        <w:rPr>
          <w:lang w:val="en-AU"/>
        </w:rPr>
        <w:t xml:space="preserve"> the current and</w:t>
      </w:r>
      <w:r w:rsidR="00B640CD" w:rsidRPr="002F0E6F">
        <w:rPr>
          <w:lang w:val="en-AU"/>
        </w:rPr>
        <w:t xml:space="preserve"> future needs of </w:t>
      </w:r>
      <w:r w:rsidRPr="002F0E6F">
        <w:rPr>
          <w:lang w:val="en-AU"/>
        </w:rPr>
        <w:t>an</w:t>
      </w:r>
      <w:r w:rsidR="00B640CD" w:rsidRPr="002F0E6F">
        <w:rPr>
          <w:lang w:val="en-AU"/>
        </w:rPr>
        <w:t xml:space="preserve"> applicant.</w:t>
      </w:r>
      <w:r w:rsidR="002857B2" w:rsidRPr="002F0E6F">
        <w:rPr>
          <w:lang w:val="en-AU"/>
        </w:rPr>
        <w:t xml:space="preserve"> </w:t>
      </w:r>
      <w:r w:rsidR="00B640CD" w:rsidRPr="002F0E6F">
        <w:rPr>
          <w:lang w:val="en-AU"/>
        </w:rPr>
        <w:t>I</w:t>
      </w:r>
      <w:r w:rsidR="002857B2" w:rsidRPr="002F0E6F">
        <w:rPr>
          <w:lang w:val="en-AU"/>
        </w:rPr>
        <w:t xml:space="preserve">n </w:t>
      </w:r>
      <w:r w:rsidR="009577C2" w:rsidRPr="002F0E6F">
        <w:rPr>
          <w:lang w:val="en-AU"/>
        </w:rPr>
        <w:t xml:space="preserve">undertaking </w:t>
      </w:r>
      <w:r w:rsidR="002857B2" w:rsidRPr="002F0E6F">
        <w:rPr>
          <w:lang w:val="en-AU"/>
        </w:rPr>
        <w:t>th</w:t>
      </w:r>
      <w:r w:rsidR="00252C48" w:rsidRPr="002F0E6F">
        <w:rPr>
          <w:lang w:val="en-AU"/>
        </w:rPr>
        <w:t>is</w:t>
      </w:r>
      <w:r w:rsidR="002857B2" w:rsidRPr="002F0E6F">
        <w:rPr>
          <w:lang w:val="en-AU"/>
        </w:rPr>
        <w:t xml:space="preserve"> consideration, the </w:t>
      </w:r>
      <w:r w:rsidRPr="002F0E6F">
        <w:rPr>
          <w:lang w:val="en-AU"/>
        </w:rPr>
        <w:t>C</w:t>
      </w:r>
      <w:r w:rsidR="002857B2" w:rsidRPr="002F0E6F">
        <w:rPr>
          <w:lang w:val="en-AU"/>
        </w:rPr>
        <w:t xml:space="preserve">ourt places itself in the position of the </w:t>
      </w:r>
      <w:r w:rsidRPr="002F0E6F">
        <w:rPr>
          <w:lang w:val="en-AU"/>
        </w:rPr>
        <w:t>deceased</w:t>
      </w:r>
      <w:r w:rsidR="002857B2" w:rsidRPr="002F0E6F">
        <w:rPr>
          <w:lang w:val="en-AU"/>
        </w:rPr>
        <w:t xml:space="preserve"> and consider</w:t>
      </w:r>
      <w:r w:rsidR="00252C48" w:rsidRPr="002F0E6F">
        <w:rPr>
          <w:lang w:val="en-AU"/>
        </w:rPr>
        <w:t>s</w:t>
      </w:r>
      <w:r w:rsidR="002857B2" w:rsidRPr="002F0E6F">
        <w:rPr>
          <w:lang w:val="en-AU"/>
        </w:rPr>
        <w:t xml:space="preserve"> what he or she ought to have done in the circumstances, treating the</w:t>
      </w:r>
      <w:r w:rsidRPr="002F0E6F">
        <w:rPr>
          <w:lang w:val="en-AU"/>
        </w:rPr>
        <w:t xml:space="preserve">m </w:t>
      </w:r>
      <w:r w:rsidR="002857B2" w:rsidRPr="002F0E6F">
        <w:rPr>
          <w:lang w:val="en-AU"/>
        </w:rPr>
        <w:t>as wi</w:t>
      </w:r>
      <w:r w:rsidR="00252C48" w:rsidRPr="002F0E6F">
        <w:rPr>
          <w:lang w:val="en-AU"/>
        </w:rPr>
        <w:t>s</w:t>
      </w:r>
      <w:r w:rsidR="002857B2" w:rsidRPr="002F0E6F">
        <w:rPr>
          <w:lang w:val="en-AU"/>
        </w:rPr>
        <w:t>e and ju</w:t>
      </w:r>
      <w:r w:rsidR="0060396D" w:rsidRPr="002F0E6F">
        <w:rPr>
          <w:lang w:val="en-AU"/>
        </w:rPr>
        <w:t>s</w:t>
      </w:r>
      <w:r w:rsidR="002857B2" w:rsidRPr="002F0E6F">
        <w:rPr>
          <w:lang w:val="en-AU"/>
        </w:rPr>
        <w:t>t, rather than</w:t>
      </w:r>
      <w:r w:rsidR="00252C48" w:rsidRPr="002F0E6F">
        <w:rPr>
          <w:lang w:val="en-AU"/>
        </w:rPr>
        <w:t xml:space="preserve"> </w:t>
      </w:r>
      <w:r w:rsidR="005B17B1" w:rsidRPr="002F0E6F">
        <w:rPr>
          <w:lang w:val="en-AU"/>
        </w:rPr>
        <w:t>fond</w:t>
      </w:r>
      <w:r w:rsidR="002857B2" w:rsidRPr="002F0E6F">
        <w:rPr>
          <w:lang w:val="en-AU"/>
        </w:rPr>
        <w:t xml:space="preserve"> or foolish</w:t>
      </w:r>
      <w:r w:rsidR="00B640CD" w:rsidRPr="002F0E6F">
        <w:rPr>
          <w:lang w:val="en-AU"/>
        </w:rPr>
        <w:t xml:space="preserve">. </w:t>
      </w:r>
      <w:r w:rsidR="002857B2" w:rsidRPr="002F0E6F">
        <w:rPr>
          <w:lang w:val="en-AU"/>
        </w:rPr>
        <w:t xml:space="preserve">This is often </w:t>
      </w:r>
      <w:r w:rsidR="009577C2" w:rsidRPr="002F0E6F">
        <w:rPr>
          <w:lang w:val="en-AU"/>
        </w:rPr>
        <w:t>regarded</w:t>
      </w:r>
      <w:r w:rsidR="002857B2" w:rsidRPr="002F0E6F">
        <w:rPr>
          <w:lang w:val="en-AU"/>
        </w:rPr>
        <w:t xml:space="preserve"> as a moral duty test, </w:t>
      </w:r>
      <w:r w:rsidR="00DC6170">
        <w:rPr>
          <w:lang w:val="en-AU"/>
        </w:rPr>
        <w:t xml:space="preserve">which was </w:t>
      </w:r>
      <w:r w:rsidR="002857B2" w:rsidRPr="002F0E6F">
        <w:rPr>
          <w:lang w:val="en-AU"/>
        </w:rPr>
        <w:t xml:space="preserve">most forcibly stated by Edmonds J in the New Zealand decision of </w:t>
      </w:r>
      <w:r w:rsidR="00252C48" w:rsidRPr="002F0E6F">
        <w:rPr>
          <w:i/>
          <w:lang w:val="en-AU"/>
        </w:rPr>
        <w:t xml:space="preserve">Allardice </w:t>
      </w:r>
      <w:r w:rsidR="002857B2" w:rsidRPr="002F0E6F">
        <w:rPr>
          <w:i/>
          <w:lang w:val="en-AU"/>
        </w:rPr>
        <w:t xml:space="preserve">v </w:t>
      </w:r>
      <w:r w:rsidR="00252C48" w:rsidRPr="002F0E6F">
        <w:rPr>
          <w:i/>
          <w:lang w:val="en-AU"/>
        </w:rPr>
        <w:t>Allardice</w:t>
      </w:r>
      <w:r w:rsidR="00DC6170">
        <w:rPr>
          <w:i/>
          <w:lang w:val="en-AU"/>
        </w:rPr>
        <w:t>.</w:t>
      </w:r>
      <w:r w:rsidR="0060396D" w:rsidRPr="00CF09A0">
        <w:rPr>
          <w:rStyle w:val="FootnoteReference"/>
        </w:rPr>
        <w:footnoteReference w:id="22"/>
      </w:r>
      <w:r w:rsidR="00DC6170">
        <w:rPr>
          <w:lang w:val="en-AU"/>
        </w:rPr>
        <w:t xml:space="preserve"> In that case, his Honour</w:t>
      </w:r>
      <w:r w:rsidR="00DC6170" w:rsidRPr="002F0E6F">
        <w:rPr>
          <w:lang w:val="en-AU"/>
        </w:rPr>
        <w:t xml:space="preserve"> </w:t>
      </w:r>
      <w:r w:rsidR="002857B2" w:rsidRPr="002F0E6F">
        <w:rPr>
          <w:lang w:val="en-AU"/>
        </w:rPr>
        <w:t>stated that the duty of the court was to place itself in the position of the testator and to consider</w:t>
      </w:r>
      <w:r w:rsidR="00522A39" w:rsidRPr="002F0E6F">
        <w:rPr>
          <w:lang w:val="en-AU"/>
        </w:rPr>
        <w:t>:</w:t>
      </w:r>
    </w:p>
    <w:p w14:paraId="14A96821" w14:textId="77777777" w:rsidR="002857B2" w:rsidRPr="002F0E6F" w:rsidRDefault="002857B2" w:rsidP="00C47D98">
      <w:pPr>
        <w:pStyle w:val="QuoteTLRI"/>
      </w:pPr>
      <w:r w:rsidRPr="002F0E6F">
        <w:t>whether or not, having regard to all the existing facts and surrounding circumstances</w:t>
      </w:r>
      <w:r w:rsidR="009577C2" w:rsidRPr="002F0E6F">
        <w:t>,</w:t>
      </w:r>
      <w:r w:rsidRPr="002F0E6F">
        <w:t xml:space="preserve"> the testator has been guilty of a manifest breach of that moral duty which a jus</w:t>
      </w:r>
      <w:r w:rsidR="0060396D" w:rsidRPr="002F0E6F">
        <w:t>t</w:t>
      </w:r>
      <w:r w:rsidRPr="002F0E6F">
        <w:t>, but not a loving husband or father owes towards his wife or towards his children</w:t>
      </w:r>
      <w:r w:rsidR="009577C2" w:rsidRPr="002F0E6F">
        <w:t>.</w:t>
      </w:r>
    </w:p>
    <w:p w14:paraId="5ECABC9B" w14:textId="299AA277" w:rsidR="00A825A2" w:rsidRPr="002F0E6F" w:rsidRDefault="002857B2" w:rsidP="00CF09A0">
      <w:pPr>
        <w:pStyle w:val="NormalNumberedTextTLRI"/>
        <w:rPr>
          <w:lang w:val="en-AU"/>
        </w:rPr>
      </w:pPr>
      <w:r w:rsidRPr="002F0E6F">
        <w:rPr>
          <w:lang w:val="en-AU"/>
        </w:rPr>
        <w:t xml:space="preserve">This </w:t>
      </w:r>
      <w:r w:rsidRPr="00CF09A0">
        <w:t>so</w:t>
      </w:r>
      <w:r w:rsidRPr="002F0E6F">
        <w:rPr>
          <w:lang w:val="en-AU"/>
        </w:rPr>
        <w:t xml:space="preserve"> called ‘moral test’ has been reiterated in most modern decisions</w:t>
      </w:r>
      <w:r w:rsidR="0060396D" w:rsidRPr="00CF09A0">
        <w:rPr>
          <w:rStyle w:val="FootnoteReference"/>
        </w:rPr>
        <w:footnoteReference w:id="23"/>
      </w:r>
      <w:r w:rsidRPr="002F0E6F">
        <w:rPr>
          <w:lang w:val="en-AU"/>
        </w:rPr>
        <w:t xml:space="preserve"> and upheld by a majority of the H</w:t>
      </w:r>
      <w:r w:rsidR="009577C2" w:rsidRPr="002F0E6F">
        <w:rPr>
          <w:lang w:val="en-AU"/>
        </w:rPr>
        <w:t>i</w:t>
      </w:r>
      <w:r w:rsidR="00522A39" w:rsidRPr="002F0E6F">
        <w:rPr>
          <w:lang w:val="en-AU"/>
        </w:rPr>
        <w:t>gh Court of Australia</w:t>
      </w:r>
      <w:r w:rsidRPr="002F0E6F">
        <w:rPr>
          <w:lang w:val="en-AU"/>
        </w:rPr>
        <w:t xml:space="preserve"> in </w:t>
      </w:r>
      <w:r w:rsidRPr="002F0E6F">
        <w:rPr>
          <w:i/>
          <w:lang w:val="en-AU"/>
        </w:rPr>
        <w:t>Vigolo v Bostin</w:t>
      </w:r>
      <w:r w:rsidR="00522A39" w:rsidRPr="002F0E6F">
        <w:rPr>
          <w:i/>
          <w:lang w:val="en-AU"/>
        </w:rPr>
        <w:t>.</w:t>
      </w:r>
      <w:r w:rsidR="0060396D" w:rsidRPr="00CF09A0">
        <w:rPr>
          <w:rStyle w:val="FootnoteReference"/>
        </w:rPr>
        <w:footnoteReference w:id="24"/>
      </w:r>
      <w:r w:rsidRPr="002F0E6F">
        <w:rPr>
          <w:lang w:val="en-AU"/>
        </w:rPr>
        <w:t xml:space="preserve"> However</w:t>
      </w:r>
      <w:r w:rsidR="00CF09A0">
        <w:rPr>
          <w:lang w:val="en-AU"/>
        </w:rPr>
        <w:t>,</w:t>
      </w:r>
      <w:r w:rsidRPr="002F0E6F">
        <w:rPr>
          <w:lang w:val="en-AU"/>
        </w:rPr>
        <w:t xml:space="preserve"> there is also judicial authority </w:t>
      </w:r>
      <w:r w:rsidR="008A02E9" w:rsidRPr="002F0E6F">
        <w:rPr>
          <w:lang w:val="en-AU"/>
        </w:rPr>
        <w:t xml:space="preserve">that </w:t>
      </w:r>
      <w:r w:rsidRPr="002F0E6F">
        <w:rPr>
          <w:lang w:val="en-AU"/>
        </w:rPr>
        <w:t>the ‘moral duty’ approach is not a static con</w:t>
      </w:r>
      <w:r w:rsidR="00545032" w:rsidRPr="002F0E6F">
        <w:rPr>
          <w:lang w:val="en-AU"/>
        </w:rPr>
        <w:t>cept and involves consideration</w:t>
      </w:r>
      <w:r w:rsidRPr="002F0E6F">
        <w:rPr>
          <w:lang w:val="en-AU"/>
        </w:rPr>
        <w:t xml:space="preserve"> of contemporary community stan</w:t>
      </w:r>
      <w:r w:rsidR="0060396D" w:rsidRPr="002F0E6F">
        <w:rPr>
          <w:lang w:val="en-AU"/>
        </w:rPr>
        <w:t>dard</w:t>
      </w:r>
      <w:r w:rsidR="00891CE5" w:rsidRPr="002F0E6F">
        <w:rPr>
          <w:lang w:val="en-AU"/>
        </w:rPr>
        <w:t>s</w:t>
      </w:r>
      <w:r w:rsidR="0060396D" w:rsidRPr="002F0E6F">
        <w:rPr>
          <w:lang w:val="en-AU"/>
        </w:rPr>
        <w:t xml:space="preserve"> in assessment of the claim.</w:t>
      </w:r>
      <w:r w:rsidR="0060396D" w:rsidRPr="00CF09A0">
        <w:rPr>
          <w:rStyle w:val="FootnoteReference"/>
        </w:rPr>
        <w:footnoteReference w:id="25"/>
      </w:r>
      <w:r w:rsidR="0060396D" w:rsidRPr="002F0E6F">
        <w:rPr>
          <w:lang w:val="en-AU"/>
        </w:rPr>
        <w:t xml:space="preserve"> </w:t>
      </w:r>
    </w:p>
    <w:p w14:paraId="5F466A88" w14:textId="082F5031" w:rsidR="0070387D" w:rsidRPr="002F0E6F" w:rsidRDefault="00B16C3B" w:rsidP="00AE24E5">
      <w:pPr>
        <w:pStyle w:val="NormalNumberedTextTLRI"/>
        <w:spacing w:after="120"/>
        <w:rPr>
          <w:lang w:val="en-AU"/>
        </w:rPr>
      </w:pPr>
      <w:r w:rsidRPr="002F0E6F">
        <w:rPr>
          <w:lang w:val="en-AU"/>
        </w:rPr>
        <w:t xml:space="preserve">The </w:t>
      </w:r>
      <w:r w:rsidR="002D5E02" w:rsidRPr="00BB651C">
        <w:rPr>
          <w:i/>
          <w:lang w:val="en-AU"/>
        </w:rPr>
        <w:t xml:space="preserve">TFM </w:t>
      </w:r>
      <w:r w:rsidRPr="002D5E02">
        <w:rPr>
          <w:i/>
          <w:lang w:val="en-AU"/>
        </w:rPr>
        <w:t>Act</w:t>
      </w:r>
      <w:r w:rsidRPr="002F0E6F">
        <w:rPr>
          <w:lang w:val="en-AU"/>
        </w:rPr>
        <w:t xml:space="preserve"> </w:t>
      </w:r>
      <w:r w:rsidRPr="00CF09A0">
        <w:t>provides</w:t>
      </w:r>
      <w:r w:rsidRPr="002F0E6F">
        <w:rPr>
          <w:lang w:val="en-AU"/>
        </w:rPr>
        <w:t xml:space="preserve"> that</w:t>
      </w:r>
      <w:r w:rsidR="008F53E1" w:rsidRPr="002F0E6F">
        <w:rPr>
          <w:lang w:val="en-AU"/>
        </w:rPr>
        <w:t>, when assessing the merits of a claim,</w:t>
      </w:r>
      <w:r w:rsidRPr="002F0E6F">
        <w:rPr>
          <w:lang w:val="en-AU"/>
        </w:rPr>
        <w:t xml:space="preserve"> a judge may </w:t>
      </w:r>
      <w:r w:rsidRPr="002F0E6F">
        <w:rPr>
          <w:color w:val="000000"/>
          <w:lang w:val="en-AU"/>
        </w:rPr>
        <w:t>have regard to</w:t>
      </w:r>
      <w:r w:rsidR="0070387D" w:rsidRPr="002F0E6F">
        <w:rPr>
          <w:color w:val="000000"/>
          <w:lang w:val="en-AU"/>
        </w:rPr>
        <w:t>:</w:t>
      </w:r>
    </w:p>
    <w:p w14:paraId="4CFEB8D9" w14:textId="631E8431" w:rsidR="0070387D" w:rsidRPr="00CF09A0" w:rsidRDefault="0070387D" w:rsidP="00CF09A0">
      <w:pPr>
        <w:pStyle w:val="DotPointTLRI"/>
      </w:pPr>
      <w:r w:rsidRPr="00CF09A0">
        <w:t>the net value of the estate;</w:t>
      </w:r>
      <w:r w:rsidRPr="00CF09A0">
        <w:rPr>
          <w:rStyle w:val="FootnoteReference"/>
        </w:rPr>
        <w:footnoteReference w:id="26"/>
      </w:r>
    </w:p>
    <w:p w14:paraId="08FB6654" w14:textId="01D3C4C6" w:rsidR="0070387D" w:rsidRPr="00CF09A0" w:rsidRDefault="0070387D" w:rsidP="00CF09A0">
      <w:pPr>
        <w:pStyle w:val="DotPointTLRI"/>
      </w:pPr>
      <w:r w:rsidRPr="00CF09A0">
        <w:t>the financial resources of the applicant;</w:t>
      </w:r>
      <w:r w:rsidRPr="00CF09A0">
        <w:rPr>
          <w:rStyle w:val="FootnoteReference"/>
        </w:rPr>
        <w:footnoteReference w:id="27"/>
      </w:r>
      <w:r w:rsidRPr="00CF09A0">
        <w:rPr>
          <w:rStyle w:val="FootnoteReference"/>
        </w:rPr>
        <w:t xml:space="preserve"> </w:t>
      </w:r>
      <w:r w:rsidRPr="00CF09A0">
        <w:t>and</w:t>
      </w:r>
    </w:p>
    <w:p w14:paraId="3080A37A" w14:textId="5370B4DE" w:rsidR="0070387D" w:rsidRPr="00CF09A0" w:rsidRDefault="0070387D" w:rsidP="00CF09A0">
      <w:pPr>
        <w:pStyle w:val="DotPointTLRI"/>
      </w:pPr>
      <w:r w:rsidRPr="00CF09A0">
        <w:lastRenderedPageBreak/>
        <w:t>the deceased’s reasons, so far as they are ascertainable, for making the dispositions in their will, or for not making any provision or further provision.</w:t>
      </w:r>
      <w:r w:rsidRPr="00CF09A0">
        <w:rPr>
          <w:rStyle w:val="FootnoteReference"/>
        </w:rPr>
        <w:footnoteReference w:id="28"/>
      </w:r>
    </w:p>
    <w:p w14:paraId="46140472" w14:textId="4562FA94" w:rsidR="0070387D" w:rsidRPr="002F0E6F" w:rsidRDefault="0070387D" w:rsidP="00C062DE">
      <w:pPr>
        <w:pStyle w:val="NormalNumberedTextTLRI"/>
        <w:rPr>
          <w:lang w:val="en-AU"/>
        </w:rPr>
      </w:pPr>
      <w:r w:rsidRPr="002F0E6F">
        <w:rPr>
          <w:lang w:val="en-AU"/>
        </w:rPr>
        <w:t>The</w:t>
      </w:r>
      <w:r w:rsidR="00B56067">
        <w:rPr>
          <w:lang w:val="en-AU"/>
        </w:rPr>
        <w:t xml:space="preserve"> </w:t>
      </w:r>
      <w:r w:rsidR="00B56067" w:rsidRPr="00B56067">
        <w:rPr>
          <w:i/>
          <w:lang w:val="en-AU"/>
        </w:rPr>
        <w:t xml:space="preserve">TFM </w:t>
      </w:r>
      <w:r w:rsidRPr="00B56067">
        <w:rPr>
          <w:i/>
          <w:lang w:val="en-AU"/>
        </w:rPr>
        <w:t>Act</w:t>
      </w:r>
      <w:r w:rsidRPr="002F0E6F">
        <w:rPr>
          <w:lang w:val="en-AU"/>
        </w:rPr>
        <w:t xml:space="preserve"> </w:t>
      </w:r>
      <w:r w:rsidRPr="00C062DE">
        <w:t>provides</w:t>
      </w:r>
      <w:r w:rsidRPr="002F0E6F">
        <w:rPr>
          <w:lang w:val="en-AU"/>
        </w:rPr>
        <w:t xml:space="preserve"> that </w:t>
      </w:r>
      <w:r w:rsidR="008F53E1" w:rsidRPr="002F0E6F">
        <w:rPr>
          <w:lang w:val="en-AU"/>
        </w:rPr>
        <w:t>the</w:t>
      </w:r>
      <w:r w:rsidRPr="002F0E6F">
        <w:rPr>
          <w:lang w:val="en-AU"/>
        </w:rPr>
        <w:t xml:space="preserve"> Court may to refuse to make an order (even if a ‘moral’ claim has been established) where the character or conduct of the applicant disentitles him or her to the benefits of an order.</w:t>
      </w:r>
      <w:r w:rsidRPr="00CF09A0">
        <w:rPr>
          <w:rStyle w:val="FootnoteReference"/>
        </w:rPr>
        <w:footnoteReference w:id="29"/>
      </w:r>
    </w:p>
    <w:p w14:paraId="420C770E" w14:textId="70267B5A" w:rsidR="002857B2" w:rsidRPr="002F0E6F" w:rsidRDefault="00B16C3B" w:rsidP="009F2095">
      <w:pPr>
        <w:pStyle w:val="NormalNumberedTextTLRI"/>
        <w:rPr>
          <w:lang w:val="en-AU"/>
        </w:rPr>
      </w:pPr>
      <w:r w:rsidRPr="002F0E6F">
        <w:rPr>
          <w:color w:val="000000"/>
          <w:lang w:val="en-AU"/>
        </w:rPr>
        <w:t xml:space="preserve"> </w:t>
      </w:r>
      <w:r w:rsidR="00545032" w:rsidRPr="009F2095">
        <w:t>Whilst</w:t>
      </w:r>
      <w:r w:rsidR="00545032" w:rsidRPr="002F0E6F">
        <w:rPr>
          <w:lang w:val="en-AU"/>
        </w:rPr>
        <w:t xml:space="preserve"> the Act does not set out </w:t>
      </w:r>
      <w:r w:rsidRPr="002F0E6F">
        <w:rPr>
          <w:lang w:val="en-AU"/>
        </w:rPr>
        <w:t xml:space="preserve">other </w:t>
      </w:r>
      <w:r w:rsidR="00545032" w:rsidRPr="002F0E6F">
        <w:rPr>
          <w:lang w:val="en-AU"/>
        </w:rPr>
        <w:t xml:space="preserve">factors, </w:t>
      </w:r>
      <w:r w:rsidR="002857B2" w:rsidRPr="002F0E6F">
        <w:rPr>
          <w:lang w:val="en-AU"/>
        </w:rPr>
        <w:t>the following</w:t>
      </w:r>
      <w:r w:rsidR="00545032" w:rsidRPr="002F0E6F">
        <w:rPr>
          <w:lang w:val="en-AU"/>
        </w:rPr>
        <w:t xml:space="preserve"> </w:t>
      </w:r>
      <w:r w:rsidRPr="002F0E6F">
        <w:rPr>
          <w:lang w:val="en-AU"/>
        </w:rPr>
        <w:t>matters</w:t>
      </w:r>
      <w:r w:rsidR="002857B2" w:rsidRPr="002F0E6F">
        <w:rPr>
          <w:lang w:val="en-AU"/>
        </w:rPr>
        <w:t xml:space="preserve"> </w:t>
      </w:r>
      <w:r w:rsidR="008328D6" w:rsidRPr="002F0E6F">
        <w:rPr>
          <w:lang w:val="en-AU"/>
        </w:rPr>
        <w:t>are often</w:t>
      </w:r>
      <w:r w:rsidR="00545032" w:rsidRPr="002F0E6F">
        <w:rPr>
          <w:lang w:val="en-AU"/>
        </w:rPr>
        <w:t xml:space="preserve"> considered</w:t>
      </w:r>
      <w:r w:rsidR="002857B2" w:rsidRPr="002F0E6F">
        <w:rPr>
          <w:lang w:val="en-AU"/>
        </w:rPr>
        <w:t xml:space="preserve"> </w:t>
      </w:r>
      <w:r w:rsidRPr="002F0E6F">
        <w:rPr>
          <w:lang w:val="en-AU"/>
        </w:rPr>
        <w:t>when</w:t>
      </w:r>
      <w:r w:rsidR="00545032" w:rsidRPr="002F0E6F">
        <w:rPr>
          <w:lang w:val="en-AU"/>
        </w:rPr>
        <w:t xml:space="preserve"> assessing the merits of an applicant’s claim</w:t>
      </w:r>
      <w:r w:rsidR="002857B2" w:rsidRPr="002F0E6F">
        <w:rPr>
          <w:lang w:val="en-AU"/>
        </w:rPr>
        <w:t>:</w:t>
      </w:r>
    </w:p>
    <w:p w14:paraId="00654C51" w14:textId="20FE47FA" w:rsidR="002857B2" w:rsidRPr="002F0E6F" w:rsidRDefault="00B16C3B" w:rsidP="00CF09A0">
      <w:pPr>
        <w:pStyle w:val="DotPointTLRI"/>
      </w:pPr>
      <w:r w:rsidRPr="002F0E6F">
        <w:t xml:space="preserve">the </w:t>
      </w:r>
      <w:r w:rsidR="002857B2" w:rsidRPr="002F0E6F">
        <w:t>financial responsibilities of</w:t>
      </w:r>
      <w:r w:rsidRPr="002F0E6F">
        <w:t xml:space="preserve"> the</w:t>
      </w:r>
      <w:r w:rsidR="002857B2" w:rsidRPr="002F0E6F">
        <w:t xml:space="preserve"> applicant</w:t>
      </w:r>
      <w:r w:rsidR="00891CE5" w:rsidRPr="002F0E6F">
        <w:t>;</w:t>
      </w:r>
    </w:p>
    <w:p w14:paraId="561C03E8" w14:textId="09DE78A6" w:rsidR="0070387D" w:rsidRPr="002F0E6F" w:rsidRDefault="0070387D" w:rsidP="00CF09A0">
      <w:pPr>
        <w:pStyle w:val="DotPointTLRI"/>
      </w:pPr>
      <w:r w:rsidRPr="002F0E6F">
        <w:t>the age and health of the applicant;</w:t>
      </w:r>
    </w:p>
    <w:p w14:paraId="492D70F4" w14:textId="4D71CB4E" w:rsidR="002857B2" w:rsidRPr="002F0E6F" w:rsidRDefault="00B16C3B" w:rsidP="00CF09A0">
      <w:pPr>
        <w:pStyle w:val="DotPointTLRI"/>
      </w:pPr>
      <w:r w:rsidRPr="002F0E6F">
        <w:t xml:space="preserve">the </w:t>
      </w:r>
      <w:r w:rsidR="0070387D" w:rsidRPr="002F0E6F">
        <w:t xml:space="preserve">nature and quality of the </w:t>
      </w:r>
      <w:r w:rsidR="009F71A8" w:rsidRPr="002F0E6F">
        <w:t>r</w:t>
      </w:r>
      <w:r w:rsidR="002857B2" w:rsidRPr="002F0E6F">
        <w:t xml:space="preserve">elationship </w:t>
      </w:r>
      <w:r w:rsidR="0070387D" w:rsidRPr="002F0E6F">
        <w:t>between</w:t>
      </w:r>
      <w:r w:rsidR="002857B2" w:rsidRPr="002F0E6F">
        <w:t xml:space="preserve"> </w:t>
      </w:r>
      <w:r w:rsidRPr="002F0E6F">
        <w:t xml:space="preserve">the </w:t>
      </w:r>
      <w:r w:rsidR="002857B2" w:rsidRPr="002F0E6F">
        <w:t xml:space="preserve">applicant </w:t>
      </w:r>
      <w:r w:rsidR="00F230CD" w:rsidRPr="002F0E6F">
        <w:t>and</w:t>
      </w:r>
      <w:r w:rsidR="002857B2" w:rsidRPr="002F0E6F">
        <w:t xml:space="preserve"> the deceased</w:t>
      </w:r>
      <w:r w:rsidR="00891CE5" w:rsidRPr="002F0E6F">
        <w:t>;</w:t>
      </w:r>
    </w:p>
    <w:p w14:paraId="628A9C79" w14:textId="77777777" w:rsidR="002857B2" w:rsidRPr="002F0E6F" w:rsidRDefault="009F71A8" w:rsidP="00CF09A0">
      <w:pPr>
        <w:pStyle w:val="DotPointTLRI"/>
      </w:pPr>
      <w:r w:rsidRPr="002F0E6F">
        <w:t>s</w:t>
      </w:r>
      <w:r w:rsidR="002857B2" w:rsidRPr="002F0E6F">
        <w:t>ervices rendered to the applicant by the deceased</w:t>
      </w:r>
      <w:r w:rsidR="00891CE5" w:rsidRPr="002F0E6F">
        <w:t>;</w:t>
      </w:r>
    </w:p>
    <w:p w14:paraId="7AA1B415" w14:textId="77777777" w:rsidR="002857B2" w:rsidRPr="002F0E6F" w:rsidRDefault="009F71A8" w:rsidP="00CF09A0">
      <w:pPr>
        <w:pStyle w:val="DotPointTLRI"/>
      </w:pPr>
      <w:r w:rsidRPr="002F0E6F">
        <w:t>p</w:t>
      </w:r>
      <w:r w:rsidR="002857B2" w:rsidRPr="002F0E6F">
        <w:t>romises mad</w:t>
      </w:r>
      <w:r w:rsidR="00F37B16" w:rsidRPr="002F0E6F">
        <w:t>e</w:t>
      </w:r>
      <w:r w:rsidR="0060396D" w:rsidRPr="002F0E6F">
        <w:t xml:space="preserve"> by</w:t>
      </w:r>
      <w:r w:rsidR="002857B2" w:rsidRPr="002F0E6F">
        <w:t xml:space="preserve"> </w:t>
      </w:r>
      <w:r w:rsidR="00F37B16" w:rsidRPr="002F0E6F">
        <w:t xml:space="preserve">the </w:t>
      </w:r>
      <w:r w:rsidR="002857B2" w:rsidRPr="002F0E6F">
        <w:t>deceased</w:t>
      </w:r>
      <w:r w:rsidR="00BB267D" w:rsidRPr="002F0E6F">
        <w:t xml:space="preserve"> about the provisions of the will</w:t>
      </w:r>
      <w:r w:rsidR="002857B2" w:rsidRPr="002F0E6F">
        <w:t xml:space="preserve">, acted upon by the </w:t>
      </w:r>
      <w:r w:rsidR="00BB267D" w:rsidRPr="002F0E6F">
        <w:t>applicant</w:t>
      </w:r>
      <w:r w:rsidR="00891CE5" w:rsidRPr="002F0E6F">
        <w:t>;</w:t>
      </w:r>
    </w:p>
    <w:p w14:paraId="28867993" w14:textId="3BF2E230" w:rsidR="002857B2" w:rsidRPr="002F0E6F" w:rsidRDefault="009F71A8" w:rsidP="00CF09A0">
      <w:pPr>
        <w:pStyle w:val="DotPointTLRI"/>
      </w:pPr>
      <w:r w:rsidRPr="002F0E6F">
        <w:t>l</w:t>
      </w:r>
      <w:r w:rsidR="002857B2" w:rsidRPr="002F0E6F">
        <w:t>ifetime benefit</w:t>
      </w:r>
      <w:r w:rsidR="00BB267D" w:rsidRPr="002F0E6F">
        <w:t>s</w:t>
      </w:r>
      <w:r w:rsidR="002857B2" w:rsidRPr="002F0E6F">
        <w:t xml:space="preserve"> received by the applicant</w:t>
      </w:r>
      <w:r w:rsidR="00BB267D" w:rsidRPr="002F0E6F">
        <w:t xml:space="preserve"> from the deceased</w:t>
      </w:r>
      <w:r w:rsidR="00891CE5" w:rsidRPr="002F0E6F">
        <w:t>;</w:t>
      </w:r>
      <w:r w:rsidR="008F53E1" w:rsidRPr="002F0E6F">
        <w:t xml:space="preserve"> and</w:t>
      </w:r>
    </w:p>
    <w:p w14:paraId="007A0395" w14:textId="36C61385" w:rsidR="002857B2" w:rsidRPr="002F0E6F" w:rsidRDefault="00F15E1B" w:rsidP="00CF09A0">
      <w:pPr>
        <w:pStyle w:val="DotPointTLRI"/>
      </w:pPr>
      <w:r w:rsidRPr="002F0E6F">
        <w:t xml:space="preserve">the competing moral and financial claims of the beneficiaries, including </w:t>
      </w:r>
      <w:r w:rsidR="00633161" w:rsidRPr="002F0E6F">
        <w:t xml:space="preserve">the </w:t>
      </w:r>
      <w:r w:rsidR="009F71A8" w:rsidRPr="002F0E6F">
        <w:t>d</w:t>
      </w:r>
      <w:r w:rsidR="002857B2" w:rsidRPr="002F0E6F">
        <w:t>uty of the deceased to provide for other members of the family</w:t>
      </w:r>
      <w:r w:rsidR="00891CE5" w:rsidRPr="002F0E6F">
        <w:t>.</w:t>
      </w:r>
    </w:p>
    <w:p w14:paraId="1168F05F" w14:textId="77777777" w:rsidR="00763109" w:rsidRPr="002F0E6F" w:rsidRDefault="00763109" w:rsidP="00763109">
      <w:pPr>
        <w:pStyle w:val="Sub-HeadingTLRI"/>
        <w:rPr>
          <w:lang w:val="en-AU"/>
        </w:rPr>
      </w:pPr>
      <w:r w:rsidRPr="002F0E6F">
        <w:rPr>
          <w:lang w:val="en-AU"/>
        </w:rPr>
        <w:t>Eligible applicants</w:t>
      </w:r>
    </w:p>
    <w:p w14:paraId="01DA2CCE" w14:textId="7C08ED77" w:rsidR="00763109" w:rsidRPr="002F0E6F" w:rsidRDefault="00763109" w:rsidP="00B42DB7">
      <w:pPr>
        <w:pStyle w:val="NormalNumberedTextTLRI"/>
        <w:rPr>
          <w:lang w:val="en-AU"/>
        </w:rPr>
      </w:pPr>
      <w:r w:rsidRPr="002F0E6F">
        <w:rPr>
          <w:lang w:val="en-AU"/>
        </w:rPr>
        <w:t xml:space="preserve">The </w:t>
      </w:r>
      <w:r w:rsidRPr="00B42DB7">
        <w:t>following</w:t>
      </w:r>
      <w:r w:rsidRPr="002F0E6F">
        <w:rPr>
          <w:lang w:val="en-AU"/>
        </w:rPr>
        <w:t xml:space="preserve"> classes of people are eligible to make a claim in Tasmania seeking provision, or further provision, from a</w:t>
      </w:r>
      <w:r w:rsidR="00F230CD" w:rsidRPr="002F0E6F">
        <w:rPr>
          <w:lang w:val="en-AU"/>
        </w:rPr>
        <w:t xml:space="preserve">n </w:t>
      </w:r>
      <w:r w:rsidRPr="002F0E6F">
        <w:rPr>
          <w:lang w:val="en-AU"/>
        </w:rPr>
        <w:t>estate:</w:t>
      </w:r>
    </w:p>
    <w:p w14:paraId="29F58878" w14:textId="65924A07" w:rsidR="00763109" w:rsidRPr="002F0E6F" w:rsidRDefault="00DC6170" w:rsidP="00CF09A0">
      <w:pPr>
        <w:pStyle w:val="DotPointTLRI"/>
      </w:pPr>
      <w:r>
        <w:t>a</w:t>
      </w:r>
      <w:r w:rsidRPr="002F0E6F">
        <w:t xml:space="preserve"> </w:t>
      </w:r>
      <w:r w:rsidR="00763109" w:rsidRPr="002F0E6F">
        <w:t xml:space="preserve">spouse (defined to include a person in a significant relationship with the deceased at the date of their death within the meaning of the </w:t>
      </w:r>
      <w:r w:rsidR="00763109" w:rsidRPr="002F0E6F">
        <w:rPr>
          <w:i/>
          <w:iCs/>
        </w:rPr>
        <w:t>Relationships Act 2003</w:t>
      </w:r>
      <w:r w:rsidR="00763109" w:rsidRPr="002F0E6F">
        <w:t xml:space="preserve"> (Tas));</w:t>
      </w:r>
      <w:r w:rsidR="00763109" w:rsidRPr="000C78A8">
        <w:rPr>
          <w:rStyle w:val="FootnoteReference"/>
        </w:rPr>
        <w:footnoteReference w:id="30"/>
      </w:r>
    </w:p>
    <w:p w14:paraId="4B812ED3" w14:textId="382EC9CE" w:rsidR="00763109" w:rsidRPr="002F0E6F" w:rsidRDefault="00763109" w:rsidP="00CF09A0">
      <w:pPr>
        <w:pStyle w:val="DotPointTLRI"/>
      </w:pPr>
      <w:r w:rsidRPr="002F0E6F">
        <w:t>children, including an adopted child, step-child</w:t>
      </w:r>
      <w:r w:rsidRPr="00CB4427">
        <w:rPr>
          <w:rStyle w:val="FootnoteReference"/>
        </w:rPr>
        <w:footnoteReference w:id="31"/>
      </w:r>
      <w:r w:rsidRPr="002F0E6F">
        <w:t xml:space="preserve"> and surrogate child;</w:t>
      </w:r>
      <w:r w:rsidRPr="00CB4427">
        <w:rPr>
          <w:rStyle w:val="FootnoteReference"/>
        </w:rPr>
        <w:footnoteReference w:id="32"/>
      </w:r>
    </w:p>
    <w:p w14:paraId="35EE2D38" w14:textId="7600C6D0" w:rsidR="00763109" w:rsidRPr="002F0E6F" w:rsidRDefault="00763109" w:rsidP="00CF09A0">
      <w:pPr>
        <w:pStyle w:val="DotPointTLRI"/>
      </w:pPr>
      <w:r w:rsidRPr="002F0E6F">
        <w:t xml:space="preserve">parents, </w:t>
      </w:r>
      <w:r w:rsidR="00A825A2" w:rsidRPr="002F0E6F">
        <w:t>where</w:t>
      </w:r>
      <w:r w:rsidRPr="002F0E6F">
        <w:t xml:space="preserve"> the deceased dies without any spouse or children; and</w:t>
      </w:r>
    </w:p>
    <w:p w14:paraId="0D498BA6" w14:textId="52A31C88" w:rsidR="00763109" w:rsidRPr="002F0E6F" w:rsidRDefault="00A825A2" w:rsidP="00CF09A0">
      <w:pPr>
        <w:pStyle w:val="DotPointTLRI"/>
      </w:pPr>
      <w:r w:rsidRPr="002F0E6F">
        <w:t>a</w:t>
      </w:r>
      <w:r w:rsidR="00763109" w:rsidRPr="002F0E6F">
        <w:t xml:space="preserve"> former spouse of the deceased if they were receiving, or entitled to receive, maintenance from the deceased at their death.</w:t>
      </w:r>
      <w:r w:rsidR="00763109" w:rsidRPr="00CB4427">
        <w:rPr>
          <w:rStyle w:val="FootnoteReference"/>
        </w:rPr>
        <w:footnoteReference w:id="33"/>
      </w:r>
    </w:p>
    <w:p w14:paraId="597F0BA9" w14:textId="16D817BF" w:rsidR="00763109" w:rsidRPr="002F0E6F" w:rsidRDefault="00763109" w:rsidP="007770BF">
      <w:pPr>
        <w:pStyle w:val="NormalNumberedTextTLRI"/>
        <w:spacing w:after="120"/>
        <w:rPr>
          <w:lang w:val="en-AU"/>
        </w:rPr>
      </w:pPr>
      <w:r w:rsidRPr="002F0E6F">
        <w:rPr>
          <w:lang w:val="en-AU"/>
        </w:rPr>
        <w:t xml:space="preserve">In some jurisdictions, the classes of those eligible to apply for provision is more expansive </w:t>
      </w:r>
      <w:r w:rsidRPr="001455C2">
        <w:t>and</w:t>
      </w:r>
      <w:r w:rsidRPr="002F0E6F">
        <w:rPr>
          <w:lang w:val="en-AU"/>
        </w:rPr>
        <w:t xml:space="preserve"> may include a person partly or wholly dependent on the deceased,</w:t>
      </w:r>
      <w:r w:rsidRPr="00CB4427">
        <w:rPr>
          <w:rStyle w:val="FootnoteReference"/>
          <w:rFonts w:eastAsia="Times New Roman"/>
          <w:szCs w:val="24"/>
          <w:lang w:val="en-US"/>
        </w:rPr>
        <w:footnoteReference w:id="34"/>
      </w:r>
      <w:r w:rsidRPr="002F0E6F">
        <w:rPr>
          <w:lang w:val="en-AU"/>
        </w:rPr>
        <w:t xml:space="preserve"> a person living in a close </w:t>
      </w:r>
      <w:r w:rsidRPr="002F0E6F">
        <w:rPr>
          <w:lang w:val="en-AU"/>
        </w:rPr>
        <w:lastRenderedPageBreak/>
        <w:t>personal relationship</w:t>
      </w:r>
      <w:r w:rsidRPr="00CB4427">
        <w:rPr>
          <w:rStyle w:val="FootnoteReference"/>
          <w:rFonts w:eastAsia="Times New Roman"/>
          <w:szCs w:val="24"/>
          <w:lang w:val="en-US"/>
        </w:rPr>
        <w:footnoteReference w:id="35"/>
      </w:r>
      <w:r w:rsidRPr="002F0E6F">
        <w:rPr>
          <w:lang w:val="en-AU"/>
        </w:rPr>
        <w:t xml:space="preserve"> with the deceased at their death,</w:t>
      </w:r>
      <w:r w:rsidRPr="00CB4427">
        <w:rPr>
          <w:rStyle w:val="FootnoteReference"/>
          <w:rFonts w:eastAsia="Times New Roman"/>
          <w:szCs w:val="24"/>
          <w:lang w:val="en-US"/>
        </w:rPr>
        <w:footnoteReference w:id="36"/>
      </w:r>
      <w:r w:rsidRPr="002F0E6F">
        <w:rPr>
          <w:lang w:val="en-AU"/>
        </w:rPr>
        <w:t xml:space="preserve"> and grandchildren</w:t>
      </w:r>
      <w:r w:rsidRPr="00CB4427">
        <w:rPr>
          <w:rStyle w:val="FootnoteReference"/>
          <w:rFonts w:eastAsia="Times New Roman"/>
          <w:szCs w:val="24"/>
          <w:lang w:val="en-US"/>
        </w:rPr>
        <w:footnoteReference w:id="37"/>
      </w:r>
      <w:r w:rsidRPr="002F0E6F">
        <w:rPr>
          <w:lang w:val="en-AU"/>
        </w:rPr>
        <w:t xml:space="preserve"> and siblings</w:t>
      </w:r>
      <w:r w:rsidRPr="00CB4427">
        <w:rPr>
          <w:rStyle w:val="FootnoteReference"/>
          <w:rFonts w:eastAsia="Times New Roman"/>
          <w:szCs w:val="24"/>
          <w:lang w:val="en-US"/>
        </w:rPr>
        <w:footnoteReference w:id="38"/>
      </w:r>
      <w:r w:rsidRPr="002F0E6F">
        <w:rPr>
          <w:lang w:val="en-AU"/>
        </w:rPr>
        <w:t xml:space="preserve"> in limited circumstances.</w:t>
      </w:r>
    </w:p>
    <w:p w14:paraId="63E82C8A" w14:textId="59DF7DB2" w:rsidR="002857B2" w:rsidRPr="002F0E6F" w:rsidRDefault="002857B2" w:rsidP="00F33CB4">
      <w:pPr>
        <w:pStyle w:val="Sub-HeadingTLRI"/>
        <w:keepNext/>
        <w:spacing w:before="240" w:after="120"/>
        <w:rPr>
          <w:lang w:val="en-AU"/>
        </w:rPr>
      </w:pPr>
      <w:r w:rsidRPr="002F0E6F">
        <w:rPr>
          <w:lang w:val="en-AU"/>
        </w:rPr>
        <w:t>Other provisions</w:t>
      </w:r>
      <w:r w:rsidR="00BB267D" w:rsidRPr="002F0E6F">
        <w:rPr>
          <w:lang w:val="en-AU"/>
        </w:rPr>
        <w:t xml:space="preserve"> of the </w:t>
      </w:r>
      <w:r w:rsidR="00DD0011">
        <w:rPr>
          <w:lang w:val="en-AU"/>
        </w:rPr>
        <w:t xml:space="preserve">TFM </w:t>
      </w:r>
      <w:r w:rsidR="00BB267D" w:rsidRPr="002F0E6F">
        <w:rPr>
          <w:lang w:val="en-AU"/>
        </w:rPr>
        <w:t>Act</w:t>
      </w:r>
    </w:p>
    <w:p w14:paraId="5D0199ED" w14:textId="63C8D55B" w:rsidR="002857B2" w:rsidRPr="002F0E6F" w:rsidRDefault="0070387D" w:rsidP="00F33CB4">
      <w:pPr>
        <w:pStyle w:val="NormalNumberedTextTLRI"/>
        <w:rPr>
          <w:lang w:val="en-AU"/>
        </w:rPr>
      </w:pPr>
      <w:r w:rsidRPr="002F0E6F">
        <w:rPr>
          <w:lang w:val="en-AU"/>
        </w:rPr>
        <w:t xml:space="preserve">Other parts of the </w:t>
      </w:r>
      <w:r w:rsidR="00DD0011" w:rsidRPr="007A6F1C">
        <w:rPr>
          <w:i/>
          <w:lang w:val="en-AU"/>
        </w:rPr>
        <w:t xml:space="preserve">TFM </w:t>
      </w:r>
      <w:r w:rsidRPr="007A6F1C">
        <w:rPr>
          <w:i/>
          <w:lang w:val="en-AU"/>
        </w:rPr>
        <w:t>Act</w:t>
      </w:r>
      <w:r w:rsidR="002857B2" w:rsidRPr="002F0E6F">
        <w:rPr>
          <w:lang w:val="en-AU"/>
        </w:rPr>
        <w:t xml:space="preserve"> are </w:t>
      </w:r>
      <w:r w:rsidRPr="002F0E6F">
        <w:rPr>
          <w:lang w:val="en-AU"/>
        </w:rPr>
        <w:t>summarised</w:t>
      </w:r>
      <w:r w:rsidR="002857B2" w:rsidRPr="002F0E6F">
        <w:rPr>
          <w:lang w:val="en-AU"/>
        </w:rPr>
        <w:t xml:space="preserve"> briefly as not being germ</w:t>
      </w:r>
      <w:r w:rsidR="0060396D" w:rsidRPr="002F0E6F">
        <w:rPr>
          <w:lang w:val="en-AU"/>
        </w:rPr>
        <w:t>ane</w:t>
      </w:r>
      <w:r w:rsidR="002857B2" w:rsidRPr="002F0E6F">
        <w:rPr>
          <w:lang w:val="en-AU"/>
        </w:rPr>
        <w:t xml:space="preserve"> to the main inquiry </w:t>
      </w:r>
      <w:r w:rsidRPr="002F0E6F">
        <w:rPr>
          <w:lang w:val="en-AU"/>
        </w:rPr>
        <w:t>about the</w:t>
      </w:r>
      <w:r w:rsidR="002857B2" w:rsidRPr="002F0E6F">
        <w:rPr>
          <w:lang w:val="en-AU"/>
        </w:rPr>
        <w:t xml:space="preserve"> possible </w:t>
      </w:r>
      <w:r w:rsidRPr="002F0E6F">
        <w:rPr>
          <w:lang w:val="en-AU"/>
        </w:rPr>
        <w:t xml:space="preserve">inclusion of </w:t>
      </w:r>
      <w:r w:rsidR="002857B2" w:rsidRPr="002F0E6F">
        <w:rPr>
          <w:lang w:val="en-AU"/>
        </w:rPr>
        <w:t xml:space="preserve">notional estate </w:t>
      </w:r>
      <w:r w:rsidRPr="002F0E6F">
        <w:rPr>
          <w:lang w:val="en-AU"/>
        </w:rPr>
        <w:t>provisions</w:t>
      </w:r>
      <w:r w:rsidR="002857B2" w:rsidRPr="002F0E6F">
        <w:rPr>
          <w:lang w:val="en-AU"/>
        </w:rPr>
        <w:t xml:space="preserve"> in the </w:t>
      </w:r>
      <w:r w:rsidRPr="002F0E6F">
        <w:rPr>
          <w:lang w:val="en-AU"/>
        </w:rPr>
        <w:t>Act:</w:t>
      </w:r>
    </w:p>
    <w:p w14:paraId="191ED2DF" w14:textId="14FEEC54" w:rsidR="00F15E1B" w:rsidRPr="002F0E6F" w:rsidRDefault="00B459EB" w:rsidP="007A5F48">
      <w:pPr>
        <w:pStyle w:val="DotPointTLRI"/>
        <w:spacing w:line="276" w:lineRule="auto"/>
      </w:pPr>
      <w:r w:rsidRPr="002F0E6F">
        <w:t xml:space="preserve">section </w:t>
      </w:r>
      <w:r w:rsidR="00F15E1B" w:rsidRPr="002F0E6F">
        <w:t xml:space="preserve">11 deals with time limit for making an application. It provides that an application must be filed within </w:t>
      </w:r>
      <w:r w:rsidR="00F33CB4">
        <w:t>three</w:t>
      </w:r>
      <w:r w:rsidR="00F15E1B" w:rsidRPr="002F0E6F">
        <w:t xml:space="preserve"> months of the date of a grant of administration being made in the estate. This section allows the Court to grant an extension of time, in its discretion;</w:t>
      </w:r>
    </w:p>
    <w:p w14:paraId="541749A4" w14:textId="69D8E2A1" w:rsidR="002857B2" w:rsidRPr="002F0E6F" w:rsidRDefault="00B459EB" w:rsidP="007A5F48">
      <w:pPr>
        <w:pStyle w:val="DotPointTLRI"/>
        <w:spacing w:line="276" w:lineRule="auto"/>
      </w:pPr>
      <w:r w:rsidRPr="002F0E6F">
        <w:t xml:space="preserve">section </w:t>
      </w:r>
      <w:r w:rsidR="002857B2" w:rsidRPr="002F0E6F">
        <w:t>8A relates to the admissibility of evidence of the deceased’s reasons for making a will, particularly for not benefitting the applicant in that will</w:t>
      </w:r>
      <w:r w:rsidR="00891CE5" w:rsidRPr="002F0E6F">
        <w:t>;</w:t>
      </w:r>
      <w:r w:rsidR="0045004C" w:rsidRPr="002F0E6F">
        <w:t xml:space="preserve"> and</w:t>
      </w:r>
    </w:p>
    <w:p w14:paraId="7F24B85F" w14:textId="12BD0BB0" w:rsidR="00F15E1B" w:rsidRDefault="00B459EB" w:rsidP="007A5F48">
      <w:pPr>
        <w:pStyle w:val="DotPointTLRI"/>
        <w:spacing w:line="276" w:lineRule="auto"/>
      </w:pPr>
      <w:r w:rsidRPr="002F0E6F">
        <w:t xml:space="preserve">section </w:t>
      </w:r>
      <w:r w:rsidR="00F15E1B" w:rsidRPr="002F0E6F">
        <w:t>3(2) gives a wide discretion to the Court as to the method in which provision may be made for a successful applicant.</w:t>
      </w:r>
    </w:p>
    <w:p w14:paraId="7976291D" w14:textId="451436FE" w:rsidR="00F33CB4" w:rsidRDefault="00F33CB4" w:rsidP="00F33CB4">
      <w:pPr>
        <w:pStyle w:val="NormalNumberedTextTLRI"/>
        <w:numPr>
          <w:ilvl w:val="0"/>
          <w:numId w:val="0"/>
        </w:numPr>
      </w:pPr>
    </w:p>
    <w:p w14:paraId="338E990C" w14:textId="009234FC" w:rsidR="00F33CB4" w:rsidRDefault="00F33CB4" w:rsidP="00F33CB4">
      <w:pPr>
        <w:pStyle w:val="NormalNumberedTextTLRI"/>
        <w:numPr>
          <w:ilvl w:val="0"/>
          <w:numId w:val="0"/>
        </w:numPr>
      </w:pPr>
    </w:p>
    <w:p w14:paraId="04074FF0" w14:textId="279259FF" w:rsidR="00F33CB4" w:rsidRDefault="00F33CB4" w:rsidP="00F33CB4">
      <w:pPr>
        <w:pStyle w:val="NormalNumberedTextTLRI"/>
        <w:numPr>
          <w:ilvl w:val="0"/>
          <w:numId w:val="0"/>
        </w:numPr>
      </w:pPr>
    </w:p>
    <w:p w14:paraId="170C139C" w14:textId="77777777" w:rsidR="00F33CB4" w:rsidRDefault="00F33CB4" w:rsidP="00F33CB4">
      <w:pPr>
        <w:pStyle w:val="NormalNumberedTextTLRI"/>
        <w:numPr>
          <w:ilvl w:val="0"/>
          <w:numId w:val="0"/>
        </w:numPr>
        <w:sectPr w:rsidR="00F33CB4" w:rsidSect="00DB04C5">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440" w:left="1440" w:header="709" w:footer="709" w:gutter="0"/>
          <w:pgNumType w:start="1"/>
          <w:cols w:space="708"/>
          <w:titlePg/>
          <w:docGrid w:linePitch="360"/>
        </w:sectPr>
      </w:pPr>
    </w:p>
    <w:p w14:paraId="20BFF544" w14:textId="77777777" w:rsidR="008A02E9" w:rsidRPr="002F0E6F" w:rsidRDefault="008A02E9" w:rsidP="00C84656">
      <w:pPr>
        <w:pStyle w:val="PartNoTLRI"/>
        <w:ind w:left="0" w:firstLine="0"/>
        <w:rPr>
          <w:lang w:val="en-AU"/>
        </w:rPr>
      </w:pPr>
      <w:bookmarkStart w:id="39" w:name="_Toc2256853"/>
      <w:bookmarkEnd w:id="39"/>
    </w:p>
    <w:p w14:paraId="74407415" w14:textId="4D956825" w:rsidR="00F1492B" w:rsidRPr="002F0E6F" w:rsidRDefault="00F15E1B" w:rsidP="0045004C">
      <w:pPr>
        <w:pStyle w:val="PartHeadingTLRI"/>
        <w:rPr>
          <w:lang w:val="en-AU"/>
        </w:rPr>
      </w:pPr>
      <w:bookmarkStart w:id="40" w:name="_Toc2256854"/>
      <w:r w:rsidRPr="002F0E6F">
        <w:rPr>
          <w:lang w:val="en-AU"/>
        </w:rPr>
        <w:t>Potential Issues with the</w:t>
      </w:r>
      <w:r w:rsidR="00F1492B" w:rsidRPr="002F0E6F">
        <w:rPr>
          <w:lang w:val="en-AU"/>
        </w:rPr>
        <w:t xml:space="preserve"> Law</w:t>
      </w:r>
      <w:bookmarkEnd w:id="40"/>
    </w:p>
    <w:p w14:paraId="67B251D9" w14:textId="5E1C6368" w:rsidR="002C3DFE" w:rsidRPr="002F0E6F" w:rsidRDefault="00F15E1B" w:rsidP="0045004C">
      <w:pPr>
        <w:pStyle w:val="NumberedHeadingTLRI"/>
        <w:rPr>
          <w:lang w:val="en-AU"/>
        </w:rPr>
      </w:pPr>
      <w:bookmarkStart w:id="41" w:name="_Toc2256855"/>
      <w:r w:rsidRPr="002F0E6F">
        <w:rPr>
          <w:lang w:val="en-AU"/>
        </w:rPr>
        <w:t>Introduction</w:t>
      </w:r>
      <w:bookmarkEnd w:id="41"/>
    </w:p>
    <w:p w14:paraId="174D8CDD" w14:textId="4A907E3D" w:rsidR="00203C0A" w:rsidRPr="002F0E6F" w:rsidRDefault="00970786" w:rsidP="009558E5">
      <w:pPr>
        <w:pStyle w:val="NormalNumberedTextTLRI"/>
        <w:rPr>
          <w:lang w:val="en-AU"/>
        </w:rPr>
      </w:pPr>
      <w:r w:rsidRPr="002F0E6F">
        <w:rPr>
          <w:lang w:val="en-AU"/>
        </w:rPr>
        <w:t>C</w:t>
      </w:r>
      <w:r w:rsidR="00F15E1B" w:rsidRPr="002F0E6F">
        <w:rPr>
          <w:lang w:val="en-AU"/>
        </w:rPr>
        <w:t>laim</w:t>
      </w:r>
      <w:r w:rsidRPr="002F0E6F">
        <w:rPr>
          <w:lang w:val="en-AU"/>
        </w:rPr>
        <w:t>s</w:t>
      </w:r>
      <w:r w:rsidR="00F15E1B" w:rsidRPr="002F0E6F">
        <w:rPr>
          <w:lang w:val="en-AU"/>
        </w:rPr>
        <w:t xml:space="preserve"> under the </w:t>
      </w:r>
      <w:r w:rsidR="000C1E64" w:rsidRPr="000C1E64">
        <w:rPr>
          <w:i/>
          <w:lang w:val="en-AU"/>
        </w:rPr>
        <w:t xml:space="preserve">TFM </w:t>
      </w:r>
      <w:r w:rsidR="00F15E1B" w:rsidRPr="000C1E64">
        <w:rPr>
          <w:i/>
          <w:lang w:val="en-AU"/>
        </w:rPr>
        <w:t>Act</w:t>
      </w:r>
      <w:r w:rsidR="00F15E1B" w:rsidRPr="002F0E6F">
        <w:rPr>
          <w:lang w:val="en-AU"/>
        </w:rPr>
        <w:t xml:space="preserve"> can only deal with the estate of a deceased. Some assets might be considered </w:t>
      </w:r>
      <w:r w:rsidR="00347376" w:rsidRPr="002F0E6F">
        <w:rPr>
          <w:lang w:val="en-AU"/>
        </w:rPr>
        <w:t>to be</w:t>
      </w:r>
      <w:r w:rsidR="00F15E1B" w:rsidRPr="002F0E6F">
        <w:rPr>
          <w:lang w:val="en-AU"/>
        </w:rPr>
        <w:t xml:space="preserve"> an asset of a deceased, but </w:t>
      </w:r>
      <w:r w:rsidR="00347376" w:rsidRPr="002F0E6F">
        <w:rPr>
          <w:lang w:val="en-AU"/>
        </w:rPr>
        <w:t xml:space="preserve">at law </w:t>
      </w:r>
      <w:r w:rsidR="00F15E1B" w:rsidRPr="002F0E6F">
        <w:rPr>
          <w:lang w:val="en-AU"/>
        </w:rPr>
        <w:t>fall outside of the</w:t>
      </w:r>
      <w:r w:rsidR="00347376" w:rsidRPr="002F0E6F">
        <w:rPr>
          <w:lang w:val="en-AU"/>
        </w:rPr>
        <w:t>ir</w:t>
      </w:r>
      <w:r w:rsidR="00F15E1B" w:rsidRPr="002F0E6F">
        <w:rPr>
          <w:lang w:val="en-AU"/>
        </w:rPr>
        <w:t xml:space="preserve"> estate</w:t>
      </w:r>
      <w:r w:rsidR="00347376" w:rsidRPr="002F0E6F">
        <w:rPr>
          <w:lang w:val="en-AU"/>
        </w:rPr>
        <w:t>.</w:t>
      </w:r>
      <w:r w:rsidR="00F15E1B" w:rsidRPr="002F0E6F">
        <w:rPr>
          <w:lang w:val="en-AU"/>
        </w:rPr>
        <w:t xml:space="preserve"> </w:t>
      </w:r>
      <w:r w:rsidR="00203C0A" w:rsidRPr="002F0E6F">
        <w:rPr>
          <w:lang w:val="en-AU"/>
        </w:rPr>
        <w:t xml:space="preserve">A common </w:t>
      </w:r>
      <w:r w:rsidR="00347376" w:rsidRPr="002F0E6F">
        <w:rPr>
          <w:lang w:val="en-AU"/>
        </w:rPr>
        <w:t xml:space="preserve">example </w:t>
      </w:r>
      <w:r w:rsidR="00203C0A" w:rsidRPr="002F0E6F">
        <w:rPr>
          <w:lang w:val="en-AU"/>
        </w:rPr>
        <w:t>is</w:t>
      </w:r>
      <w:r w:rsidR="00347376" w:rsidRPr="002F0E6F">
        <w:rPr>
          <w:lang w:val="en-AU"/>
        </w:rPr>
        <w:t xml:space="preserve"> joint tenancy propert</w:t>
      </w:r>
      <w:r w:rsidR="00203C0A" w:rsidRPr="002F0E6F">
        <w:rPr>
          <w:lang w:val="en-AU"/>
        </w:rPr>
        <w:t>y</w:t>
      </w:r>
      <w:r w:rsidR="00500C82">
        <w:rPr>
          <w:lang w:val="en-AU"/>
        </w:rPr>
        <w:t>.</w:t>
      </w:r>
      <w:r w:rsidR="00203C0A" w:rsidRPr="002F0E6F">
        <w:rPr>
          <w:lang w:val="en-AU"/>
        </w:rPr>
        <w:t xml:space="preserve"> </w:t>
      </w:r>
      <w:r w:rsidR="00500C82">
        <w:rPr>
          <w:lang w:val="en-AU"/>
        </w:rPr>
        <w:t>A</w:t>
      </w:r>
      <w:r w:rsidR="00C71B62">
        <w:rPr>
          <w:lang w:val="en-AU"/>
        </w:rPr>
        <w:t xml:space="preserve"> number of</w:t>
      </w:r>
      <w:r w:rsidR="00203C0A" w:rsidRPr="002F0E6F">
        <w:rPr>
          <w:lang w:val="en-AU"/>
        </w:rPr>
        <w:t xml:space="preserve"> other examples</w:t>
      </w:r>
      <w:r w:rsidR="00C71B62">
        <w:rPr>
          <w:lang w:val="en-AU"/>
        </w:rPr>
        <w:t xml:space="preserve"> </w:t>
      </w:r>
      <w:r w:rsidR="00500C82">
        <w:rPr>
          <w:lang w:val="en-AU"/>
        </w:rPr>
        <w:t xml:space="preserve">are </w:t>
      </w:r>
      <w:r w:rsidR="00C71B62">
        <w:rPr>
          <w:lang w:val="en-AU"/>
        </w:rPr>
        <w:t>outlined in this Part</w:t>
      </w:r>
      <w:r w:rsidR="00347376" w:rsidRPr="002F0E6F">
        <w:rPr>
          <w:lang w:val="en-AU"/>
        </w:rPr>
        <w:t xml:space="preserve">. </w:t>
      </w:r>
    </w:p>
    <w:p w14:paraId="36E2D469" w14:textId="7CFDCC5A" w:rsidR="00F15E1B" w:rsidRPr="002F0E6F" w:rsidRDefault="00347376" w:rsidP="00015D9B">
      <w:pPr>
        <w:pStyle w:val="NormalNumberedTextTLRI"/>
        <w:rPr>
          <w:lang w:val="en-AU"/>
        </w:rPr>
      </w:pPr>
      <w:r w:rsidRPr="00015D9B">
        <w:t>Depending</w:t>
      </w:r>
      <w:r w:rsidRPr="002F0E6F">
        <w:rPr>
          <w:lang w:val="en-AU"/>
        </w:rPr>
        <w:t xml:space="preserve"> upon how assets are held and structured, there is potential </w:t>
      </w:r>
      <w:r w:rsidR="00970786" w:rsidRPr="002F0E6F">
        <w:rPr>
          <w:lang w:val="en-AU"/>
        </w:rPr>
        <w:t>for</w:t>
      </w:r>
      <w:r w:rsidRPr="002F0E6F">
        <w:rPr>
          <w:lang w:val="en-AU"/>
        </w:rPr>
        <w:t xml:space="preserve"> a person who might otherwise be considered wealthy to die with very little, if anything, in their estate</w:t>
      </w:r>
      <w:r w:rsidR="00203C0A" w:rsidRPr="002F0E6F">
        <w:rPr>
          <w:lang w:val="en-AU"/>
        </w:rPr>
        <w:t xml:space="preserve">. This reduces (or eliminates) the pool of </w:t>
      </w:r>
      <w:r w:rsidRPr="002F0E6F">
        <w:rPr>
          <w:lang w:val="en-AU"/>
        </w:rPr>
        <w:t>available</w:t>
      </w:r>
      <w:r w:rsidR="00203C0A" w:rsidRPr="002F0E6F">
        <w:rPr>
          <w:lang w:val="en-AU"/>
        </w:rPr>
        <w:t xml:space="preserve"> assets from which</w:t>
      </w:r>
      <w:r w:rsidRPr="002F0E6F">
        <w:rPr>
          <w:lang w:val="en-AU"/>
        </w:rPr>
        <w:t xml:space="preserve"> to satisfy a successful claim under the </w:t>
      </w:r>
      <w:r w:rsidR="00650FEC" w:rsidRPr="00650FEC">
        <w:rPr>
          <w:i/>
          <w:lang w:val="en-AU"/>
        </w:rPr>
        <w:t>TFM</w:t>
      </w:r>
      <w:r w:rsidR="00650FEC">
        <w:rPr>
          <w:lang w:val="en-AU"/>
        </w:rPr>
        <w:t xml:space="preserve"> </w:t>
      </w:r>
      <w:r w:rsidRPr="00650FEC">
        <w:rPr>
          <w:i/>
          <w:lang w:val="en-AU"/>
        </w:rPr>
        <w:t>Act</w:t>
      </w:r>
      <w:r w:rsidRPr="002F0E6F">
        <w:rPr>
          <w:lang w:val="en-AU"/>
        </w:rPr>
        <w:t xml:space="preserve">. This </w:t>
      </w:r>
      <w:r w:rsidR="009A138F" w:rsidRPr="002F0E6F">
        <w:rPr>
          <w:lang w:val="en-AU"/>
        </w:rPr>
        <w:t>occurrence may</w:t>
      </w:r>
      <w:r w:rsidRPr="002F0E6F">
        <w:rPr>
          <w:lang w:val="en-AU"/>
        </w:rPr>
        <w:t xml:space="preserve"> frustrat</w:t>
      </w:r>
      <w:r w:rsidR="009A138F" w:rsidRPr="002F0E6F">
        <w:rPr>
          <w:lang w:val="en-AU"/>
        </w:rPr>
        <w:t>e</w:t>
      </w:r>
      <w:r w:rsidRPr="002F0E6F">
        <w:rPr>
          <w:lang w:val="en-AU"/>
        </w:rPr>
        <w:t xml:space="preserve"> the intention of the Act which is to make provision, or additional provision, for a worthy applicant.</w:t>
      </w:r>
    </w:p>
    <w:p w14:paraId="505C4332" w14:textId="76A78141" w:rsidR="009A138F" w:rsidRPr="002F0E6F" w:rsidRDefault="009A138F" w:rsidP="00015D9B">
      <w:pPr>
        <w:pStyle w:val="NormalNumberedTextTLRI"/>
        <w:rPr>
          <w:lang w:val="en-AU"/>
        </w:rPr>
      </w:pPr>
      <w:r w:rsidRPr="002F0E6F">
        <w:rPr>
          <w:lang w:val="en-AU"/>
        </w:rPr>
        <w:t xml:space="preserve">This </w:t>
      </w:r>
      <w:r w:rsidR="00015D9B">
        <w:rPr>
          <w:lang w:val="en-AU"/>
        </w:rPr>
        <w:t>P</w:t>
      </w:r>
      <w:r w:rsidRPr="002F0E6F">
        <w:rPr>
          <w:lang w:val="en-AU"/>
        </w:rPr>
        <w:t xml:space="preserve">art is </w:t>
      </w:r>
      <w:r w:rsidRPr="00015D9B">
        <w:t>concerned</w:t>
      </w:r>
      <w:r w:rsidRPr="002F0E6F">
        <w:rPr>
          <w:lang w:val="en-AU"/>
        </w:rPr>
        <w:t xml:space="preserve"> with two issues:</w:t>
      </w:r>
    </w:p>
    <w:p w14:paraId="7E8AA795" w14:textId="769B24B9" w:rsidR="009A138F" w:rsidRPr="002F0E6F" w:rsidRDefault="009A138F" w:rsidP="00CF09A0">
      <w:pPr>
        <w:pStyle w:val="DotPointTLRI"/>
      </w:pPr>
      <w:r w:rsidRPr="002F0E6F">
        <w:t>what property is available to satisfy a</w:t>
      </w:r>
      <w:r w:rsidR="00E35ED0" w:rsidRPr="002F0E6F">
        <w:t xml:space="preserve">n </w:t>
      </w:r>
      <w:r w:rsidRPr="002F0E6F">
        <w:t xml:space="preserve">order under s 3 of the </w:t>
      </w:r>
      <w:r w:rsidR="000C1E64" w:rsidRPr="000C1E64">
        <w:rPr>
          <w:i/>
        </w:rPr>
        <w:t xml:space="preserve">TFM </w:t>
      </w:r>
      <w:r w:rsidRPr="000C1E64">
        <w:rPr>
          <w:i/>
        </w:rPr>
        <w:t>Act</w:t>
      </w:r>
      <w:r w:rsidRPr="002F0E6F">
        <w:t>; and</w:t>
      </w:r>
    </w:p>
    <w:p w14:paraId="0C91CC6E" w14:textId="072E72B6" w:rsidR="009A138F" w:rsidRPr="002F0E6F" w:rsidRDefault="009A138F" w:rsidP="00CF09A0">
      <w:pPr>
        <w:pStyle w:val="DotPointTLRI"/>
      </w:pPr>
      <w:r w:rsidRPr="002F0E6F">
        <w:t xml:space="preserve">when is an estate ‘distributed’ for the purposes of the </w:t>
      </w:r>
      <w:r w:rsidR="000C1E64" w:rsidRPr="000C1E64">
        <w:rPr>
          <w:i/>
        </w:rPr>
        <w:t xml:space="preserve">TFM </w:t>
      </w:r>
      <w:r w:rsidRPr="000C1E64">
        <w:rPr>
          <w:i/>
        </w:rPr>
        <w:t>Act</w:t>
      </w:r>
      <w:r w:rsidRPr="002F0E6F">
        <w:t>?</w:t>
      </w:r>
    </w:p>
    <w:p w14:paraId="55CE6C59" w14:textId="24E11AA9" w:rsidR="002857B2" w:rsidRPr="002F0E6F" w:rsidRDefault="002857B2" w:rsidP="00F15E1B">
      <w:pPr>
        <w:pStyle w:val="NumberedHeadingTLRI"/>
        <w:rPr>
          <w:lang w:val="en-AU"/>
        </w:rPr>
      </w:pPr>
      <w:bookmarkStart w:id="42" w:name="_Toc2256856"/>
      <w:r w:rsidRPr="002F0E6F">
        <w:rPr>
          <w:lang w:val="en-AU"/>
        </w:rPr>
        <w:t xml:space="preserve">Property </w:t>
      </w:r>
      <w:r w:rsidR="009A138F" w:rsidRPr="002F0E6F">
        <w:rPr>
          <w:lang w:val="en-AU"/>
        </w:rPr>
        <w:t>a</w:t>
      </w:r>
      <w:r w:rsidRPr="002F0E6F">
        <w:rPr>
          <w:lang w:val="en-AU"/>
        </w:rPr>
        <w:t xml:space="preserve">vailable to satisfy a </w:t>
      </w:r>
      <w:r w:rsidR="009A138F" w:rsidRPr="002F0E6F">
        <w:rPr>
          <w:lang w:val="en-AU"/>
        </w:rPr>
        <w:t>claim</w:t>
      </w:r>
      <w:bookmarkEnd w:id="42"/>
    </w:p>
    <w:p w14:paraId="13CC1CFC" w14:textId="54EFE653" w:rsidR="00290D81" w:rsidRPr="002F0E6F" w:rsidRDefault="00290D81" w:rsidP="00015D9B">
      <w:pPr>
        <w:pStyle w:val="NormalNumberedTextTLRI"/>
        <w:rPr>
          <w:lang w:val="en-AU"/>
        </w:rPr>
      </w:pPr>
      <w:r w:rsidRPr="002F0E6F">
        <w:rPr>
          <w:lang w:val="en-AU"/>
        </w:rPr>
        <w:tab/>
      </w:r>
      <w:r w:rsidR="002857B2" w:rsidRPr="00015D9B">
        <w:t>Section</w:t>
      </w:r>
      <w:r w:rsidR="002857B2" w:rsidRPr="002F0E6F">
        <w:rPr>
          <w:lang w:val="en-AU"/>
        </w:rPr>
        <w:t xml:space="preserve"> 3</w:t>
      </w:r>
      <w:r w:rsidR="001B13AB" w:rsidRPr="002F0E6F">
        <w:rPr>
          <w:lang w:val="en-AU"/>
        </w:rPr>
        <w:t>(</w:t>
      </w:r>
      <w:r w:rsidR="002857B2" w:rsidRPr="002F0E6F">
        <w:rPr>
          <w:lang w:val="en-AU"/>
        </w:rPr>
        <w:t>1</w:t>
      </w:r>
      <w:r w:rsidR="001B13AB" w:rsidRPr="002F0E6F">
        <w:rPr>
          <w:lang w:val="en-AU"/>
        </w:rPr>
        <w:t>)</w:t>
      </w:r>
      <w:r w:rsidR="002857B2" w:rsidRPr="002F0E6F">
        <w:rPr>
          <w:lang w:val="en-AU"/>
        </w:rPr>
        <w:t xml:space="preserve"> of the </w:t>
      </w:r>
      <w:r w:rsidR="000C1E64" w:rsidRPr="000C1E64">
        <w:rPr>
          <w:i/>
          <w:lang w:val="en-AU"/>
        </w:rPr>
        <w:t xml:space="preserve">TFM </w:t>
      </w:r>
      <w:r w:rsidR="002857B2" w:rsidRPr="000C1E64">
        <w:rPr>
          <w:i/>
          <w:lang w:val="en-AU"/>
        </w:rPr>
        <w:t>Act</w:t>
      </w:r>
      <w:r w:rsidR="002857B2" w:rsidRPr="002F0E6F">
        <w:rPr>
          <w:lang w:val="en-AU"/>
        </w:rPr>
        <w:t xml:space="preserve"> provides that any order of the Court is restricted to the estate of the deceased. </w:t>
      </w:r>
      <w:r w:rsidR="00797946" w:rsidRPr="002F0E6F">
        <w:rPr>
          <w:lang w:val="en-AU"/>
        </w:rPr>
        <w:t>As Dal Pont and Mackie state</w:t>
      </w:r>
      <w:r w:rsidR="00977786">
        <w:rPr>
          <w:lang w:val="en-AU"/>
        </w:rPr>
        <w:t>:</w:t>
      </w:r>
      <w:r w:rsidR="00797946" w:rsidRPr="002F0E6F">
        <w:rPr>
          <w:lang w:val="en-AU"/>
        </w:rPr>
        <w:t xml:space="preserve"> ‘Provision can therefore be made only out of the property that the deceased beneficially owned at the time of death and that passes to the deceased’s personal representative, less the liabilities of the estate’</w:t>
      </w:r>
      <w:r w:rsidR="00000703" w:rsidRPr="002F0E6F">
        <w:rPr>
          <w:lang w:val="en-AU"/>
        </w:rPr>
        <w:t>.</w:t>
      </w:r>
      <w:r w:rsidR="003D3DD8" w:rsidRPr="00620C42">
        <w:rPr>
          <w:rStyle w:val="FootnoteReference"/>
        </w:rPr>
        <w:footnoteReference w:id="39"/>
      </w:r>
    </w:p>
    <w:p w14:paraId="24D1591F" w14:textId="291D677E" w:rsidR="006A0982" w:rsidRPr="002F0E6F" w:rsidRDefault="006A0982" w:rsidP="009A67E1">
      <w:pPr>
        <w:pStyle w:val="NormalNumberedTextTLRI"/>
        <w:rPr>
          <w:lang w:val="en-AU"/>
        </w:rPr>
      </w:pPr>
      <w:r w:rsidRPr="002F0E6F">
        <w:rPr>
          <w:lang w:val="en-AU"/>
        </w:rPr>
        <w:t>A person’s estate comprises assets or interests held by</w:t>
      </w:r>
      <w:r w:rsidR="00E35ED0" w:rsidRPr="00620C42">
        <w:rPr>
          <w:rStyle w:val="FootnoteReference"/>
        </w:rPr>
        <w:footnoteReference w:id="40"/>
      </w:r>
      <w:r w:rsidRPr="002F0E6F">
        <w:rPr>
          <w:lang w:val="en-AU"/>
        </w:rPr>
        <w:t xml:space="preserve"> the person solely, jointly with </w:t>
      </w:r>
      <w:r w:rsidR="00E35ED0" w:rsidRPr="002F0E6F">
        <w:rPr>
          <w:lang w:val="en-AU"/>
        </w:rPr>
        <w:t>others</w:t>
      </w:r>
      <w:r w:rsidRPr="002F0E6F">
        <w:rPr>
          <w:lang w:val="en-AU"/>
        </w:rPr>
        <w:t xml:space="preserve"> as </w:t>
      </w:r>
      <w:r w:rsidRPr="009A67E1">
        <w:t>tenants</w:t>
      </w:r>
      <w:r w:rsidRPr="002F0E6F">
        <w:rPr>
          <w:lang w:val="en-AU"/>
        </w:rPr>
        <w:t xml:space="preserve"> in common (not as joint tenants) and other assets paid to the person’s legal personal representative</w:t>
      </w:r>
      <w:r w:rsidR="00F108A4" w:rsidRPr="002F0E6F">
        <w:rPr>
          <w:lang w:val="en-AU"/>
        </w:rPr>
        <w:t xml:space="preserve"> </w:t>
      </w:r>
      <w:r w:rsidRPr="002F0E6F">
        <w:rPr>
          <w:lang w:val="en-AU"/>
        </w:rPr>
        <w:t xml:space="preserve">upon their death. </w:t>
      </w:r>
    </w:p>
    <w:p w14:paraId="5D1D838A" w14:textId="5C7AE524" w:rsidR="00F108A4" w:rsidRPr="002F0E6F" w:rsidRDefault="00F108A4" w:rsidP="00694350">
      <w:pPr>
        <w:pStyle w:val="NormalNumberedTextTLRI"/>
        <w:rPr>
          <w:lang w:val="en-AU"/>
        </w:rPr>
      </w:pPr>
      <w:r w:rsidRPr="002F0E6F">
        <w:rPr>
          <w:lang w:val="en-AU"/>
        </w:rPr>
        <w:t>This section explains what is included in a person’s estate which can be claimed as part of a TFM claim.</w:t>
      </w:r>
    </w:p>
    <w:p w14:paraId="0DFA4128" w14:textId="3B6A3C06" w:rsidR="00EF3A1D" w:rsidRPr="002F0E6F" w:rsidRDefault="00EF3A1D" w:rsidP="00EF3A1D">
      <w:pPr>
        <w:pStyle w:val="Sub-HeadingTLRI"/>
        <w:rPr>
          <w:lang w:val="en-AU"/>
        </w:rPr>
      </w:pPr>
      <w:r w:rsidRPr="002F0E6F">
        <w:rPr>
          <w:lang w:val="en-AU"/>
        </w:rPr>
        <w:t>Transfers subject to unconscionability or undue influence</w:t>
      </w:r>
    </w:p>
    <w:p w14:paraId="6C47873C" w14:textId="133B3149" w:rsidR="009A138F" w:rsidRPr="002F0E6F" w:rsidRDefault="00EF3A1D" w:rsidP="00694350">
      <w:pPr>
        <w:pStyle w:val="NormalNumberedTextTLRI"/>
        <w:rPr>
          <w:lang w:val="en-AU"/>
        </w:rPr>
      </w:pPr>
      <w:r w:rsidRPr="00694350">
        <w:lastRenderedPageBreak/>
        <w:t>Assets</w:t>
      </w:r>
      <w:r w:rsidRPr="002F0E6F">
        <w:rPr>
          <w:lang w:val="en-AU"/>
        </w:rPr>
        <w:t xml:space="preserve"> transfer</w:t>
      </w:r>
      <w:r w:rsidR="00AA132E" w:rsidRPr="002F0E6F">
        <w:rPr>
          <w:lang w:val="en-AU"/>
        </w:rPr>
        <w:t>red</w:t>
      </w:r>
      <w:r w:rsidR="00EB57DE" w:rsidRPr="002F0E6F">
        <w:rPr>
          <w:lang w:val="en-AU"/>
        </w:rPr>
        <w:t xml:space="preserve"> </w:t>
      </w:r>
      <w:r w:rsidRPr="002F0E6F">
        <w:rPr>
          <w:lang w:val="en-AU"/>
        </w:rPr>
        <w:t>or gift</w:t>
      </w:r>
      <w:r w:rsidR="00AA132E" w:rsidRPr="002F0E6F">
        <w:rPr>
          <w:lang w:val="en-AU"/>
        </w:rPr>
        <w:t>ed</w:t>
      </w:r>
      <w:r w:rsidR="00EB57DE" w:rsidRPr="002F0E6F">
        <w:rPr>
          <w:lang w:val="en-AU"/>
        </w:rPr>
        <w:t xml:space="preserve"> </w:t>
      </w:r>
      <w:r w:rsidR="00AA132E" w:rsidRPr="002F0E6F">
        <w:rPr>
          <w:lang w:val="en-AU"/>
        </w:rPr>
        <w:t>before</w:t>
      </w:r>
      <w:r w:rsidRPr="002F0E6F">
        <w:rPr>
          <w:lang w:val="en-AU"/>
        </w:rPr>
        <w:t xml:space="preserve"> </w:t>
      </w:r>
      <w:r w:rsidR="00AA132E" w:rsidRPr="002F0E6F">
        <w:rPr>
          <w:lang w:val="en-AU"/>
        </w:rPr>
        <w:t>a person’s</w:t>
      </w:r>
      <w:r w:rsidRPr="002F0E6F">
        <w:rPr>
          <w:lang w:val="en-AU"/>
        </w:rPr>
        <w:t xml:space="preserve"> death typically fall outside of the</w:t>
      </w:r>
      <w:r w:rsidR="00AA132E" w:rsidRPr="002F0E6F">
        <w:rPr>
          <w:lang w:val="en-AU"/>
        </w:rPr>
        <w:t xml:space="preserve">ir </w:t>
      </w:r>
      <w:r w:rsidRPr="002F0E6F">
        <w:rPr>
          <w:lang w:val="en-AU"/>
        </w:rPr>
        <w:t>estate for the purpose of a TFM claim.</w:t>
      </w:r>
    </w:p>
    <w:p w14:paraId="18809C95" w14:textId="1DB6A250" w:rsidR="00797946" w:rsidRPr="008D69F1" w:rsidRDefault="00797946" w:rsidP="00C71B62">
      <w:pPr>
        <w:pStyle w:val="NormalNumberedTextTLRI"/>
        <w:rPr>
          <w:lang w:val="en-AU"/>
        </w:rPr>
      </w:pPr>
      <w:r w:rsidRPr="002F0E6F">
        <w:rPr>
          <w:lang w:val="en-AU"/>
        </w:rPr>
        <w:t>If</w:t>
      </w:r>
      <w:r w:rsidR="00EF3A1D" w:rsidRPr="002F0E6F">
        <w:rPr>
          <w:lang w:val="en-AU"/>
        </w:rPr>
        <w:t xml:space="preserve">, however, </w:t>
      </w:r>
      <w:r w:rsidR="0064300F" w:rsidRPr="002F0E6F">
        <w:rPr>
          <w:lang w:val="en-AU"/>
        </w:rPr>
        <w:t xml:space="preserve">a transaction </w:t>
      </w:r>
      <w:r w:rsidRPr="002F0E6F">
        <w:rPr>
          <w:lang w:val="en-AU"/>
        </w:rPr>
        <w:t xml:space="preserve">is made in circumstances of </w:t>
      </w:r>
      <w:r w:rsidR="003F51A3" w:rsidRPr="002F0E6F">
        <w:rPr>
          <w:lang w:val="en-AU"/>
        </w:rPr>
        <w:t xml:space="preserve">unconscionability </w:t>
      </w:r>
      <w:r w:rsidRPr="002F0E6F">
        <w:rPr>
          <w:lang w:val="en-AU"/>
        </w:rPr>
        <w:t>or und</w:t>
      </w:r>
      <w:r w:rsidR="00000703" w:rsidRPr="002F0E6F">
        <w:rPr>
          <w:lang w:val="en-AU"/>
        </w:rPr>
        <w:t>ue</w:t>
      </w:r>
      <w:r w:rsidRPr="002F0E6F">
        <w:rPr>
          <w:lang w:val="en-AU"/>
        </w:rPr>
        <w:t xml:space="preserve"> influence</w:t>
      </w:r>
      <w:r w:rsidR="00EF3A1D" w:rsidRPr="002F0E6F">
        <w:rPr>
          <w:lang w:val="en-AU"/>
        </w:rPr>
        <w:t>,</w:t>
      </w:r>
      <w:r w:rsidRPr="002F0E6F">
        <w:rPr>
          <w:lang w:val="en-AU"/>
        </w:rPr>
        <w:t xml:space="preserve"> it may be set aside in </w:t>
      </w:r>
      <w:r w:rsidRPr="00694350">
        <w:t>equity</w:t>
      </w:r>
      <w:r w:rsidR="0064300F" w:rsidRPr="002F0E6F">
        <w:rPr>
          <w:lang w:val="en-AU"/>
        </w:rPr>
        <w:t xml:space="preserve">. In </w:t>
      </w:r>
      <w:r w:rsidR="00C71B62">
        <w:rPr>
          <w:lang w:val="en-AU"/>
        </w:rPr>
        <w:t>such a</w:t>
      </w:r>
      <w:r w:rsidR="00C71B62" w:rsidRPr="002F0E6F">
        <w:rPr>
          <w:lang w:val="en-AU"/>
        </w:rPr>
        <w:t xml:space="preserve"> </w:t>
      </w:r>
      <w:r w:rsidR="0064300F" w:rsidRPr="002F0E6F">
        <w:rPr>
          <w:lang w:val="en-AU"/>
        </w:rPr>
        <w:t>case, the asset would</w:t>
      </w:r>
      <w:r w:rsidRPr="002F0E6F">
        <w:rPr>
          <w:lang w:val="en-AU"/>
        </w:rPr>
        <w:t xml:space="preserve"> </w:t>
      </w:r>
      <w:r w:rsidR="00000703" w:rsidRPr="002F0E6F">
        <w:rPr>
          <w:lang w:val="en-AU"/>
        </w:rPr>
        <w:t xml:space="preserve">become </w:t>
      </w:r>
      <w:r w:rsidRPr="002F0E6F">
        <w:rPr>
          <w:lang w:val="en-AU"/>
        </w:rPr>
        <w:t xml:space="preserve">available to satisfy </w:t>
      </w:r>
      <w:r w:rsidR="0064300F" w:rsidRPr="002F0E6F">
        <w:rPr>
          <w:lang w:val="en-AU"/>
        </w:rPr>
        <w:t>a</w:t>
      </w:r>
      <w:r w:rsidRPr="002F0E6F">
        <w:rPr>
          <w:lang w:val="en-AU"/>
        </w:rPr>
        <w:t xml:space="preserve"> </w:t>
      </w:r>
      <w:r w:rsidR="00D764A8" w:rsidRPr="002F0E6F">
        <w:rPr>
          <w:lang w:val="en-AU"/>
        </w:rPr>
        <w:t xml:space="preserve">TFM </w:t>
      </w:r>
      <w:r w:rsidRPr="002F0E6F">
        <w:rPr>
          <w:lang w:val="en-AU"/>
        </w:rPr>
        <w:t xml:space="preserve">claim. </w:t>
      </w:r>
      <w:r w:rsidR="00C71B62">
        <w:rPr>
          <w:lang w:val="en-AU"/>
        </w:rPr>
        <w:t>For</w:t>
      </w:r>
      <w:r w:rsidRPr="00C71B62">
        <w:rPr>
          <w:lang w:val="en-AU"/>
        </w:rPr>
        <w:t xml:space="preserve"> </w:t>
      </w:r>
      <w:r w:rsidR="00D764A8" w:rsidRPr="00C71B62">
        <w:rPr>
          <w:lang w:val="en-AU"/>
        </w:rPr>
        <w:t>example</w:t>
      </w:r>
      <w:r w:rsidR="00C71B62">
        <w:rPr>
          <w:lang w:val="en-AU"/>
        </w:rPr>
        <w:t>,</w:t>
      </w:r>
      <w:r w:rsidRPr="00C71B62">
        <w:rPr>
          <w:lang w:val="en-AU"/>
        </w:rPr>
        <w:t xml:space="preserve"> </w:t>
      </w:r>
      <w:r w:rsidR="00C71B62">
        <w:rPr>
          <w:lang w:val="en-AU"/>
        </w:rPr>
        <w:t>in</w:t>
      </w:r>
      <w:r w:rsidR="00C71B62" w:rsidRPr="00C71B62">
        <w:rPr>
          <w:lang w:val="en-AU"/>
        </w:rPr>
        <w:t xml:space="preserve"> </w:t>
      </w:r>
      <w:r w:rsidRPr="00C71B62">
        <w:rPr>
          <w:i/>
          <w:lang w:val="en-AU"/>
        </w:rPr>
        <w:t>Bridgewater v Le</w:t>
      </w:r>
      <w:r w:rsidR="003F51A3" w:rsidRPr="00C71B62">
        <w:rPr>
          <w:i/>
          <w:lang w:val="en-AU"/>
        </w:rPr>
        <w:t>a</w:t>
      </w:r>
      <w:r w:rsidRPr="00C71B62">
        <w:rPr>
          <w:i/>
          <w:lang w:val="en-AU"/>
        </w:rPr>
        <w:t>hy</w:t>
      </w:r>
      <w:r w:rsidR="00C71B62">
        <w:rPr>
          <w:iCs/>
          <w:lang w:val="en-AU"/>
        </w:rPr>
        <w:t>,</w:t>
      </w:r>
      <w:r w:rsidR="003D3DD8" w:rsidRPr="003A535B">
        <w:rPr>
          <w:rStyle w:val="FootnoteReference"/>
        </w:rPr>
        <w:footnoteReference w:id="41"/>
      </w:r>
      <w:r w:rsidRPr="00C71B62">
        <w:rPr>
          <w:lang w:val="en-AU"/>
        </w:rPr>
        <w:t xml:space="preserve"> a testator ha</w:t>
      </w:r>
      <w:r w:rsidR="00000703" w:rsidRPr="00C71B62">
        <w:rPr>
          <w:lang w:val="en-AU"/>
        </w:rPr>
        <w:t>d</w:t>
      </w:r>
      <w:r w:rsidRPr="00C71B62">
        <w:rPr>
          <w:lang w:val="en-AU"/>
        </w:rPr>
        <w:t xml:space="preserve"> sold a por</w:t>
      </w:r>
      <w:r w:rsidRPr="00A91DD7">
        <w:rPr>
          <w:lang w:val="en-AU"/>
        </w:rPr>
        <w:t xml:space="preserve">tion of his </w:t>
      </w:r>
      <w:r w:rsidRPr="00C71B62">
        <w:rPr>
          <w:lang w:val="en-AU"/>
        </w:rPr>
        <w:t>property to his nephew for its true value, but by deed had forgiven a substantial portion of the debt. The nephew also benefitted under the testator’s will by being gifted an option to purchase the testator’s rural property substantial</w:t>
      </w:r>
      <w:r w:rsidR="009A138F" w:rsidRPr="00C71B62">
        <w:rPr>
          <w:lang w:val="en-AU"/>
        </w:rPr>
        <w:t>ly</w:t>
      </w:r>
      <w:r w:rsidRPr="00C71B62">
        <w:rPr>
          <w:lang w:val="en-AU"/>
        </w:rPr>
        <w:t xml:space="preserve"> under value. An application to set aside by the widow and daughters of the testator, who were otherwise barely provided for in the will, was successful. The court held that the testator was in a disadvantaged position when the deed was executed, having an emoti</w:t>
      </w:r>
      <w:r w:rsidRPr="00A91DD7">
        <w:rPr>
          <w:lang w:val="en-AU"/>
        </w:rPr>
        <w:t>onal attachment and dependency on the nephew. The nephew had taken advantage of this to secure the benefit.</w:t>
      </w:r>
    </w:p>
    <w:p w14:paraId="00B081A2" w14:textId="127C4E84" w:rsidR="00FC0127" w:rsidRPr="002F0E6F" w:rsidRDefault="00FC0127" w:rsidP="00081784">
      <w:pPr>
        <w:pStyle w:val="NormalNumberedTextTLRI"/>
        <w:rPr>
          <w:lang w:val="en-AU"/>
        </w:rPr>
      </w:pPr>
      <w:r w:rsidRPr="002F0E6F">
        <w:rPr>
          <w:lang w:val="en-AU"/>
        </w:rPr>
        <w:t xml:space="preserve">Transactions that a deceased entered into </w:t>
      </w:r>
      <w:r w:rsidR="00411D5E" w:rsidRPr="002F0E6F">
        <w:rPr>
          <w:lang w:val="en-AU"/>
        </w:rPr>
        <w:t>before</w:t>
      </w:r>
      <w:r w:rsidRPr="002F0E6F">
        <w:rPr>
          <w:lang w:val="en-AU"/>
        </w:rPr>
        <w:t xml:space="preserve"> </w:t>
      </w:r>
      <w:r w:rsidR="005A18F5">
        <w:rPr>
          <w:lang w:val="en-AU"/>
        </w:rPr>
        <w:t>his or her</w:t>
      </w:r>
      <w:r w:rsidR="00081784" w:rsidRPr="002F0E6F">
        <w:rPr>
          <w:lang w:val="en-AU"/>
        </w:rPr>
        <w:t xml:space="preserve"> </w:t>
      </w:r>
      <w:r w:rsidRPr="002F0E6F">
        <w:rPr>
          <w:lang w:val="en-AU"/>
        </w:rPr>
        <w:t xml:space="preserve">death where there has been unconscionability or undue influence </w:t>
      </w:r>
      <w:r w:rsidR="00411D5E" w:rsidRPr="002F0E6F">
        <w:rPr>
          <w:lang w:val="en-AU"/>
        </w:rPr>
        <w:t xml:space="preserve">are therefore already able to be addressed and the property restored to a person’s estate </w:t>
      </w:r>
      <w:r w:rsidRPr="002F0E6F">
        <w:rPr>
          <w:lang w:val="en-AU"/>
        </w:rPr>
        <w:t>without the use of notional estate legislation.</w:t>
      </w:r>
    </w:p>
    <w:p w14:paraId="4073B5BA" w14:textId="77777777" w:rsidR="00EF3A1D" w:rsidRPr="002F0E6F" w:rsidRDefault="00EF3A1D" w:rsidP="006828A9">
      <w:pPr>
        <w:pStyle w:val="Sub-HeadingTLRI"/>
        <w:rPr>
          <w:lang w:val="en-AU"/>
        </w:rPr>
      </w:pPr>
      <w:r w:rsidRPr="002F0E6F">
        <w:rPr>
          <w:lang w:val="en-AU"/>
        </w:rPr>
        <w:t xml:space="preserve">Property subject to contract: </w:t>
      </w:r>
      <w:r w:rsidRPr="006828A9">
        <w:t>testamentary</w:t>
      </w:r>
      <w:r w:rsidRPr="002F0E6F">
        <w:rPr>
          <w:lang w:val="en-AU"/>
        </w:rPr>
        <w:t xml:space="preserve"> promises</w:t>
      </w:r>
    </w:p>
    <w:p w14:paraId="74DD1940" w14:textId="082BFAFA" w:rsidR="009A138F" w:rsidRPr="002F0E6F" w:rsidRDefault="00EF3A1D" w:rsidP="003A535B">
      <w:pPr>
        <w:pStyle w:val="NormalNumberedTextTLRI"/>
        <w:rPr>
          <w:lang w:val="en-AU"/>
        </w:rPr>
      </w:pPr>
      <w:r w:rsidRPr="002F0E6F">
        <w:rPr>
          <w:lang w:val="en-AU"/>
        </w:rPr>
        <w:tab/>
        <w:t>It is possible for testators to make contracts with third parties to leave them some property under the</w:t>
      </w:r>
      <w:r w:rsidR="009A138F" w:rsidRPr="002F0E6F">
        <w:rPr>
          <w:lang w:val="en-AU"/>
        </w:rPr>
        <w:t>ir</w:t>
      </w:r>
      <w:r w:rsidRPr="002F0E6F">
        <w:rPr>
          <w:lang w:val="en-AU"/>
        </w:rPr>
        <w:t xml:space="preserve"> will. </w:t>
      </w:r>
      <w:r w:rsidR="009A138F" w:rsidRPr="002F0E6F">
        <w:rPr>
          <w:lang w:val="en-AU"/>
        </w:rPr>
        <w:t xml:space="preserve">A </w:t>
      </w:r>
      <w:r w:rsidR="009A138F" w:rsidRPr="003A535B">
        <w:t>common</w:t>
      </w:r>
      <w:r w:rsidR="009A138F" w:rsidRPr="002F0E6F">
        <w:rPr>
          <w:lang w:val="en-AU"/>
        </w:rPr>
        <w:t xml:space="preserve"> example is where spouses make an agreement with each other to make their wills in certain ways.</w:t>
      </w:r>
    </w:p>
    <w:p w14:paraId="320F698D" w14:textId="486F025B" w:rsidR="00EF3A1D" w:rsidRPr="002F0E6F" w:rsidRDefault="00EF3A1D" w:rsidP="003A535B">
      <w:pPr>
        <w:pStyle w:val="NormalNumberedTextTLRI"/>
        <w:rPr>
          <w:lang w:val="en-AU"/>
        </w:rPr>
      </w:pPr>
      <w:r w:rsidRPr="002F0E6F">
        <w:rPr>
          <w:lang w:val="en-AU"/>
        </w:rPr>
        <w:t xml:space="preserve">Prior to the decision of the High Court of Australia in </w:t>
      </w:r>
      <w:r w:rsidRPr="002F0E6F">
        <w:rPr>
          <w:i/>
          <w:lang w:val="en-AU"/>
        </w:rPr>
        <w:t>Barns v Barns</w:t>
      </w:r>
      <w:r w:rsidR="009A138F" w:rsidRPr="002F0E6F">
        <w:rPr>
          <w:lang w:val="en-AU"/>
        </w:rPr>
        <w:t>,</w:t>
      </w:r>
      <w:r w:rsidRPr="003A535B">
        <w:rPr>
          <w:rStyle w:val="FootnoteReference"/>
        </w:rPr>
        <w:footnoteReference w:id="42"/>
      </w:r>
      <w:r w:rsidRPr="002F0E6F">
        <w:rPr>
          <w:lang w:val="en-AU"/>
        </w:rPr>
        <w:t xml:space="preserve"> the Privy Council </w:t>
      </w:r>
      <w:r w:rsidR="00C71B62">
        <w:rPr>
          <w:lang w:val="en-AU"/>
        </w:rPr>
        <w:t>had</w:t>
      </w:r>
      <w:r w:rsidR="00C71B62" w:rsidRPr="002F0E6F">
        <w:rPr>
          <w:lang w:val="en-AU"/>
        </w:rPr>
        <w:t xml:space="preserve"> </w:t>
      </w:r>
      <w:r w:rsidRPr="002F0E6F">
        <w:rPr>
          <w:lang w:val="en-AU"/>
        </w:rPr>
        <w:t xml:space="preserve">held that </w:t>
      </w:r>
      <w:r w:rsidR="00AA68F3" w:rsidRPr="002F0E6F">
        <w:rPr>
          <w:lang w:val="en-AU"/>
        </w:rPr>
        <w:t xml:space="preserve">these types of </w:t>
      </w:r>
      <w:r w:rsidRPr="002F0E6F">
        <w:rPr>
          <w:lang w:val="en-AU"/>
        </w:rPr>
        <w:t>contract</w:t>
      </w:r>
      <w:r w:rsidR="00BD0947">
        <w:rPr>
          <w:lang w:val="en-AU"/>
        </w:rPr>
        <w:t>s</w:t>
      </w:r>
      <w:r w:rsidRPr="002F0E6F">
        <w:rPr>
          <w:lang w:val="en-AU"/>
        </w:rPr>
        <w:t xml:space="preserve"> had to be performed before any claim for family </w:t>
      </w:r>
      <w:r w:rsidRPr="003A535B">
        <w:t>provision</w:t>
      </w:r>
      <w:r w:rsidRPr="002F0E6F">
        <w:rPr>
          <w:lang w:val="en-AU"/>
        </w:rPr>
        <w:t xml:space="preserve"> could be entertained.</w:t>
      </w:r>
      <w:r w:rsidR="00C71B62" w:rsidRPr="003A535B">
        <w:rPr>
          <w:rStyle w:val="FootnoteReference"/>
        </w:rPr>
        <w:footnoteReference w:id="43"/>
      </w:r>
      <w:r w:rsidRPr="002F0E6F">
        <w:rPr>
          <w:lang w:val="en-AU"/>
        </w:rPr>
        <w:t xml:space="preserve"> That is, the court had no power to throw any of the burden of </w:t>
      </w:r>
      <w:r w:rsidR="009A138F" w:rsidRPr="002F0E6F">
        <w:rPr>
          <w:lang w:val="en-AU"/>
        </w:rPr>
        <w:t>a</w:t>
      </w:r>
      <w:r w:rsidRPr="002F0E6F">
        <w:rPr>
          <w:lang w:val="en-AU"/>
        </w:rPr>
        <w:t xml:space="preserve"> family provision order on property </w:t>
      </w:r>
      <w:r w:rsidR="009A138F" w:rsidRPr="002F0E6F">
        <w:rPr>
          <w:lang w:val="en-AU"/>
        </w:rPr>
        <w:t>gifted</w:t>
      </w:r>
      <w:r w:rsidRPr="002F0E6F">
        <w:rPr>
          <w:lang w:val="en-AU"/>
        </w:rPr>
        <w:t xml:space="preserve"> by the testator in fulfilment of a promise to do the same.</w:t>
      </w:r>
      <w:r w:rsidRPr="003A535B">
        <w:rPr>
          <w:rStyle w:val="FootnoteReference"/>
        </w:rPr>
        <w:footnoteReference w:id="44"/>
      </w:r>
    </w:p>
    <w:p w14:paraId="6A5CE433" w14:textId="0E4B3F31" w:rsidR="001E64E7" w:rsidRPr="002F0E6F" w:rsidRDefault="00BD0947" w:rsidP="00BD0947">
      <w:pPr>
        <w:pStyle w:val="NormalNumberedTextTLRI"/>
        <w:rPr>
          <w:lang w:val="en-AU"/>
        </w:rPr>
      </w:pPr>
      <w:r>
        <w:rPr>
          <w:lang w:val="en-AU"/>
        </w:rPr>
        <w:t>I</w:t>
      </w:r>
      <w:r w:rsidRPr="002F0E6F">
        <w:rPr>
          <w:lang w:val="en-AU"/>
        </w:rPr>
        <w:t>n</w:t>
      </w:r>
      <w:r w:rsidRPr="002F0E6F">
        <w:rPr>
          <w:i/>
          <w:lang w:val="en-AU"/>
        </w:rPr>
        <w:t xml:space="preserve"> Barns v Barns</w:t>
      </w:r>
      <w:r>
        <w:rPr>
          <w:lang w:val="en-AU"/>
        </w:rPr>
        <w:t xml:space="preserve"> t</w:t>
      </w:r>
      <w:r w:rsidR="00EF3A1D" w:rsidRPr="002F0E6F">
        <w:rPr>
          <w:lang w:val="en-AU"/>
        </w:rPr>
        <w:t xml:space="preserve">he High Court refused to follow </w:t>
      </w:r>
      <w:r w:rsidR="009A138F" w:rsidRPr="002F0E6F">
        <w:rPr>
          <w:lang w:val="en-AU"/>
        </w:rPr>
        <w:t>this authority</w:t>
      </w:r>
      <w:r w:rsidR="00EF3A1D" w:rsidRPr="00642868">
        <w:rPr>
          <w:lang w:val="en-AU"/>
        </w:rPr>
        <w:t>,</w:t>
      </w:r>
      <w:r w:rsidR="00EF3A1D" w:rsidRPr="002F0E6F">
        <w:rPr>
          <w:lang w:val="en-AU"/>
        </w:rPr>
        <w:t xml:space="preserve"> preferring to follow an earlier Privy Council decision</w:t>
      </w:r>
      <w:r w:rsidR="00EF3A1D" w:rsidRPr="003A535B">
        <w:rPr>
          <w:rStyle w:val="FootnoteReference"/>
        </w:rPr>
        <w:footnoteReference w:id="45"/>
      </w:r>
      <w:r w:rsidR="00EF3A1D" w:rsidRPr="002F0E6F">
        <w:rPr>
          <w:lang w:val="en-AU"/>
        </w:rPr>
        <w:t xml:space="preserve"> which held that property the subject of a contract </w:t>
      </w:r>
      <w:r w:rsidR="004723E3" w:rsidRPr="002F0E6F">
        <w:rPr>
          <w:lang w:val="en-AU"/>
        </w:rPr>
        <w:t xml:space="preserve">between parties for one to make their will in a certain way </w:t>
      </w:r>
      <w:r w:rsidR="00EF3A1D" w:rsidRPr="002F0E6F">
        <w:rPr>
          <w:lang w:val="en-AU"/>
        </w:rPr>
        <w:t xml:space="preserve">was indeed available to satisfy an order under family provision legislation. </w:t>
      </w:r>
      <w:r w:rsidR="001E64E7" w:rsidRPr="002F0E6F">
        <w:rPr>
          <w:lang w:val="en-AU"/>
        </w:rPr>
        <w:t xml:space="preserve">In the Tasmanian </w:t>
      </w:r>
      <w:r w:rsidR="00080D38" w:rsidRPr="002F0E6F">
        <w:rPr>
          <w:lang w:val="en-AU"/>
        </w:rPr>
        <w:t>case</w:t>
      </w:r>
      <w:r w:rsidR="001E64E7" w:rsidRPr="002F0E6F">
        <w:rPr>
          <w:lang w:val="en-AU"/>
        </w:rPr>
        <w:t xml:space="preserve"> of </w:t>
      </w:r>
      <w:r w:rsidR="001E64E7" w:rsidRPr="002F0E6F">
        <w:rPr>
          <w:i/>
          <w:lang w:val="en-AU"/>
        </w:rPr>
        <w:t>Calvert v Badenach</w:t>
      </w:r>
      <w:r w:rsidR="001E64E7" w:rsidRPr="002F0E6F">
        <w:rPr>
          <w:lang w:val="en-AU"/>
        </w:rPr>
        <w:t>,</w:t>
      </w:r>
      <w:r w:rsidR="001E64E7" w:rsidRPr="003A535B">
        <w:rPr>
          <w:rStyle w:val="FootnoteReference"/>
        </w:rPr>
        <w:footnoteReference w:id="46"/>
      </w:r>
      <w:r w:rsidR="001E64E7" w:rsidRPr="002F0E6F">
        <w:rPr>
          <w:lang w:val="en-AU"/>
        </w:rPr>
        <w:t xml:space="preserve"> Porter J </w:t>
      </w:r>
      <w:r>
        <w:rPr>
          <w:lang w:val="en-AU"/>
        </w:rPr>
        <w:t>noted</w:t>
      </w:r>
      <w:r w:rsidRPr="002F0E6F">
        <w:rPr>
          <w:lang w:val="en-AU"/>
        </w:rPr>
        <w:t xml:space="preserve"> </w:t>
      </w:r>
      <w:r w:rsidR="001E64E7" w:rsidRPr="002F0E6F">
        <w:rPr>
          <w:lang w:val="en-AU"/>
        </w:rPr>
        <w:t xml:space="preserve">the comments of </w:t>
      </w:r>
      <w:r w:rsidR="001E64E7" w:rsidRPr="002F0E6F">
        <w:rPr>
          <w:lang w:val="en-AU" w:eastAsia="en-AU"/>
        </w:rPr>
        <w:t xml:space="preserve">Gleeson CJ in </w:t>
      </w:r>
      <w:r w:rsidR="001E64E7" w:rsidRPr="002F0E6F">
        <w:rPr>
          <w:i/>
          <w:lang w:val="en-AU" w:eastAsia="en-AU"/>
        </w:rPr>
        <w:t>Barns v Barns</w:t>
      </w:r>
      <w:r w:rsidR="001E64E7" w:rsidRPr="002F0E6F">
        <w:rPr>
          <w:lang w:val="en-AU" w:eastAsia="en-AU"/>
        </w:rPr>
        <w:t>:</w:t>
      </w:r>
    </w:p>
    <w:p w14:paraId="0B5581B0" w14:textId="7417567D" w:rsidR="001E64E7" w:rsidRPr="002F0E6F" w:rsidRDefault="001E64E7" w:rsidP="00C47D98">
      <w:pPr>
        <w:pStyle w:val="QuoteTLRI"/>
      </w:pPr>
      <w:r w:rsidRPr="002F0E6F">
        <w:t xml:space="preserve">Because the [family provision legislation] imposed a restriction on freedom of testamentary disposition, a </w:t>
      </w:r>
      <w:r w:rsidRPr="00FA29DE">
        <w:t>promise</w:t>
      </w:r>
      <w:r w:rsidRPr="002F0E6F">
        <w:t xml:space="preserve"> to make a testamentary disposition was subject to the potential operation of that legislative restriction. The effect of the legislation could have been avoided by a disposition inter vivos so that the deceased died with no estate; that is </w:t>
      </w:r>
      <w:r w:rsidRPr="002F0E6F">
        <w:lastRenderedPageBreak/>
        <w:t>inherent in the scheme of the legislation. But the effect of the legislative restriction on freedom of testamentary disposition cannot be avoided by a promise to make a certain disposition.</w:t>
      </w:r>
      <w:r w:rsidR="00080D38" w:rsidRPr="003A535B">
        <w:rPr>
          <w:rStyle w:val="FootnoteReference"/>
          <w:lang w:val="x-none" w:eastAsia="en-US"/>
        </w:rPr>
        <w:footnoteReference w:id="47"/>
      </w:r>
    </w:p>
    <w:p w14:paraId="21F718B3" w14:textId="5F06D53D" w:rsidR="002014DF" w:rsidRPr="002F0E6F" w:rsidRDefault="002014DF" w:rsidP="00B81A4A">
      <w:pPr>
        <w:pStyle w:val="NumberedHeadingTLRI"/>
        <w:spacing w:before="360" w:after="240"/>
        <w:rPr>
          <w:lang w:val="en-AU"/>
        </w:rPr>
      </w:pPr>
      <w:bookmarkStart w:id="43" w:name="_Toc2256857"/>
      <w:r w:rsidRPr="002F0E6F">
        <w:rPr>
          <w:lang w:val="en-AU"/>
        </w:rPr>
        <w:t xml:space="preserve">Property </w:t>
      </w:r>
      <w:r w:rsidR="002153D8" w:rsidRPr="002F0E6F">
        <w:rPr>
          <w:lang w:val="en-AU"/>
        </w:rPr>
        <w:t>u</w:t>
      </w:r>
      <w:r w:rsidRPr="002F0E6F">
        <w:rPr>
          <w:lang w:val="en-AU"/>
        </w:rPr>
        <w:t xml:space="preserve">navailable to satisfy a </w:t>
      </w:r>
      <w:r w:rsidR="002153D8" w:rsidRPr="002F0E6F">
        <w:rPr>
          <w:lang w:val="en-AU"/>
        </w:rPr>
        <w:t>claim</w:t>
      </w:r>
      <w:bookmarkEnd w:id="43"/>
    </w:p>
    <w:p w14:paraId="38C8E68A" w14:textId="4D371E89" w:rsidR="00AA68F3" w:rsidRPr="002F0E6F" w:rsidRDefault="00AA68F3" w:rsidP="00B81A4A">
      <w:pPr>
        <w:pStyle w:val="NormalNumberedTextTLRI"/>
        <w:spacing w:before="120"/>
        <w:rPr>
          <w:lang w:val="en-AU"/>
        </w:rPr>
      </w:pPr>
      <w:r w:rsidRPr="002F0E6F">
        <w:rPr>
          <w:lang w:val="en-AU"/>
        </w:rPr>
        <w:t xml:space="preserve">This </w:t>
      </w:r>
      <w:r w:rsidRPr="00B81A4A">
        <w:t>next</w:t>
      </w:r>
      <w:r w:rsidRPr="002F0E6F">
        <w:rPr>
          <w:lang w:val="en-AU"/>
        </w:rPr>
        <w:t xml:space="preserve"> section outlines property that may not be available to satisfy a TFM claim, depending on the circumstances.</w:t>
      </w:r>
    </w:p>
    <w:p w14:paraId="35D5A8E6" w14:textId="747E9FE4" w:rsidR="002014DF" w:rsidRPr="002F0E6F" w:rsidRDefault="002014DF">
      <w:pPr>
        <w:pStyle w:val="Sub-HeadingTLRI"/>
        <w:rPr>
          <w:lang w:val="en-AU"/>
        </w:rPr>
      </w:pPr>
      <w:r w:rsidRPr="002F0E6F">
        <w:rPr>
          <w:lang w:val="en-AU"/>
        </w:rPr>
        <w:t>Pre-death gifts and transfers</w:t>
      </w:r>
    </w:p>
    <w:p w14:paraId="3F0267FD" w14:textId="569B5120" w:rsidR="00FC468D" w:rsidRPr="002F0E6F" w:rsidRDefault="002014DF" w:rsidP="007042AA">
      <w:pPr>
        <w:pStyle w:val="NormalNumberedTextTLRI"/>
        <w:rPr>
          <w:lang w:val="en-AU"/>
        </w:rPr>
      </w:pPr>
      <w:r w:rsidRPr="002F0E6F">
        <w:rPr>
          <w:lang w:val="en-AU"/>
        </w:rPr>
        <w:t>T</w:t>
      </w:r>
      <w:r w:rsidR="0064300F" w:rsidRPr="002F0E6F">
        <w:rPr>
          <w:lang w:val="en-AU"/>
        </w:rPr>
        <w:t>he present</w:t>
      </w:r>
      <w:r w:rsidRPr="002F0E6F">
        <w:rPr>
          <w:lang w:val="en-AU"/>
        </w:rPr>
        <w:t xml:space="preserve"> law</w:t>
      </w:r>
      <w:r w:rsidR="0064300F" w:rsidRPr="002F0E6F">
        <w:rPr>
          <w:lang w:val="en-AU"/>
        </w:rPr>
        <w:t xml:space="preserve"> provides </w:t>
      </w:r>
      <w:r w:rsidR="00975D30" w:rsidRPr="002F0E6F">
        <w:rPr>
          <w:lang w:val="en-AU"/>
        </w:rPr>
        <w:t xml:space="preserve">scope </w:t>
      </w:r>
      <w:r w:rsidR="00FC0127" w:rsidRPr="002F0E6F">
        <w:rPr>
          <w:lang w:val="en-AU"/>
        </w:rPr>
        <w:t>for</w:t>
      </w:r>
      <w:r w:rsidR="00975D30" w:rsidRPr="002F0E6F">
        <w:rPr>
          <w:lang w:val="en-AU"/>
        </w:rPr>
        <w:t xml:space="preserve"> potential </w:t>
      </w:r>
      <w:r w:rsidR="002153D8" w:rsidRPr="002F0E6F">
        <w:rPr>
          <w:lang w:val="en-AU"/>
        </w:rPr>
        <w:t xml:space="preserve">TFM </w:t>
      </w:r>
      <w:r w:rsidR="000F26CF" w:rsidRPr="002F0E6F">
        <w:rPr>
          <w:lang w:val="en-AU"/>
        </w:rPr>
        <w:t>claim</w:t>
      </w:r>
      <w:r w:rsidR="00FC0127" w:rsidRPr="002F0E6F">
        <w:rPr>
          <w:lang w:val="en-AU"/>
        </w:rPr>
        <w:t>s to be defeated</w:t>
      </w:r>
      <w:r w:rsidR="00975D30" w:rsidRPr="002F0E6F">
        <w:rPr>
          <w:lang w:val="en-AU"/>
        </w:rPr>
        <w:t xml:space="preserve"> </w:t>
      </w:r>
      <w:r w:rsidR="002153D8" w:rsidRPr="002F0E6F">
        <w:rPr>
          <w:lang w:val="en-AU"/>
        </w:rPr>
        <w:t>through a person</w:t>
      </w:r>
      <w:r w:rsidR="00975D30" w:rsidRPr="002F0E6F">
        <w:rPr>
          <w:lang w:val="en-AU"/>
        </w:rPr>
        <w:t xml:space="preserve"> removing property from </w:t>
      </w:r>
      <w:r w:rsidR="00975D30" w:rsidRPr="007042AA">
        <w:t>the</w:t>
      </w:r>
      <w:r w:rsidR="000F26CF" w:rsidRPr="007042AA">
        <w:t>ir</w:t>
      </w:r>
      <w:r w:rsidR="00975D30" w:rsidRPr="002F0E6F">
        <w:rPr>
          <w:lang w:val="en-AU"/>
        </w:rPr>
        <w:t xml:space="preserve"> estate, for example by making gifts prior to death. If </w:t>
      </w:r>
      <w:r w:rsidR="002153D8" w:rsidRPr="002F0E6F">
        <w:rPr>
          <w:lang w:val="en-AU"/>
        </w:rPr>
        <w:t>a</w:t>
      </w:r>
      <w:r w:rsidR="00975D30" w:rsidRPr="002F0E6F">
        <w:rPr>
          <w:lang w:val="en-AU"/>
        </w:rPr>
        <w:t xml:space="preserve"> gift is effective,</w:t>
      </w:r>
      <w:r w:rsidR="00AA68F3" w:rsidRPr="00E64828">
        <w:rPr>
          <w:rStyle w:val="FootnoteReference"/>
        </w:rPr>
        <w:footnoteReference w:id="48"/>
      </w:r>
      <w:r w:rsidR="00975D30" w:rsidRPr="002F0E6F">
        <w:rPr>
          <w:lang w:val="en-AU"/>
        </w:rPr>
        <w:t xml:space="preserve"> the Court has no jurisdiction to touch that property (as it does not constitute the ‘estate’ of the deceased)</w:t>
      </w:r>
      <w:r w:rsidR="004930BF" w:rsidRPr="002F0E6F">
        <w:rPr>
          <w:lang w:val="en-AU"/>
        </w:rPr>
        <w:t>. I</w:t>
      </w:r>
      <w:r w:rsidR="00975D30" w:rsidRPr="002F0E6F">
        <w:rPr>
          <w:lang w:val="en-AU"/>
        </w:rPr>
        <w:t xml:space="preserve">t is irrelevant </w:t>
      </w:r>
      <w:r w:rsidR="002153D8" w:rsidRPr="002F0E6F">
        <w:rPr>
          <w:lang w:val="en-AU"/>
        </w:rPr>
        <w:t>whether the</w:t>
      </w:r>
      <w:r w:rsidR="00975D30" w:rsidRPr="002F0E6F">
        <w:rPr>
          <w:lang w:val="en-AU"/>
        </w:rPr>
        <w:t xml:space="preserve"> gift was made with the purpose of defeating a potential claim.</w:t>
      </w:r>
      <w:r w:rsidR="00975D30" w:rsidRPr="00E64828">
        <w:rPr>
          <w:rStyle w:val="FootnoteReference"/>
        </w:rPr>
        <w:footnoteReference w:id="49"/>
      </w:r>
    </w:p>
    <w:p w14:paraId="12057E89" w14:textId="78080B4B" w:rsidR="00897F4D" w:rsidRPr="00E62FC0" w:rsidRDefault="00897F4D" w:rsidP="00D7593E">
      <w:pPr>
        <w:pStyle w:val="QuoteTLRI"/>
        <w:pBdr>
          <w:top w:val="single" w:sz="4" w:space="1" w:color="auto"/>
          <w:left w:val="single" w:sz="4" w:space="4" w:color="auto"/>
          <w:bottom w:val="single" w:sz="4" w:space="1" w:color="auto"/>
          <w:right w:val="single" w:sz="4" w:space="4" w:color="auto"/>
        </w:pBdr>
        <w:spacing w:after="120"/>
      </w:pPr>
      <w:r w:rsidRPr="00D7593E">
        <w:rPr>
          <w:b/>
        </w:rPr>
        <w:t>Example</w:t>
      </w:r>
      <w:r w:rsidRPr="00E62FC0">
        <w:t>:</w:t>
      </w:r>
    </w:p>
    <w:p w14:paraId="67A62B4A" w14:textId="3312086E" w:rsidR="00897F4D" w:rsidRPr="00E62FC0" w:rsidRDefault="00897F4D" w:rsidP="00D7593E">
      <w:pPr>
        <w:pStyle w:val="QuoteTLRI"/>
        <w:pBdr>
          <w:top w:val="single" w:sz="4" w:space="1" w:color="auto"/>
          <w:left w:val="single" w:sz="4" w:space="4" w:color="auto"/>
          <w:bottom w:val="single" w:sz="4" w:space="1" w:color="auto"/>
          <w:right w:val="single" w:sz="4" w:space="4" w:color="auto"/>
        </w:pBdr>
      </w:pPr>
      <w:r w:rsidRPr="00E62FC0">
        <w:t>Mr Smith has three adult children. His only substantial asset is a dairy farm at Deloraine. His daughter helps with the farming operations as well as living with Mr Smith and assisting him with domestic tasks. Mr Smith does not have a close relationship with his two sons who live interstate.</w:t>
      </w:r>
    </w:p>
    <w:p w14:paraId="30A6761B" w14:textId="55DA25E6" w:rsidR="00897F4D" w:rsidRPr="00E62FC0" w:rsidRDefault="00897F4D" w:rsidP="00D7593E">
      <w:pPr>
        <w:pStyle w:val="QuoteTLRI"/>
        <w:pBdr>
          <w:top w:val="single" w:sz="4" w:space="1" w:color="auto"/>
          <w:left w:val="single" w:sz="4" w:space="4" w:color="auto"/>
          <w:bottom w:val="single" w:sz="4" w:space="1" w:color="auto"/>
          <w:right w:val="single" w:sz="4" w:space="4" w:color="auto"/>
        </w:pBdr>
      </w:pPr>
      <w:r w:rsidRPr="00E62FC0">
        <w:t xml:space="preserve">Mr Smith </w:t>
      </w:r>
      <w:r w:rsidR="001350E2" w:rsidRPr="00E62FC0">
        <w:t>wants</w:t>
      </w:r>
      <w:r w:rsidRPr="00E62FC0">
        <w:t xml:space="preserve"> his daughter to take over the farm on his death. He is adamant that he does not want the farm to be sold and is worried that this might happen if his sons were to claim a share of his estate after his death.</w:t>
      </w:r>
    </w:p>
    <w:p w14:paraId="0DAA0881" w14:textId="7751954C" w:rsidR="00897F4D" w:rsidRPr="00E62FC0" w:rsidRDefault="00897F4D" w:rsidP="00D7593E">
      <w:pPr>
        <w:pStyle w:val="QuoteTLRI"/>
        <w:pBdr>
          <w:top w:val="single" w:sz="4" w:space="1" w:color="auto"/>
          <w:left w:val="single" w:sz="4" w:space="4" w:color="auto"/>
          <w:bottom w:val="single" w:sz="4" w:space="1" w:color="auto"/>
          <w:right w:val="single" w:sz="4" w:space="4" w:color="auto"/>
        </w:pBdr>
      </w:pPr>
      <w:r w:rsidRPr="00E62FC0">
        <w:t xml:space="preserve">Mr Smith therefore decides to transfer </w:t>
      </w:r>
      <w:r w:rsidR="00D810C6" w:rsidRPr="00E62FC0">
        <w:t xml:space="preserve">(gift) </w:t>
      </w:r>
      <w:r w:rsidRPr="00E62FC0">
        <w:t xml:space="preserve">the farm to his daughter during his life. The effect is that, on Mr Smith’s death, the farm does not form part of his estate. It is unable to be claimed by his sons via a TFM claim. </w:t>
      </w:r>
    </w:p>
    <w:p w14:paraId="1BE37CCE" w14:textId="77777777" w:rsidR="005A3CFF" w:rsidRPr="002F0E6F" w:rsidRDefault="005A3CFF" w:rsidP="002014DF">
      <w:pPr>
        <w:pStyle w:val="Sub-HeadingTLRI"/>
        <w:rPr>
          <w:lang w:val="en-AU"/>
        </w:rPr>
      </w:pPr>
      <w:r w:rsidRPr="002F0E6F">
        <w:rPr>
          <w:lang w:val="en-AU"/>
        </w:rPr>
        <w:t>Joint tenancy property</w:t>
      </w:r>
    </w:p>
    <w:p w14:paraId="2E35B1C7" w14:textId="74B258A2" w:rsidR="002449AC" w:rsidRPr="002F0E6F" w:rsidRDefault="002449AC" w:rsidP="00EC56A4">
      <w:pPr>
        <w:pStyle w:val="NormalNumberedTextTLRI"/>
        <w:rPr>
          <w:lang w:val="en-AU"/>
        </w:rPr>
      </w:pPr>
      <w:r w:rsidRPr="002F0E6F">
        <w:rPr>
          <w:lang w:val="en-AU"/>
        </w:rPr>
        <w:t>Property held jointly with another person may be held in a ‘joint tenancy’ form of ownership or a ‘tenancy in common’ form of ownership. Each are treated differently. Co-owned assets held as joint tenants do not form part of a person’s estate, whilst interests held jointly as tenants in common do form part of a</w:t>
      </w:r>
      <w:r w:rsidR="0070057D" w:rsidRPr="002F0E6F">
        <w:rPr>
          <w:lang w:val="en-AU"/>
        </w:rPr>
        <w:t xml:space="preserve">n </w:t>
      </w:r>
      <w:r w:rsidRPr="002F0E6F">
        <w:rPr>
          <w:lang w:val="en-AU"/>
        </w:rPr>
        <w:t>estate.</w:t>
      </w:r>
    </w:p>
    <w:p w14:paraId="7D2F2BC6" w14:textId="53F2066B" w:rsidR="00C0439A" w:rsidRPr="002F0E6F" w:rsidRDefault="002449AC" w:rsidP="00EC56A4">
      <w:pPr>
        <w:pStyle w:val="NormalNumberedTextTLRI"/>
        <w:rPr>
          <w:lang w:val="en-AU"/>
        </w:rPr>
      </w:pPr>
      <w:r w:rsidRPr="002F0E6F">
        <w:rPr>
          <w:lang w:val="en-AU"/>
        </w:rPr>
        <w:t>The legal effect of</w:t>
      </w:r>
      <w:r w:rsidR="005A3CFF" w:rsidRPr="002F0E6F">
        <w:rPr>
          <w:lang w:val="en-AU"/>
        </w:rPr>
        <w:t xml:space="preserve"> joint tenancy</w:t>
      </w:r>
      <w:r w:rsidR="00E91D0D" w:rsidRPr="002F0E6F">
        <w:rPr>
          <w:lang w:val="en-AU"/>
        </w:rPr>
        <w:t xml:space="preserve"> ownership</w:t>
      </w:r>
      <w:r w:rsidR="005A3CFF" w:rsidRPr="002F0E6F">
        <w:rPr>
          <w:lang w:val="en-AU"/>
        </w:rPr>
        <w:t xml:space="preserve"> is to </w:t>
      </w:r>
      <w:r w:rsidR="00C76CA1" w:rsidRPr="002F0E6F">
        <w:rPr>
          <w:lang w:val="en-AU"/>
        </w:rPr>
        <w:t xml:space="preserve">automatically </w:t>
      </w:r>
      <w:r w:rsidR="005A3CFF" w:rsidRPr="002F0E6F">
        <w:rPr>
          <w:lang w:val="en-AU"/>
        </w:rPr>
        <w:t xml:space="preserve">vest </w:t>
      </w:r>
      <w:r w:rsidRPr="002F0E6F">
        <w:rPr>
          <w:lang w:val="en-AU"/>
        </w:rPr>
        <w:t>a co-owner’s interest in the</w:t>
      </w:r>
      <w:r w:rsidR="005A3CFF" w:rsidRPr="002F0E6F">
        <w:rPr>
          <w:lang w:val="en-AU"/>
        </w:rPr>
        <w:t xml:space="preserve"> property in </w:t>
      </w:r>
      <w:r w:rsidRPr="002F0E6F">
        <w:rPr>
          <w:lang w:val="en-AU"/>
        </w:rPr>
        <w:t>the</w:t>
      </w:r>
      <w:r w:rsidR="005A3CFF" w:rsidRPr="002F0E6F">
        <w:rPr>
          <w:lang w:val="en-AU"/>
        </w:rPr>
        <w:t xml:space="preserve"> surviving co-owner</w:t>
      </w:r>
      <w:r w:rsidRPr="002F0E6F">
        <w:rPr>
          <w:lang w:val="en-AU"/>
        </w:rPr>
        <w:t>. This is c</w:t>
      </w:r>
      <w:r w:rsidR="00E91D0D" w:rsidRPr="002F0E6F">
        <w:rPr>
          <w:lang w:val="en-AU"/>
        </w:rPr>
        <w:t xml:space="preserve">alled </w:t>
      </w:r>
      <w:r w:rsidR="00222ED1" w:rsidRPr="002F0E6F">
        <w:rPr>
          <w:lang w:val="en-AU"/>
        </w:rPr>
        <w:t>a right of survivorship</w:t>
      </w:r>
      <w:r w:rsidR="005A3CFF" w:rsidRPr="002F0E6F">
        <w:rPr>
          <w:lang w:val="en-AU"/>
        </w:rPr>
        <w:t xml:space="preserve">. </w:t>
      </w:r>
      <w:r w:rsidR="00E91D0D" w:rsidRPr="002F0E6F">
        <w:rPr>
          <w:lang w:val="en-AU"/>
        </w:rPr>
        <w:t>A co-owner</w:t>
      </w:r>
      <w:r w:rsidRPr="002F0E6F">
        <w:rPr>
          <w:lang w:val="en-AU"/>
        </w:rPr>
        <w:t>’</w:t>
      </w:r>
      <w:r w:rsidR="00E91D0D" w:rsidRPr="002F0E6F">
        <w:rPr>
          <w:lang w:val="en-AU"/>
        </w:rPr>
        <w:t>s interest in property held as a joint tenant</w:t>
      </w:r>
      <w:r w:rsidR="005A3CFF" w:rsidRPr="002F0E6F">
        <w:rPr>
          <w:lang w:val="en-AU"/>
        </w:rPr>
        <w:t xml:space="preserve"> is </w:t>
      </w:r>
      <w:r w:rsidRPr="002F0E6F">
        <w:rPr>
          <w:lang w:val="en-AU"/>
        </w:rPr>
        <w:t xml:space="preserve">therefore </w:t>
      </w:r>
      <w:r w:rsidR="005A3CFF" w:rsidRPr="002F0E6F">
        <w:rPr>
          <w:lang w:val="en-AU"/>
        </w:rPr>
        <w:t xml:space="preserve">not an asset that </w:t>
      </w:r>
      <w:r w:rsidR="00E91D0D" w:rsidRPr="002F0E6F">
        <w:rPr>
          <w:lang w:val="en-AU"/>
        </w:rPr>
        <w:t xml:space="preserve">can be gifted via </w:t>
      </w:r>
      <w:r w:rsidRPr="002F0E6F">
        <w:rPr>
          <w:lang w:val="en-AU"/>
        </w:rPr>
        <w:t xml:space="preserve">their </w:t>
      </w:r>
      <w:r w:rsidR="005A3CFF" w:rsidRPr="002F0E6F">
        <w:rPr>
          <w:lang w:val="en-AU"/>
        </w:rPr>
        <w:t xml:space="preserve">will or </w:t>
      </w:r>
      <w:r w:rsidRPr="002F0E6F">
        <w:rPr>
          <w:lang w:val="en-AU"/>
        </w:rPr>
        <w:t xml:space="preserve">dealt </w:t>
      </w:r>
      <w:r w:rsidRPr="002F0E6F">
        <w:rPr>
          <w:lang w:val="en-AU"/>
        </w:rPr>
        <w:lastRenderedPageBreak/>
        <w:t>with under</w:t>
      </w:r>
      <w:r w:rsidR="005A3CFF" w:rsidRPr="002F0E6F">
        <w:rPr>
          <w:lang w:val="en-AU"/>
        </w:rPr>
        <w:t xml:space="preserve"> intestacy. The effect is that </w:t>
      </w:r>
      <w:r w:rsidR="006E2B9F" w:rsidRPr="002F0E6F">
        <w:rPr>
          <w:lang w:val="en-AU"/>
        </w:rPr>
        <w:t xml:space="preserve">a deceased’s interest in </w:t>
      </w:r>
      <w:r w:rsidR="00C76CA1" w:rsidRPr="002F0E6F">
        <w:rPr>
          <w:lang w:val="en-AU"/>
        </w:rPr>
        <w:t>a joint tenancy</w:t>
      </w:r>
      <w:r w:rsidR="00C0439A" w:rsidRPr="002F0E6F">
        <w:rPr>
          <w:lang w:val="en-AU"/>
        </w:rPr>
        <w:t xml:space="preserve"> asset</w:t>
      </w:r>
      <w:r w:rsidR="005A3CFF" w:rsidRPr="002F0E6F">
        <w:rPr>
          <w:lang w:val="en-AU"/>
        </w:rPr>
        <w:t xml:space="preserve"> falls outside of the pool of assets from which </w:t>
      </w:r>
      <w:r w:rsidR="00C76CA1" w:rsidRPr="002F0E6F">
        <w:rPr>
          <w:lang w:val="en-AU"/>
        </w:rPr>
        <w:t xml:space="preserve">provision can be made for a </w:t>
      </w:r>
      <w:r w:rsidR="00EC56A4" w:rsidRPr="002F0E6F">
        <w:rPr>
          <w:lang w:val="en-AU"/>
        </w:rPr>
        <w:t>successful</w:t>
      </w:r>
      <w:r w:rsidR="00C76CA1" w:rsidRPr="002F0E6F">
        <w:rPr>
          <w:lang w:val="en-AU"/>
        </w:rPr>
        <w:t xml:space="preserve"> </w:t>
      </w:r>
      <w:r w:rsidR="005A3CFF" w:rsidRPr="002F0E6F">
        <w:rPr>
          <w:lang w:val="en-AU"/>
        </w:rPr>
        <w:t xml:space="preserve">applicant under the </w:t>
      </w:r>
      <w:r w:rsidR="000C1E64" w:rsidRPr="000C1E64">
        <w:rPr>
          <w:i/>
          <w:lang w:val="en-AU"/>
        </w:rPr>
        <w:t>TFM</w:t>
      </w:r>
      <w:r w:rsidR="000C1E64">
        <w:rPr>
          <w:i/>
          <w:lang w:val="en-AU"/>
        </w:rPr>
        <w:t xml:space="preserve"> </w:t>
      </w:r>
      <w:r w:rsidR="005A3CFF" w:rsidRPr="000C1E64">
        <w:rPr>
          <w:i/>
          <w:lang w:val="en-AU"/>
        </w:rPr>
        <w:t>Act</w:t>
      </w:r>
      <w:r w:rsidR="005A3CFF" w:rsidRPr="002F0E6F">
        <w:rPr>
          <w:lang w:val="en-AU"/>
        </w:rPr>
        <w:t>.</w:t>
      </w:r>
      <w:r w:rsidR="00222ED1" w:rsidRPr="002F0E6F">
        <w:rPr>
          <w:lang w:val="en-AU"/>
        </w:rPr>
        <w:t xml:space="preserve"> </w:t>
      </w:r>
    </w:p>
    <w:p w14:paraId="51E30524" w14:textId="29A9F8E5" w:rsidR="005A3CFF" w:rsidRPr="002F0E6F" w:rsidRDefault="00222ED1" w:rsidP="00EC56A4">
      <w:pPr>
        <w:pStyle w:val="NormalNumberedTextTLRI"/>
        <w:rPr>
          <w:lang w:val="en-AU"/>
        </w:rPr>
      </w:pPr>
      <w:r w:rsidRPr="002F0E6F">
        <w:rPr>
          <w:lang w:val="en-AU"/>
        </w:rPr>
        <w:t xml:space="preserve">This </w:t>
      </w:r>
      <w:r w:rsidRPr="00EC56A4">
        <w:t>situation</w:t>
      </w:r>
      <w:r w:rsidRPr="002F0E6F">
        <w:rPr>
          <w:lang w:val="en-AU"/>
        </w:rPr>
        <w:t xml:space="preserve"> is in contrast to a tenancy in common form of ownership where one co-owner’s share does not automatically vest in a surviving co-owner upon death. Each co-owner holds a distinct share that </w:t>
      </w:r>
      <w:r w:rsidR="006E2B9F" w:rsidRPr="002F0E6F">
        <w:rPr>
          <w:lang w:val="en-AU"/>
        </w:rPr>
        <w:t>then forms part of their estate upon their death</w:t>
      </w:r>
      <w:r w:rsidRPr="002F0E6F">
        <w:rPr>
          <w:lang w:val="en-AU"/>
        </w:rPr>
        <w:t xml:space="preserve">. </w:t>
      </w:r>
    </w:p>
    <w:p w14:paraId="0A657C53" w14:textId="5FB4C825" w:rsidR="00897F4D" w:rsidRPr="00EC56A4" w:rsidRDefault="00897F4D" w:rsidP="000C1E64">
      <w:pPr>
        <w:pStyle w:val="QuoteTLRI"/>
        <w:keepNext/>
        <w:pBdr>
          <w:top w:val="single" w:sz="4" w:space="1" w:color="auto"/>
          <w:left w:val="single" w:sz="4" w:space="4" w:color="auto"/>
          <w:bottom w:val="single" w:sz="4" w:space="1" w:color="auto"/>
          <w:right w:val="single" w:sz="4" w:space="4" w:color="auto"/>
        </w:pBdr>
        <w:spacing w:after="120"/>
      </w:pPr>
      <w:r w:rsidRPr="00D7593E">
        <w:rPr>
          <w:b/>
        </w:rPr>
        <w:t>Example</w:t>
      </w:r>
      <w:r w:rsidRPr="00EC56A4">
        <w:t>:</w:t>
      </w:r>
    </w:p>
    <w:p w14:paraId="356F17EC" w14:textId="387F66DC" w:rsidR="00897F4D" w:rsidRPr="00EC56A4" w:rsidRDefault="00DD2695" w:rsidP="00D7593E">
      <w:pPr>
        <w:pStyle w:val="QuoteTLRI"/>
        <w:pBdr>
          <w:top w:val="single" w:sz="4" w:space="1" w:color="auto"/>
          <w:left w:val="single" w:sz="4" w:space="4" w:color="auto"/>
          <w:bottom w:val="single" w:sz="4" w:space="1" w:color="auto"/>
          <w:right w:val="single" w:sz="4" w:space="4" w:color="auto"/>
        </w:pBdr>
      </w:pPr>
      <w:r w:rsidRPr="00EC56A4">
        <w:t>Lucinda</w:t>
      </w:r>
      <w:r w:rsidR="00897F4D" w:rsidRPr="00EC56A4">
        <w:t xml:space="preserve"> </w:t>
      </w:r>
      <w:r w:rsidR="00BF07AB" w:rsidRPr="00EC56A4">
        <w:t xml:space="preserve">and </w:t>
      </w:r>
      <w:r w:rsidRPr="00EC56A4">
        <w:t>Gary</w:t>
      </w:r>
      <w:r w:rsidR="00BF07AB" w:rsidRPr="00EC56A4">
        <w:t xml:space="preserve"> commence</w:t>
      </w:r>
      <w:r w:rsidR="00897F4D" w:rsidRPr="00EC56A4">
        <w:t xml:space="preserve"> a relationship </w:t>
      </w:r>
      <w:r w:rsidR="00432DD0" w:rsidRPr="00EC56A4">
        <w:t xml:space="preserve">in their </w:t>
      </w:r>
      <w:r w:rsidR="000C0A3F">
        <w:t>sixties</w:t>
      </w:r>
      <w:r w:rsidR="00432DD0" w:rsidRPr="00EC56A4">
        <w:t xml:space="preserve">. Both have children from previous relationships. </w:t>
      </w:r>
      <w:r w:rsidRPr="00EC56A4">
        <w:t>Lucinda</w:t>
      </w:r>
      <w:r w:rsidR="00432DD0" w:rsidRPr="00EC56A4">
        <w:t xml:space="preserve"> owns a </w:t>
      </w:r>
      <w:r w:rsidR="00BF07AB" w:rsidRPr="00EC56A4">
        <w:t>house</w:t>
      </w:r>
      <w:r w:rsidR="00432DD0" w:rsidRPr="00EC56A4">
        <w:t xml:space="preserve"> at Smithton in her sole name</w:t>
      </w:r>
      <w:r w:rsidR="00D86D7F" w:rsidRPr="00EC56A4">
        <w:t xml:space="preserve"> which </w:t>
      </w:r>
      <w:r w:rsidR="000B5D1D" w:rsidRPr="00EC56A4">
        <w:t xml:space="preserve">she received </w:t>
      </w:r>
      <w:r w:rsidR="00D86D7F" w:rsidRPr="00EC56A4">
        <w:t>from her late husband’s estate</w:t>
      </w:r>
      <w:r w:rsidR="000B5D1D" w:rsidRPr="00EC56A4">
        <w:t>.</w:t>
      </w:r>
    </w:p>
    <w:p w14:paraId="0EFB67D0" w14:textId="5F9C5D39" w:rsidR="00A12FC1" w:rsidRPr="00EC56A4" w:rsidRDefault="00DD2695" w:rsidP="00D7593E">
      <w:pPr>
        <w:pStyle w:val="QuoteTLRI"/>
        <w:pBdr>
          <w:top w:val="single" w:sz="4" w:space="1" w:color="auto"/>
          <w:left w:val="single" w:sz="4" w:space="4" w:color="auto"/>
          <w:bottom w:val="single" w:sz="4" w:space="1" w:color="auto"/>
          <w:right w:val="single" w:sz="4" w:space="4" w:color="auto"/>
        </w:pBdr>
      </w:pPr>
      <w:r w:rsidRPr="00EC56A4">
        <w:t>Lucinda</w:t>
      </w:r>
      <w:r w:rsidR="000B5D1D" w:rsidRPr="00EC56A4">
        <w:t xml:space="preserve"> wants to make a will that leaves the property to </w:t>
      </w:r>
      <w:r w:rsidRPr="00EC56A4">
        <w:t>Gary</w:t>
      </w:r>
      <w:r w:rsidR="000B5D1D" w:rsidRPr="00EC56A4">
        <w:t>.</w:t>
      </w:r>
      <w:r w:rsidR="00B53F0A" w:rsidRPr="00EC56A4">
        <w:t xml:space="preserve"> </w:t>
      </w:r>
    </w:p>
    <w:p w14:paraId="54F011AF" w14:textId="11B74527" w:rsidR="000B5D1D" w:rsidRPr="00EC56A4" w:rsidRDefault="00DD2695" w:rsidP="00D7593E">
      <w:pPr>
        <w:pStyle w:val="QuoteTLRI"/>
        <w:pBdr>
          <w:top w:val="single" w:sz="4" w:space="1" w:color="auto"/>
          <w:left w:val="single" w:sz="4" w:space="4" w:color="auto"/>
          <w:bottom w:val="single" w:sz="4" w:space="1" w:color="auto"/>
          <w:right w:val="single" w:sz="4" w:space="4" w:color="auto"/>
        </w:pBdr>
      </w:pPr>
      <w:r w:rsidRPr="00EC56A4">
        <w:t>Lucinda</w:t>
      </w:r>
      <w:r w:rsidR="00D86D7F" w:rsidRPr="00EC56A4">
        <w:t xml:space="preserve"> </w:t>
      </w:r>
      <w:r w:rsidR="00B53F0A" w:rsidRPr="00EC56A4">
        <w:t xml:space="preserve">learns that her children will be able to challenge a gift of the </w:t>
      </w:r>
      <w:r w:rsidR="007033BB" w:rsidRPr="00EC56A4">
        <w:t>house</w:t>
      </w:r>
      <w:r w:rsidR="00B53F0A" w:rsidRPr="00EC56A4">
        <w:t xml:space="preserve"> to </w:t>
      </w:r>
      <w:r w:rsidRPr="00EC56A4">
        <w:t xml:space="preserve">Gary </w:t>
      </w:r>
      <w:r w:rsidR="00EC56A4">
        <w:t xml:space="preserve">in </w:t>
      </w:r>
      <w:r w:rsidR="00B53F0A" w:rsidRPr="00EC56A4">
        <w:t xml:space="preserve">her will. She also learns that, if the property </w:t>
      </w:r>
      <w:r w:rsidR="00D86D7F" w:rsidRPr="00EC56A4">
        <w:t>was</w:t>
      </w:r>
      <w:r w:rsidR="00B53F0A" w:rsidRPr="00EC56A4">
        <w:t xml:space="preserve"> held by </w:t>
      </w:r>
      <w:r w:rsidR="007033BB" w:rsidRPr="00EC56A4">
        <w:t xml:space="preserve">them </w:t>
      </w:r>
      <w:r w:rsidR="00B53F0A" w:rsidRPr="00EC56A4">
        <w:t xml:space="preserve">as joint tenants, </w:t>
      </w:r>
      <w:r w:rsidRPr="00EC56A4">
        <w:t xml:space="preserve">Gary </w:t>
      </w:r>
      <w:r w:rsidR="00B53F0A" w:rsidRPr="00EC56A4">
        <w:t xml:space="preserve">will automatically receive </w:t>
      </w:r>
      <w:r w:rsidR="007033BB" w:rsidRPr="00EC56A4">
        <w:t>it</w:t>
      </w:r>
      <w:r w:rsidR="00B53F0A" w:rsidRPr="00EC56A4">
        <w:t xml:space="preserve"> and it will not form part of </w:t>
      </w:r>
      <w:r w:rsidRPr="00EC56A4">
        <w:t xml:space="preserve">Lucinda’s </w:t>
      </w:r>
      <w:r w:rsidR="00B53F0A" w:rsidRPr="00EC56A4">
        <w:t>estate</w:t>
      </w:r>
      <w:r w:rsidR="00265FFB">
        <w:t xml:space="preserve"> and</w:t>
      </w:r>
      <w:r w:rsidR="00B53F0A" w:rsidRPr="00EC56A4">
        <w:t xml:space="preserve"> able to be challenged. She therefore decides to transfer the </w:t>
      </w:r>
      <w:r w:rsidR="007033BB" w:rsidRPr="00EC56A4">
        <w:t>house</w:t>
      </w:r>
      <w:r w:rsidR="00B53F0A" w:rsidRPr="00EC56A4">
        <w:t xml:space="preserve"> </w:t>
      </w:r>
      <w:r w:rsidR="00D86D7F" w:rsidRPr="00EC56A4">
        <w:t xml:space="preserve">so that she and </w:t>
      </w:r>
      <w:r w:rsidRPr="00EC56A4">
        <w:t xml:space="preserve">Gary </w:t>
      </w:r>
      <w:r w:rsidR="00D86D7F" w:rsidRPr="00EC56A4">
        <w:t xml:space="preserve">own </w:t>
      </w:r>
      <w:r w:rsidR="007033BB" w:rsidRPr="00EC56A4">
        <w:t>it</w:t>
      </w:r>
      <w:r w:rsidR="00D86D7F" w:rsidRPr="00EC56A4">
        <w:t xml:space="preserve"> as joint tenants.</w:t>
      </w:r>
    </w:p>
    <w:p w14:paraId="1A6C4632" w14:textId="3ACB2912" w:rsidR="00D86D7F" w:rsidRPr="00EC56A4" w:rsidRDefault="00D86D7F" w:rsidP="00D7593E">
      <w:pPr>
        <w:pStyle w:val="QuoteTLRI"/>
        <w:pBdr>
          <w:top w:val="single" w:sz="4" w:space="1" w:color="auto"/>
          <w:left w:val="single" w:sz="4" w:space="4" w:color="auto"/>
          <w:bottom w:val="single" w:sz="4" w:space="1" w:color="auto"/>
          <w:right w:val="single" w:sz="4" w:space="4" w:color="auto"/>
        </w:pBdr>
      </w:pPr>
      <w:r w:rsidRPr="00EC56A4">
        <w:t xml:space="preserve">On her death, </w:t>
      </w:r>
      <w:r w:rsidR="00DD2695" w:rsidRPr="00EC56A4">
        <w:t xml:space="preserve">Lucinda’s </w:t>
      </w:r>
      <w:r w:rsidRPr="00EC56A4">
        <w:t xml:space="preserve">children are unable to claim any share of the </w:t>
      </w:r>
      <w:r w:rsidR="007033BB" w:rsidRPr="00EC56A4">
        <w:t>house</w:t>
      </w:r>
      <w:r w:rsidRPr="00EC56A4">
        <w:t xml:space="preserve"> as </w:t>
      </w:r>
      <w:r w:rsidR="00DD2695" w:rsidRPr="00EC56A4">
        <w:t xml:space="preserve">Gary </w:t>
      </w:r>
      <w:r w:rsidRPr="00EC56A4">
        <w:t>automatically receives the property as the surviving joint tenant.</w:t>
      </w:r>
    </w:p>
    <w:p w14:paraId="52D611B0" w14:textId="287359AF" w:rsidR="00942381" w:rsidRPr="002F0E6F" w:rsidRDefault="00942381" w:rsidP="00BB4749">
      <w:pPr>
        <w:pStyle w:val="NormalNumberedTextTLRI"/>
        <w:rPr>
          <w:lang w:val="en-AU"/>
        </w:rPr>
      </w:pPr>
      <w:r w:rsidRPr="002F0E6F">
        <w:rPr>
          <w:lang w:val="en-AU"/>
        </w:rPr>
        <w:t xml:space="preserve">The case of </w:t>
      </w:r>
      <w:r w:rsidRPr="002F0E6F">
        <w:rPr>
          <w:i/>
          <w:lang w:val="en-AU"/>
        </w:rPr>
        <w:t>Calvert v Badenach</w:t>
      </w:r>
      <w:r w:rsidRPr="002F0E6F">
        <w:rPr>
          <w:lang w:val="en-AU"/>
        </w:rPr>
        <w:t xml:space="preserve"> </w:t>
      </w:r>
      <w:r w:rsidR="00C71B62">
        <w:rPr>
          <w:lang w:val="en-AU"/>
        </w:rPr>
        <w:t>(</w:t>
      </w:r>
      <w:r w:rsidR="00487811">
        <w:rPr>
          <w:lang w:val="en-AU"/>
        </w:rPr>
        <w:t>which</w:t>
      </w:r>
      <w:r w:rsidR="00C71B62">
        <w:rPr>
          <w:lang w:val="en-AU"/>
        </w:rPr>
        <w:t xml:space="preserve"> proceeded to the High Court</w:t>
      </w:r>
      <w:r w:rsidR="00C71B62" w:rsidRPr="00565D09">
        <w:rPr>
          <w:rStyle w:val="FootnoteReference"/>
        </w:rPr>
        <w:footnoteReference w:id="50"/>
      </w:r>
      <w:r w:rsidR="00C71B62">
        <w:rPr>
          <w:lang w:val="en-AU"/>
        </w:rPr>
        <w:t xml:space="preserve">) </w:t>
      </w:r>
      <w:r w:rsidRPr="002F0E6F">
        <w:rPr>
          <w:lang w:val="en-AU"/>
        </w:rPr>
        <w:t xml:space="preserve">demonstrates this issue. In </w:t>
      </w:r>
      <w:r w:rsidR="00C71B62" w:rsidRPr="00843508">
        <w:rPr>
          <w:iCs/>
          <w:lang w:val="en-AU"/>
        </w:rPr>
        <w:t>that case</w:t>
      </w:r>
      <w:r w:rsidRPr="002F0E6F">
        <w:rPr>
          <w:lang w:val="en-AU"/>
        </w:rPr>
        <w:t xml:space="preserve">, </w:t>
      </w:r>
      <w:r w:rsidR="00487811">
        <w:rPr>
          <w:lang w:val="en-AU"/>
        </w:rPr>
        <w:t>the Court considered</w:t>
      </w:r>
      <w:r w:rsidRPr="002F0E6F">
        <w:rPr>
          <w:lang w:val="en-AU"/>
        </w:rPr>
        <w:t xml:space="preserve"> whether a lawyer preparing a will was negligent for </w:t>
      </w:r>
      <w:r w:rsidRPr="00BB4749">
        <w:t>failing</w:t>
      </w:r>
      <w:r w:rsidRPr="002F0E6F">
        <w:rPr>
          <w:lang w:val="en-AU"/>
        </w:rPr>
        <w:t xml:space="preserve"> to advise his client about options to structure his estate in order to reduce the risk or impact of a TFM claim. </w:t>
      </w:r>
      <w:r w:rsidR="00265FFB">
        <w:rPr>
          <w:lang w:val="en-AU"/>
        </w:rPr>
        <w:t xml:space="preserve">At first instance, </w:t>
      </w:r>
      <w:r w:rsidRPr="002F0E6F">
        <w:rPr>
          <w:lang w:val="en-AU"/>
        </w:rPr>
        <w:t>Blow CJ explained:</w:t>
      </w:r>
    </w:p>
    <w:p w14:paraId="79715E3B" w14:textId="69C26088" w:rsidR="00942381" w:rsidRPr="002F0E6F" w:rsidRDefault="00942381" w:rsidP="00C47D98">
      <w:pPr>
        <w:pStyle w:val="QuoteTLRI"/>
        <w:rPr>
          <w:rFonts w:eastAsia="Times New Roman"/>
        </w:rPr>
      </w:pPr>
      <w:r w:rsidRPr="002F0E6F">
        <w:t xml:space="preserve">The testator could have arranged his affairs during his lifetime so that the assets of the estate available to satisfy a claim under the </w:t>
      </w:r>
      <w:hyperlink r:id="rId50" w:history="1">
        <w:r w:rsidRPr="000D0709">
          <w:rPr>
            <w:rStyle w:val="Hyperlink"/>
            <w:rFonts w:cs="Times New Roman"/>
            <w:color w:val="auto"/>
            <w:szCs w:val="21"/>
            <w:u w:val="none"/>
          </w:rPr>
          <w:t>TFM Act</w:t>
        </w:r>
      </w:hyperlink>
      <w:r w:rsidRPr="00743CC3">
        <w:rPr>
          <w:rFonts w:cs="Times New Roman"/>
        </w:rPr>
        <w:t xml:space="preserve"> </w:t>
      </w:r>
      <w:r w:rsidRPr="002F0E6F">
        <w:t>were worth far less than $200,000.</w:t>
      </w:r>
      <w:r w:rsidR="007033BB" w:rsidRPr="004E78C0">
        <w:rPr>
          <w:rStyle w:val="FootnoteReference"/>
        </w:rPr>
        <w:footnoteReference w:id="51"/>
      </w:r>
      <w:r w:rsidRPr="002F0E6F">
        <w:t xml:space="preserve"> His principal assets were his interests in two properties on the Tasman Peninsula. He and the plaintiff owned each property as tenants in common in equal shares. If he had made arrangements for the plaintiff and himself to hold both properties as joint tenants then, when he predeceased the plaintiff, those properties would have ceased to form part of his estate. There are no </w:t>
      </w:r>
      <w:r w:rsidR="004E78C0">
        <w:t>‘</w:t>
      </w:r>
      <w:r w:rsidRPr="002F0E6F">
        <w:t>notional estate</w:t>
      </w:r>
      <w:r w:rsidR="004E78C0">
        <w:t>’</w:t>
      </w:r>
      <w:r w:rsidRPr="002F0E6F">
        <w:t xml:space="preserve"> provisions in the </w:t>
      </w:r>
      <w:r w:rsidRPr="000D0709">
        <w:rPr>
          <w:rFonts w:cs="Times New Roman"/>
          <w:szCs w:val="21"/>
        </w:rPr>
        <w:t>TFM Act</w:t>
      </w:r>
      <w:r w:rsidRPr="002F0E6F">
        <w:t xml:space="preserve">. Similarly, he could have given or transferred other assets to the plaintiff before he died, placing them out of reach for the purposes of the </w:t>
      </w:r>
      <w:r w:rsidRPr="000D0709">
        <w:rPr>
          <w:rFonts w:cs="Times New Roman"/>
          <w:szCs w:val="21"/>
        </w:rPr>
        <w:t>TFM Act</w:t>
      </w:r>
      <w:r w:rsidRPr="002F0E6F">
        <w:t>. He was terminally ill when he gave the solicitor instructions for his last will, and the solicitor knew that.</w:t>
      </w:r>
    </w:p>
    <w:p w14:paraId="0D3900B6" w14:textId="73D1D533" w:rsidR="00942381" w:rsidRPr="002F0E6F" w:rsidRDefault="00942381" w:rsidP="00C47D98">
      <w:pPr>
        <w:pStyle w:val="QuoteTLRI"/>
      </w:pPr>
      <w:r w:rsidRPr="002F0E6F">
        <w:t xml:space="preserve">The plaintiff contends that the solicitor and his firm were negligent in that they (a) failed to advise the testator of the risk of the daughter making a claim under the </w:t>
      </w:r>
      <w:r w:rsidRPr="000D0709">
        <w:rPr>
          <w:rFonts w:cs="Times New Roman"/>
          <w:szCs w:val="21"/>
        </w:rPr>
        <w:t>TFM Act</w:t>
      </w:r>
      <w:r w:rsidRPr="002F0E6F">
        <w:t>, and (b) failed to advise him of the options available for him to arrange his affairs so as to reduce or extinguish his estate, so as to avoid or partly avoid any claim which could disturb his testamentary wishes.</w:t>
      </w:r>
      <w:r w:rsidRPr="00565D09">
        <w:rPr>
          <w:rStyle w:val="FootnoteReference"/>
          <w:lang w:val="x-none"/>
        </w:rPr>
        <w:footnoteReference w:id="52"/>
      </w:r>
    </w:p>
    <w:p w14:paraId="5EDD0295" w14:textId="140333B8" w:rsidR="00942381" w:rsidRPr="002F0E6F" w:rsidRDefault="00942381" w:rsidP="00E7434F">
      <w:pPr>
        <w:pStyle w:val="NormalNumberedTextTLRI"/>
        <w:rPr>
          <w:lang w:val="en-AU"/>
        </w:rPr>
      </w:pPr>
      <w:r w:rsidRPr="002F0E6F">
        <w:rPr>
          <w:lang w:val="en-AU"/>
        </w:rPr>
        <w:lastRenderedPageBreak/>
        <w:t xml:space="preserve">This case demonstrates the applicability of potential notional estates legislation in the context of joint tenancies. Had </w:t>
      </w:r>
      <w:r w:rsidR="007033BB" w:rsidRPr="002F0E6F">
        <w:rPr>
          <w:lang w:val="en-AU"/>
        </w:rPr>
        <w:t>the testator</w:t>
      </w:r>
      <w:r w:rsidRPr="002F0E6F">
        <w:rPr>
          <w:lang w:val="en-AU"/>
        </w:rPr>
        <w:t xml:space="preserve"> entered into arrangements to transfer ownership of properties to a </w:t>
      </w:r>
      <w:r w:rsidRPr="00E7434F">
        <w:t>joint</w:t>
      </w:r>
      <w:r w:rsidRPr="002F0E6F">
        <w:rPr>
          <w:lang w:val="en-AU"/>
        </w:rPr>
        <w:t xml:space="preserve"> tenancy ownership, </w:t>
      </w:r>
      <w:r w:rsidR="007033BB" w:rsidRPr="002F0E6F">
        <w:rPr>
          <w:lang w:val="en-AU"/>
        </w:rPr>
        <w:t>they</w:t>
      </w:r>
      <w:r w:rsidRPr="002F0E6F">
        <w:rPr>
          <w:lang w:val="en-AU"/>
        </w:rPr>
        <w:t xml:space="preserve"> would have been unavailable to satisfy the ultimately successful claim for provision</w:t>
      </w:r>
      <w:r w:rsidR="007033BB" w:rsidRPr="002F0E6F">
        <w:rPr>
          <w:lang w:val="en-AU"/>
        </w:rPr>
        <w:t>.</w:t>
      </w:r>
    </w:p>
    <w:p w14:paraId="17B8A3F0" w14:textId="02252446" w:rsidR="00C9304F" w:rsidRPr="002F0E6F" w:rsidRDefault="00C9304F" w:rsidP="0042655C">
      <w:pPr>
        <w:pStyle w:val="Sub-HeadingTLRI"/>
        <w:keepNext/>
        <w:spacing w:after="120"/>
        <w:rPr>
          <w:lang w:val="en-AU"/>
        </w:rPr>
      </w:pPr>
      <w:r w:rsidRPr="002F0E6F">
        <w:rPr>
          <w:lang w:val="en-AU"/>
        </w:rPr>
        <w:t>Joint Bank Accounts</w:t>
      </w:r>
    </w:p>
    <w:p w14:paraId="413415E1" w14:textId="1A0F8605" w:rsidR="00297B51" w:rsidRPr="002F0E6F" w:rsidRDefault="005A3CFF" w:rsidP="0042655C">
      <w:pPr>
        <w:pStyle w:val="NormalNumberedTextTLRI"/>
        <w:spacing w:before="120"/>
        <w:rPr>
          <w:lang w:val="en-AU"/>
        </w:rPr>
      </w:pPr>
      <w:r w:rsidRPr="002F0E6F">
        <w:rPr>
          <w:lang w:val="en-AU"/>
        </w:rPr>
        <w:t>Joint bank accounts have the same effect</w:t>
      </w:r>
      <w:r w:rsidR="00946860" w:rsidRPr="002F0E6F">
        <w:rPr>
          <w:lang w:val="en-AU"/>
        </w:rPr>
        <w:t xml:space="preserve"> as joint tenancy property</w:t>
      </w:r>
      <w:r w:rsidRPr="002F0E6F">
        <w:rPr>
          <w:lang w:val="en-AU"/>
        </w:rPr>
        <w:t xml:space="preserve">. </w:t>
      </w:r>
      <w:r w:rsidR="0005006E">
        <w:rPr>
          <w:lang w:val="en-AU"/>
        </w:rPr>
        <w:t xml:space="preserve">That is, </w:t>
      </w:r>
      <w:r w:rsidR="003219BB">
        <w:rPr>
          <w:lang w:val="en-AU"/>
        </w:rPr>
        <w:t xml:space="preserve">a deceased’s interest in a joint bank account vests upon the surviving account holder. This was confirmed in </w:t>
      </w:r>
      <w:r w:rsidR="00297B51" w:rsidRPr="002F0E6F">
        <w:rPr>
          <w:lang w:val="en-AU"/>
        </w:rPr>
        <w:t xml:space="preserve">the New Zealand case of </w:t>
      </w:r>
      <w:r w:rsidR="00C9304F" w:rsidRPr="002F0E6F">
        <w:rPr>
          <w:i/>
          <w:lang w:val="en-AU"/>
        </w:rPr>
        <w:t>r</w:t>
      </w:r>
      <w:r w:rsidR="00297B51" w:rsidRPr="002F0E6F">
        <w:rPr>
          <w:i/>
          <w:lang w:val="en-AU"/>
        </w:rPr>
        <w:t>e Brownlee</w:t>
      </w:r>
      <w:r w:rsidR="003219BB">
        <w:rPr>
          <w:iCs/>
          <w:lang w:val="en-AU"/>
        </w:rPr>
        <w:t>,</w:t>
      </w:r>
      <w:r w:rsidR="006C26BF" w:rsidRPr="00E7434F">
        <w:rPr>
          <w:rStyle w:val="FootnoteReference"/>
        </w:rPr>
        <w:footnoteReference w:id="53"/>
      </w:r>
      <w:r w:rsidR="00297B51" w:rsidRPr="002F0E6F">
        <w:rPr>
          <w:lang w:val="en-AU"/>
        </w:rPr>
        <w:t xml:space="preserve"> </w:t>
      </w:r>
      <w:r w:rsidR="003219BB">
        <w:rPr>
          <w:lang w:val="en-AU"/>
        </w:rPr>
        <w:t xml:space="preserve">where </w:t>
      </w:r>
      <w:r w:rsidR="00297B51" w:rsidRPr="002F0E6F">
        <w:rPr>
          <w:lang w:val="en-AU"/>
        </w:rPr>
        <w:t>a testator died leaving her entire estate to her daughter,</w:t>
      </w:r>
      <w:r w:rsidR="00155615" w:rsidRPr="002F0E6F">
        <w:rPr>
          <w:lang w:val="en-AU"/>
        </w:rPr>
        <w:t xml:space="preserve"> </w:t>
      </w:r>
      <w:r w:rsidR="00297B51" w:rsidRPr="002F0E6F">
        <w:rPr>
          <w:lang w:val="en-AU"/>
        </w:rPr>
        <w:t xml:space="preserve">excluding </w:t>
      </w:r>
      <w:r w:rsidR="003219BB">
        <w:rPr>
          <w:lang w:val="en-AU"/>
        </w:rPr>
        <w:t>her</w:t>
      </w:r>
      <w:r w:rsidR="003219BB" w:rsidRPr="002F0E6F">
        <w:rPr>
          <w:lang w:val="en-AU"/>
        </w:rPr>
        <w:t xml:space="preserve"> </w:t>
      </w:r>
      <w:r w:rsidR="00297B51" w:rsidRPr="002F0E6F">
        <w:rPr>
          <w:lang w:val="en-AU"/>
        </w:rPr>
        <w:t>other three children.</w:t>
      </w:r>
      <w:r w:rsidRPr="002F0E6F">
        <w:rPr>
          <w:lang w:val="en-AU"/>
        </w:rPr>
        <w:t xml:space="preserve"> </w:t>
      </w:r>
      <w:r w:rsidR="00297B51" w:rsidRPr="002F0E6F">
        <w:rPr>
          <w:lang w:val="en-AU"/>
        </w:rPr>
        <w:t xml:space="preserve">The estate, after </w:t>
      </w:r>
      <w:r w:rsidR="004038C9" w:rsidRPr="002F0E6F">
        <w:rPr>
          <w:lang w:val="en-AU"/>
        </w:rPr>
        <w:t>administration</w:t>
      </w:r>
      <w:r w:rsidR="00155615" w:rsidRPr="002F0E6F">
        <w:rPr>
          <w:lang w:val="en-AU"/>
        </w:rPr>
        <w:t>,</w:t>
      </w:r>
      <w:r w:rsidR="004038C9" w:rsidRPr="002F0E6F">
        <w:rPr>
          <w:lang w:val="en-AU"/>
        </w:rPr>
        <w:t xml:space="preserve"> </w:t>
      </w:r>
      <w:r w:rsidR="006C26BF" w:rsidRPr="002F0E6F">
        <w:rPr>
          <w:lang w:val="en-AU"/>
        </w:rPr>
        <w:t>w</w:t>
      </w:r>
      <w:r w:rsidR="00297B51" w:rsidRPr="002F0E6F">
        <w:rPr>
          <w:lang w:val="en-AU"/>
        </w:rPr>
        <w:t>as valued at just under $4</w:t>
      </w:r>
      <w:r w:rsidR="000C0A3F">
        <w:rPr>
          <w:lang w:val="en-AU"/>
        </w:rPr>
        <w:t>,</w:t>
      </w:r>
      <w:r w:rsidR="00297B51" w:rsidRPr="002F0E6F">
        <w:rPr>
          <w:lang w:val="en-AU"/>
        </w:rPr>
        <w:t>000. At the time of her death, however, there was approximately $87</w:t>
      </w:r>
      <w:r w:rsidR="000C0A3F">
        <w:rPr>
          <w:lang w:val="en-AU"/>
        </w:rPr>
        <w:t>,</w:t>
      </w:r>
      <w:r w:rsidR="00297B51" w:rsidRPr="002F0E6F">
        <w:rPr>
          <w:lang w:val="en-AU"/>
        </w:rPr>
        <w:t>000 in a joint bank account in the name of the testator and her daughter</w:t>
      </w:r>
      <w:r w:rsidR="003219BB">
        <w:rPr>
          <w:lang w:val="en-AU"/>
        </w:rPr>
        <w:t>. The High Court of New Zealand held that the funds in the joint bank account vested in the daughter on her mother’s death and did not form part of her estate. Th</w:t>
      </w:r>
      <w:r w:rsidR="00B87A64">
        <w:rPr>
          <w:lang w:val="en-AU"/>
        </w:rPr>
        <w:t>eir</w:t>
      </w:r>
      <w:r w:rsidR="003219BB">
        <w:rPr>
          <w:lang w:val="en-AU"/>
        </w:rPr>
        <w:t xml:space="preserve"> decision was consistent with previous Australian High Court authority.</w:t>
      </w:r>
      <w:r w:rsidR="003219BB" w:rsidRPr="00AB00E0">
        <w:rPr>
          <w:rStyle w:val="FootnoteReference"/>
        </w:rPr>
        <w:footnoteReference w:id="54"/>
      </w:r>
    </w:p>
    <w:p w14:paraId="4DE4AB4A" w14:textId="77777777" w:rsidR="002E07BA" w:rsidRPr="002F0E6F" w:rsidRDefault="002E07BA" w:rsidP="0042655C">
      <w:pPr>
        <w:pStyle w:val="Sub-HeadingTLRI"/>
        <w:spacing w:before="240" w:after="120"/>
      </w:pPr>
      <w:r w:rsidRPr="006828A9">
        <w:t>Superannuation</w:t>
      </w:r>
    </w:p>
    <w:p w14:paraId="0E61139C" w14:textId="67F3814E" w:rsidR="002E07BA" w:rsidRPr="002F0E6F" w:rsidRDefault="002E07BA" w:rsidP="00FE5823">
      <w:pPr>
        <w:pStyle w:val="NormalNumberedTextTLRI"/>
        <w:rPr>
          <w:lang w:val="en-AU"/>
        </w:rPr>
      </w:pPr>
      <w:r w:rsidRPr="002F0E6F">
        <w:rPr>
          <w:lang w:val="en-AU"/>
        </w:rPr>
        <w:t>Superannuation can be a substantial</w:t>
      </w:r>
      <w:r w:rsidR="008C09C6" w:rsidRPr="002F0E6F">
        <w:rPr>
          <w:lang w:val="en-AU"/>
        </w:rPr>
        <w:t xml:space="preserve"> asset of a</w:t>
      </w:r>
      <w:r w:rsidR="003E5846" w:rsidRPr="002F0E6F">
        <w:rPr>
          <w:lang w:val="en-AU"/>
        </w:rPr>
        <w:t>n individual</w:t>
      </w:r>
      <w:r w:rsidR="008C09C6" w:rsidRPr="002F0E6F">
        <w:rPr>
          <w:lang w:val="en-AU"/>
        </w:rPr>
        <w:t xml:space="preserve">. </w:t>
      </w:r>
      <w:r w:rsidR="00D77FCA" w:rsidRPr="002F0E6F">
        <w:rPr>
          <w:lang w:val="en-AU"/>
        </w:rPr>
        <w:t xml:space="preserve">The Australian </w:t>
      </w:r>
      <w:r w:rsidR="00E71186" w:rsidRPr="002F0E6F">
        <w:rPr>
          <w:lang w:val="en-AU"/>
        </w:rPr>
        <w:t xml:space="preserve">Prudential Regulation </w:t>
      </w:r>
      <w:r w:rsidR="00E71186" w:rsidRPr="00FE5823">
        <w:t>Authority</w:t>
      </w:r>
      <w:r w:rsidR="00E71186" w:rsidRPr="002F0E6F">
        <w:rPr>
          <w:lang w:val="en-AU"/>
        </w:rPr>
        <w:t xml:space="preserve"> (</w:t>
      </w:r>
      <w:r w:rsidR="008E4D3F">
        <w:rPr>
          <w:lang w:val="en-AU"/>
        </w:rPr>
        <w:t>‘</w:t>
      </w:r>
      <w:r w:rsidR="00E71186" w:rsidRPr="002F0E6F">
        <w:rPr>
          <w:lang w:val="en-AU"/>
        </w:rPr>
        <w:t>APRA</w:t>
      </w:r>
      <w:r w:rsidR="008E4D3F">
        <w:rPr>
          <w:lang w:val="en-AU"/>
        </w:rPr>
        <w:t>’</w:t>
      </w:r>
      <w:r w:rsidR="00E71186" w:rsidRPr="002F0E6F">
        <w:rPr>
          <w:lang w:val="en-AU"/>
        </w:rPr>
        <w:t>)</w:t>
      </w:r>
      <w:r w:rsidR="008C09C6" w:rsidRPr="002F0E6F">
        <w:rPr>
          <w:lang w:val="en-AU"/>
        </w:rPr>
        <w:t xml:space="preserve"> </w:t>
      </w:r>
      <w:r w:rsidR="00EA39FD">
        <w:rPr>
          <w:lang w:val="en-AU"/>
        </w:rPr>
        <w:t>reports</w:t>
      </w:r>
      <w:r w:rsidR="00EA39FD" w:rsidRPr="002F0E6F">
        <w:rPr>
          <w:lang w:val="en-AU"/>
        </w:rPr>
        <w:t xml:space="preserve"> </w:t>
      </w:r>
      <w:r w:rsidR="008C09C6" w:rsidRPr="002F0E6F">
        <w:rPr>
          <w:lang w:val="en-AU"/>
        </w:rPr>
        <w:t xml:space="preserve">that there were </w:t>
      </w:r>
      <w:r w:rsidR="008C09C6" w:rsidRPr="002F0E6F">
        <w:rPr>
          <w:color w:val="333333"/>
          <w:lang w:val="en-AU"/>
        </w:rPr>
        <w:t>$2.</w:t>
      </w:r>
      <w:r w:rsidR="00E71186" w:rsidRPr="002F0E6F">
        <w:rPr>
          <w:color w:val="333333"/>
          <w:lang w:val="en-AU"/>
        </w:rPr>
        <w:t>7</w:t>
      </w:r>
      <w:r w:rsidR="0096389B">
        <w:rPr>
          <w:color w:val="333333"/>
          <w:lang w:val="en-AU"/>
        </w:rPr>
        <w:t xml:space="preserve"> </w:t>
      </w:r>
      <w:r w:rsidR="008C09C6" w:rsidRPr="002F0E6F">
        <w:rPr>
          <w:color w:val="333333"/>
          <w:lang w:val="en-AU"/>
        </w:rPr>
        <w:t xml:space="preserve">trillion </w:t>
      </w:r>
      <w:r w:rsidR="00F51E14">
        <w:rPr>
          <w:color w:val="333333"/>
          <w:lang w:val="en-AU"/>
        </w:rPr>
        <w:t>in</w:t>
      </w:r>
      <w:r w:rsidR="00F51E14" w:rsidRPr="002F0E6F">
        <w:rPr>
          <w:color w:val="333333"/>
          <w:lang w:val="en-AU"/>
        </w:rPr>
        <w:t xml:space="preserve"> </w:t>
      </w:r>
      <w:r w:rsidR="008C09C6" w:rsidRPr="002F0E6F">
        <w:rPr>
          <w:color w:val="333333"/>
          <w:lang w:val="en-AU"/>
        </w:rPr>
        <w:t xml:space="preserve">superannuation assets in Australia </w:t>
      </w:r>
      <w:r w:rsidR="00E71186" w:rsidRPr="002F0E6F">
        <w:rPr>
          <w:color w:val="333333"/>
          <w:lang w:val="en-AU"/>
        </w:rPr>
        <w:t>at 30 June 2018</w:t>
      </w:r>
      <w:r w:rsidR="008C09C6" w:rsidRPr="002F0E6F">
        <w:rPr>
          <w:color w:val="333333"/>
          <w:lang w:val="en-AU"/>
        </w:rPr>
        <w:t>.</w:t>
      </w:r>
      <w:r w:rsidR="008C09C6" w:rsidRPr="0080171F">
        <w:rPr>
          <w:rStyle w:val="FootnoteReference"/>
        </w:rPr>
        <w:footnoteReference w:id="55"/>
      </w:r>
      <w:r w:rsidR="008C09C6" w:rsidRPr="002F0E6F">
        <w:rPr>
          <w:color w:val="333333"/>
          <w:lang w:val="en-AU"/>
        </w:rPr>
        <w:t xml:space="preserve"> The average account balance </w:t>
      </w:r>
      <w:r w:rsidR="00E71186" w:rsidRPr="002F0E6F">
        <w:rPr>
          <w:color w:val="333333"/>
          <w:lang w:val="en-AU"/>
        </w:rPr>
        <w:t>was $69</w:t>
      </w:r>
      <w:r w:rsidR="000C0A3F">
        <w:rPr>
          <w:color w:val="333333"/>
          <w:lang w:val="en-AU"/>
        </w:rPr>
        <w:t>,</w:t>
      </w:r>
      <w:r w:rsidR="00E71186" w:rsidRPr="002F0E6F">
        <w:rPr>
          <w:color w:val="333333"/>
          <w:lang w:val="en-AU"/>
        </w:rPr>
        <w:t>807</w:t>
      </w:r>
      <w:r w:rsidR="008C09C6" w:rsidRPr="002F0E6F">
        <w:rPr>
          <w:color w:val="333333"/>
          <w:lang w:val="en-AU"/>
        </w:rPr>
        <w:t>.</w:t>
      </w:r>
      <w:r w:rsidR="008C09C6" w:rsidRPr="0072000B">
        <w:rPr>
          <w:rStyle w:val="FootnoteReference"/>
        </w:rPr>
        <w:footnoteReference w:id="56"/>
      </w:r>
      <w:r w:rsidR="008C09C6" w:rsidRPr="002F0E6F">
        <w:rPr>
          <w:color w:val="333333"/>
          <w:lang w:val="en-AU"/>
        </w:rPr>
        <w:t xml:space="preserve"> </w:t>
      </w:r>
      <w:r w:rsidR="000C3882" w:rsidRPr="002F0E6F">
        <w:rPr>
          <w:color w:val="333333"/>
          <w:lang w:val="en-AU"/>
        </w:rPr>
        <w:t>An individual may also hold life</w:t>
      </w:r>
      <w:r w:rsidR="008C09C6" w:rsidRPr="002F0E6F">
        <w:rPr>
          <w:color w:val="333333"/>
          <w:lang w:val="en-AU"/>
        </w:rPr>
        <w:t xml:space="preserve"> insurance within superannuation, </w:t>
      </w:r>
      <w:r w:rsidR="000C3882" w:rsidRPr="002F0E6F">
        <w:rPr>
          <w:color w:val="333333"/>
          <w:lang w:val="en-AU"/>
        </w:rPr>
        <w:t>with it being estimated that 13.5 million Australians have a life insurance policy within super,</w:t>
      </w:r>
      <w:r w:rsidR="000C3882" w:rsidRPr="0080171F">
        <w:rPr>
          <w:rStyle w:val="FootnoteReference"/>
        </w:rPr>
        <w:footnoteReference w:id="57"/>
      </w:r>
      <w:r w:rsidR="000C3882" w:rsidRPr="002F0E6F">
        <w:rPr>
          <w:color w:val="333333"/>
          <w:lang w:val="en-AU"/>
        </w:rPr>
        <w:t xml:space="preserve"> comprising more than 70 per cent of the life insurance</w:t>
      </w:r>
      <w:r w:rsidR="009F2435" w:rsidRPr="002F0E6F">
        <w:rPr>
          <w:color w:val="333333"/>
          <w:lang w:val="en-AU"/>
        </w:rPr>
        <w:t xml:space="preserve"> policies</w:t>
      </w:r>
      <w:r w:rsidR="000C3882" w:rsidRPr="002F0E6F">
        <w:rPr>
          <w:color w:val="333333"/>
          <w:lang w:val="en-AU"/>
        </w:rPr>
        <w:t xml:space="preserve"> in Australia.</w:t>
      </w:r>
      <w:r w:rsidR="000C3882" w:rsidRPr="0080171F">
        <w:rPr>
          <w:rStyle w:val="FootnoteReference"/>
        </w:rPr>
        <w:footnoteReference w:id="58"/>
      </w:r>
    </w:p>
    <w:p w14:paraId="42203D2E" w14:textId="676D1F09" w:rsidR="00F560F2" w:rsidRPr="002F0E6F" w:rsidRDefault="000C3882" w:rsidP="0080171F">
      <w:pPr>
        <w:pStyle w:val="NormalNumberedTextTLRI"/>
        <w:rPr>
          <w:lang w:val="en-AU"/>
        </w:rPr>
      </w:pPr>
      <w:r w:rsidRPr="002F0E6F">
        <w:rPr>
          <w:lang w:val="en-AU"/>
        </w:rPr>
        <w:t xml:space="preserve">The treatment of a person’s superannuation upon their death depends on several factors including the rules of </w:t>
      </w:r>
      <w:r w:rsidR="009F2435" w:rsidRPr="002F0E6F">
        <w:rPr>
          <w:lang w:val="en-AU"/>
        </w:rPr>
        <w:t>the</w:t>
      </w:r>
      <w:r w:rsidRPr="002F0E6F">
        <w:rPr>
          <w:lang w:val="en-AU"/>
        </w:rPr>
        <w:t xml:space="preserve"> fund </w:t>
      </w:r>
      <w:r w:rsidR="009F2435" w:rsidRPr="002F0E6F">
        <w:rPr>
          <w:lang w:val="en-AU"/>
        </w:rPr>
        <w:t xml:space="preserve">in which it is </w:t>
      </w:r>
      <w:r w:rsidR="0080171F" w:rsidRPr="002F0E6F">
        <w:rPr>
          <w:lang w:val="en-AU"/>
        </w:rPr>
        <w:t>held,</w:t>
      </w:r>
      <w:r w:rsidR="009F2435" w:rsidRPr="002F0E6F">
        <w:rPr>
          <w:lang w:val="en-AU"/>
        </w:rPr>
        <w:t xml:space="preserve"> </w:t>
      </w:r>
      <w:r w:rsidRPr="002F0E6F">
        <w:rPr>
          <w:lang w:val="en-AU"/>
        </w:rPr>
        <w:t xml:space="preserve">and any </w:t>
      </w:r>
      <w:r w:rsidR="00DA1A31" w:rsidRPr="002F0E6F">
        <w:rPr>
          <w:lang w:val="en-AU"/>
        </w:rPr>
        <w:t xml:space="preserve">binding </w:t>
      </w:r>
      <w:r w:rsidRPr="002F0E6F">
        <w:rPr>
          <w:lang w:val="en-AU"/>
        </w:rPr>
        <w:t>nominations made</w:t>
      </w:r>
      <w:r w:rsidR="00DA1A31" w:rsidRPr="002F0E6F">
        <w:rPr>
          <w:lang w:val="en-AU"/>
        </w:rPr>
        <w:t xml:space="preserve"> by the </w:t>
      </w:r>
      <w:r w:rsidR="00F560F2" w:rsidRPr="002F0E6F">
        <w:rPr>
          <w:lang w:val="en-AU"/>
        </w:rPr>
        <w:t>member</w:t>
      </w:r>
      <w:r w:rsidR="000402B0" w:rsidRPr="002F0E6F">
        <w:rPr>
          <w:lang w:val="en-AU"/>
        </w:rPr>
        <w:t xml:space="preserve"> effective upon their death</w:t>
      </w:r>
      <w:r w:rsidR="00017D86" w:rsidRPr="002F0E6F">
        <w:rPr>
          <w:lang w:val="en-AU"/>
        </w:rPr>
        <w:t xml:space="preserve">. Depending on these factors, a person’s superannuation death </w:t>
      </w:r>
      <w:r w:rsidR="00017D86" w:rsidRPr="0080171F">
        <w:t>benefits</w:t>
      </w:r>
      <w:r w:rsidR="00017D86" w:rsidRPr="002F0E6F">
        <w:rPr>
          <w:lang w:val="en-AU"/>
        </w:rPr>
        <w:t xml:space="preserve"> may or may not form part of their estate. </w:t>
      </w:r>
      <w:r w:rsidR="00F21571" w:rsidRPr="002F0E6F">
        <w:rPr>
          <w:lang w:val="en-AU"/>
        </w:rPr>
        <w:t xml:space="preserve">It may not form part of </w:t>
      </w:r>
      <w:r w:rsidR="00F560F2" w:rsidRPr="002F0E6F">
        <w:rPr>
          <w:lang w:val="en-AU"/>
        </w:rPr>
        <w:t>a person’s</w:t>
      </w:r>
      <w:r w:rsidR="00F21571" w:rsidRPr="002F0E6F">
        <w:rPr>
          <w:lang w:val="en-AU"/>
        </w:rPr>
        <w:t xml:space="preserve"> estate if, for example, the</w:t>
      </w:r>
      <w:r w:rsidR="00F560F2" w:rsidRPr="002F0E6F">
        <w:rPr>
          <w:lang w:val="en-AU"/>
        </w:rPr>
        <w:t>y have made a valid and effective</w:t>
      </w:r>
      <w:r w:rsidR="00F560F2" w:rsidRPr="0080171F">
        <w:rPr>
          <w:rStyle w:val="FootnoteReference"/>
        </w:rPr>
        <w:footnoteReference w:id="59"/>
      </w:r>
      <w:r w:rsidR="00F560F2" w:rsidRPr="002F0E6F">
        <w:rPr>
          <w:lang w:val="en-AU"/>
        </w:rPr>
        <w:t xml:space="preserve"> binding death benefit nomination that directs all of their death benefits to a beneficiary, for example to a spouse or other dependant.</w:t>
      </w:r>
    </w:p>
    <w:p w14:paraId="3AE07964" w14:textId="542D5DCC" w:rsidR="008C09C6" w:rsidRPr="002F0E6F" w:rsidRDefault="00017D86" w:rsidP="000C0A3F">
      <w:pPr>
        <w:pStyle w:val="NormalNumberedTextTLRI"/>
        <w:rPr>
          <w:lang w:val="en-AU"/>
        </w:rPr>
      </w:pPr>
      <w:r w:rsidRPr="002F0E6F">
        <w:rPr>
          <w:lang w:val="en-AU"/>
        </w:rPr>
        <w:t xml:space="preserve">Death benefits </w:t>
      </w:r>
      <w:r w:rsidR="009F2435" w:rsidRPr="002F0E6F">
        <w:rPr>
          <w:lang w:val="en-AU"/>
        </w:rPr>
        <w:t xml:space="preserve">that a fund pay </w:t>
      </w:r>
      <w:r w:rsidRPr="002F0E6F">
        <w:rPr>
          <w:lang w:val="en-AU"/>
        </w:rPr>
        <w:t xml:space="preserve">directly to a beneficiary fall outside of the purview of a claim </w:t>
      </w:r>
      <w:r w:rsidR="00DD2695" w:rsidRPr="002F0E6F">
        <w:rPr>
          <w:lang w:val="en-AU"/>
        </w:rPr>
        <w:t>under</w:t>
      </w:r>
      <w:r w:rsidRPr="002F0E6F">
        <w:rPr>
          <w:lang w:val="en-AU"/>
        </w:rPr>
        <w:t xml:space="preserve"> the </w:t>
      </w:r>
      <w:r w:rsidR="0072000B" w:rsidRPr="0072000B">
        <w:rPr>
          <w:i/>
          <w:lang w:val="en-AU"/>
        </w:rPr>
        <w:t xml:space="preserve">TFM </w:t>
      </w:r>
      <w:r w:rsidRPr="0072000B">
        <w:rPr>
          <w:i/>
          <w:lang w:val="en-AU"/>
        </w:rPr>
        <w:t>Act</w:t>
      </w:r>
      <w:r w:rsidRPr="002F0E6F">
        <w:rPr>
          <w:lang w:val="en-AU"/>
        </w:rPr>
        <w:t xml:space="preserve">. It is only death benefits that are paid to a deceased’s legal personal representative that become </w:t>
      </w:r>
      <w:r w:rsidRPr="000C0A3F">
        <w:t>available</w:t>
      </w:r>
      <w:r w:rsidRPr="002F0E6F">
        <w:rPr>
          <w:lang w:val="en-AU"/>
        </w:rPr>
        <w:t xml:space="preserve"> for challenge under the Act.</w:t>
      </w:r>
    </w:p>
    <w:p w14:paraId="745C62CF" w14:textId="4E6ED3A8" w:rsidR="00D86D7F" w:rsidRPr="00D7593E" w:rsidRDefault="00D86D7F" w:rsidP="0042655C">
      <w:pPr>
        <w:pStyle w:val="QuoteTLRI"/>
        <w:keepNext/>
        <w:pBdr>
          <w:top w:val="single" w:sz="4" w:space="1" w:color="auto"/>
          <w:left w:val="single" w:sz="4" w:space="4" w:color="auto"/>
          <w:bottom w:val="single" w:sz="4" w:space="1" w:color="auto"/>
          <w:right w:val="single" w:sz="4" w:space="4" w:color="auto"/>
        </w:pBdr>
        <w:spacing w:after="240"/>
        <w:rPr>
          <w:b/>
        </w:rPr>
      </w:pPr>
      <w:r w:rsidRPr="00D7593E">
        <w:rPr>
          <w:b/>
        </w:rPr>
        <w:lastRenderedPageBreak/>
        <w:t>Example:</w:t>
      </w:r>
    </w:p>
    <w:p w14:paraId="0CBAB72A" w14:textId="20E87D8E" w:rsidR="00D86D7F" w:rsidRPr="000C0A3F" w:rsidRDefault="00DD2695" w:rsidP="0042655C">
      <w:pPr>
        <w:pStyle w:val="QuoteTLRI"/>
        <w:pBdr>
          <w:top w:val="single" w:sz="4" w:space="1" w:color="auto"/>
          <w:left w:val="single" w:sz="4" w:space="4" w:color="auto"/>
          <w:bottom w:val="single" w:sz="4" w:space="1" w:color="auto"/>
          <w:right w:val="single" w:sz="4" w:space="4" w:color="auto"/>
        </w:pBdr>
      </w:pPr>
      <w:r w:rsidRPr="000C0A3F">
        <w:t>Barry</w:t>
      </w:r>
      <w:r w:rsidR="00D86D7F" w:rsidRPr="000C0A3F">
        <w:t xml:space="preserve"> has superannuation with </w:t>
      </w:r>
      <w:r w:rsidR="000C0A3F">
        <w:t xml:space="preserve">the </w:t>
      </w:r>
      <w:r w:rsidR="00D86D7F" w:rsidRPr="000C0A3F">
        <w:t>ABC</w:t>
      </w:r>
      <w:r w:rsidR="000C0A3F">
        <w:t xml:space="preserve"> </w:t>
      </w:r>
      <w:r w:rsidR="00D86D7F" w:rsidRPr="000C0A3F">
        <w:t>Superannuation Fund with $450</w:t>
      </w:r>
      <w:r w:rsidR="000C0A3F">
        <w:t>,</w:t>
      </w:r>
      <w:r w:rsidR="00D86D7F" w:rsidRPr="000C0A3F">
        <w:t>000 in his member account. He wants his five children to receive his superannuation when he dies and does not want any of it to be claimed by his partner.</w:t>
      </w:r>
    </w:p>
    <w:p w14:paraId="4750547B" w14:textId="46AA76B3" w:rsidR="00D86D7F" w:rsidRPr="000C0A3F" w:rsidRDefault="00DD2695" w:rsidP="0042655C">
      <w:pPr>
        <w:pStyle w:val="QuoteTLRI"/>
        <w:pBdr>
          <w:top w:val="single" w:sz="4" w:space="1" w:color="auto"/>
          <w:left w:val="single" w:sz="4" w:space="4" w:color="auto"/>
          <w:bottom w:val="single" w:sz="4" w:space="1" w:color="auto"/>
          <w:right w:val="single" w:sz="4" w:space="4" w:color="auto"/>
        </w:pBdr>
        <w:spacing w:after="120"/>
      </w:pPr>
      <w:r w:rsidRPr="000C0A3F">
        <w:t>Barry</w:t>
      </w:r>
      <w:r w:rsidR="00D86D7F" w:rsidRPr="000C0A3F">
        <w:t xml:space="preserve"> completes a binding death benefit nomination that directs all of his superannuation to his five children equal</w:t>
      </w:r>
      <w:r w:rsidR="009F2435" w:rsidRPr="000C0A3F">
        <w:t>ly</w:t>
      </w:r>
      <w:r w:rsidR="00D86D7F" w:rsidRPr="000C0A3F">
        <w:t xml:space="preserve">. The nomination means that, on his death, </w:t>
      </w:r>
      <w:r w:rsidRPr="000C0A3F">
        <w:t>Barry’s</w:t>
      </w:r>
      <w:r w:rsidR="00D86D7F" w:rsidRPr="000C0A3F">
        <w:t xml:space="preserve"> super must be paid to his children, which is what the fund ultimately does. His partner is unable to claim provision from any of the superannuation when making a </w:t>
      </w:r>
      <w:r w:rsidR="00FC0127" w:rsidRPr="000C0A3F">
        <w:t xml:space="preserve">TFM </w:t>
      </w:r>
      <w:r w:rsidR="00D86D7F" w:rsidRPr="000C0A3F">
        <w:t xml:space="preserve">claim under the </w:t>
      </w:r>
      <w:r w:rsidR="00D7593E" w:rsidRPr="00D7593E">
        <w:rPr>
          <w:i/>
        </w:rPr>
        <w:t xml:space="preserve">TFM </w:t>
      </w:r>
      <w:r w:rsidR="00D86D7F" w:rsidRPr="00D7593E">
        <w:rPr>
          <w:i/>
        </w:rPr>
        <w:t>Act</w:t>
      </w:r>
      <w:r w:rsidR="00D86D7F" w:rsidRPr="000C0A3F">
        <w:t>.</w:t>
      </w:r>
    </w:p>
    <w:p w14:paraId="118A1D25" w14:textId="7A8CD267" w:rsidR="00F560F2" w:rsidRPr="002F0E6F" w:rsidRDefault="00F560F2" w:rsidP="0042655C">
      <w:pPr>
        <w:pStyle w:val="Sub-HeadingTLRI"/>
        <w:keepNext/>
      </w:pPr>
      <w:r w:rsidRPr="002F0E6F">
        <w:t xml:space="preserve">Proceeds of a life </w:t>
      </w:r>
      <w:r w:rsidRPr="006828A9">
        <w:t>insurance</w:t>
      </w:r>
      <w:r w:rsidRPr="002F0E6F">
        <w:t xml:space="preserve"> policy</w:t>
      </w:r>
    </w:p>
    <w:p w14:paraId="0770C1F1" w14:textId="71FA0B29" w:rsidR="00F560F2" w:rsidRPr="002F0E6F" w:rsidRDefault="00F560F2" w:rsidP="006828A9">
      <w:pPr>
        <w:pStyle w:val="NormalNumberedTextTLRI"/>
        <w:rPr>
          <w:lang w:val="en-AU"/>
        </w:rPr>
      </w:pPr>
      <w:r w:rsidRPr="002F0E6F">
        <w:rPr>
          <w:lang w:val="en-AU"/>
        </w:rPr>
        <w:t xml:space="preserve">Treatment of the proceeds of a life insurance policy is similar to the position in relation to superannuation. In </w:t>
      </w:r>
      <w:r w:rsidR="00DD2695" w:rsidRPr="002F0E6F">
        <w:rPr>
          <w:lang w:val="en-AU"/>
        </w:rPr>
        <w:t>summary</w:t>
      </w:r>
      <w:r w:rsidRPr="002F0E6F">
        <w:rPr>
          <w:lang w:val="en-AU"/>
        </w:rPr>
        <w:t xml:space="preserve">, the </w:t>
      </w:r>
      <w:r w:rsidR="005E74C8" w:rsidRPr="002F0E6F">
        <w:rPr>
          <w:lang w:val="en-AU"/>
        </w:rPr>
        <w:t xml:space="preserve">proceeds of a life insurance policy are paid according to the details of the policy </w:t>
      </w:r>
      <w:r w:rsidR="006828A9">
        <w:rPr>
          <w:lang w:val="en-AU"/>
        </w:rPr>
        <w:t>—</w:t>
      </w:r>
      <w:r w:rsidR="005E74C8" w:rsidRPr="002F0E6F">
        <w:rPr>
          <w:lang w:val="en-AU"/>
        </w:rPr>
        <w:t xml:space="preserve"> who the account holder </w:t>
      </w:r>
      <w:r w:rsidR="006828A9" w:rsidRPr="002F0E6F">
        <w:rPr>
          <w:lang w:val="en-AU"/>
        </w:rPr>
        <w:t>is,</w:t>
      </w:r>
      <w:r w:rsidR="005E74C8" w:rsidRPr="002F0E6F">
        <w:rPr>
          <w:lang w:val="en-AU"/>
        </w:rPr>
        <w:t xml:space="preserve"> and any beneficiaries nominated.</w:t>
      </w:r>
    </w:p>
    <w:p w14:paraId="4C2A2395" w14:textId="28C732E3" w:rsidR="005E74C8" w:rsidRPr="002F0E6F" w:rsidRDefault="005E74C8" w:rsidP="006828A9">
      <w:pPr>
        <w:pStyle w:val="NormalNumberedTextTLRI"/>
        <w:rPr>
          <w:lang w:val="en-AU"/>
        </w:rPr>
      </w:pPr>
      <w:r w:rsidRPr="002F0E6F">
        <w:rPr>
          <w:lang w:val="en-AU"/>
        </w:rPr>
        <w:t xml:space="preserve">Proceeds of a life insurance policy paid to a person’s legal personal representative form part of their estate and are available for challenge </w:t>
      </w:r>
      <w:r w:rsidRPr="006828A9">
        <w:t>under</w:t>
      </w:r>
      <w:r w:rsidRPr="002F0E6F">
        <w:rPr>
          <w:lang w:val="en-AU"/>
        </w:rPr>
        <w:t xml:space="preserve"> the </w:t>
      </w:r>
      <w:r w:rsidR="006758BF" w:rsidRPr="006758BF">
        <w:rPr>
          <w:i/>
          <w:lang w:val="en-AU"/>
        </w:rPr>
        <w:t xml:space="preserve">TFM </w:t>
      </w:r>
      <w:r w:rsidRPr="006758BF">
        <w:rPr>
          <w:i/>
          <w:lang w:val="en-AU"/>
        </w:rPr>
        <w:t>Act</w:t>
      </w:r>
      <w:r w:rsidRPr="002F0E6F">
        <w:rPr>
          <w:lang w:val="en-AU"/>
        </w:rPr>
        <w:t>. Proceeds of a life insurance policy that are paid directly to a nominated beneficiary fall outside of the person’s estate and are not available to satisfy successful TFM claims.</w:t>
      </w:r>
    </w:p>
    <w:p w14:paraId="3652FB9F" w14:textId="763E9D22" w:rsidR="00F824EC" w:rsidRPr="002F0E6F" w:rsidRDefault="00FB2842" w:rsidP="00DB29C2">
      <w:pPr>
        <w:pStyle w:val="QuoteTLRI"/>
        <w:pBdr>
          <w:top w:val="single" w:sz="4" w:space="1" w:color="auto"/>
          <w:left w:val="single" w:sz="4" w:space="4" w:color="auto"/>
          <w:bottom w:val="single" w:sz="4" w:space="1" w:color="auto"/>
          <w:right w:val="single" w:sz="4" w:space="4" w:color="auto"/>
        </w:pBdr>
        <w:spacing w:after="120"/>
      </w:pPr>
      <w:r w:rsidRPr="00D7593E">
        <w:rPr>
          <w:b/>
        </w:rPr>
        <w:t>Example</w:t>
      </w:r>
      <w:r w:rsidRPr="002F0E6F">
        <w:t>:</w:t>
      </w:r>
    </w:p>
    <w:p w14:paraId="5B1F1497" w14:textId="42220CDA" w:rsidR="00FB2842" w:rsidRPr="002F0E6F" w:rsidRDefault="00CD00CB" w:rsidP="00DB29C2">
      <w:pPr>
        <w:pStyle w:val="QuoteTLRI"/>
        <w:pBdr>
          <w:top w:val="single" w:sz="4" w:space="1" w:color="auto"/>
          <w:left w:val="single" w:sz="4" w:space="4" w:color="auto"/>
          <w:bottom w:val="single" w:sz="4" w:space="1" w:color="auto"/>
          <w:right w:val="single" w:sz="4" w:space="4" w:color="auto"/>
        </w:pBdr>
        <w:spacing w:after="120"/>
      </w:pPr>
      <w:r w:rsidRPr="002F0E6F">
        <w:t>Jenny</w:t>
      </w:r>
      <w:r w:rsidR="00FB2842" w:rsidRPr="002F0E6F">
        <w:t xml:space="preserve"> takes out a life insurance policy to ensure that there will be enough money for her daughter, Tamika, to complete her education if </w:t>
      </w:r>
      <w:r w:rsidRPr="002F0E6F">
        <w:t xml:space="preserve">Jenny </w:t>
      </w:r>
      <w:r w:rsidR="00FB2842" w:rsidRPr="002F0E6F">
        <w:t xml:space="preserve">were to die young. </w:t>
      </w:r>
      <w:r w:rsidRPr="002F0E6F">
        <w:t xml:space="preserve">Jenny </w:t>
      </w:r>
      <w:r w:rsidR="00FB2842" w:rsidRPr="002F0E6F">
        <w:t xml:space="preserve">does not want there to be any possibility that the proceeds of the policy could be paid to anyone else and wants them </w:t>
      </w:r>
      <w:r w:rsidR="000402B0" w:rsidRPr="002F0E6F">
        <w:t>used</w:t>
      </w:r>
      <w:r w:rsidR="00FB2842" w:rsidRPr="002F0E6F">
        <w:t xml:space="preserve"> solely for Tamika’s benefit. </w:t>
      </w:r>
    </w:p>
    <w:p w14:paraId="419ACF61" w14:textId="380C2FDA" w:rsidR="00FB2842" w:rsidRPr="002F0E6F" w:rsidRDefault="00CD00CB" w:rsidP="00D7593E">
      <w:pPr>
        <w:pStyle w:val="QuoteTLRI"/>
        <w:pBdr>
          <w:top w:val="single" w:sz="4" w:space="1" w:color="auto"/>
          <w:left w:val="single" w:sz="4" w:space="4" w:color="auto"/>
          <w:bottom w:val="single" w:sz="4" w:space="1" w:color="auto"/>
          <w:right w:val="single" w:sz="4" w:space="4" w:color="auto"/>
        </w:pBdr>
      </w:pPr>
      <w:r w:rsidRPr="002F0E6F">
        <w:t xml:space="preserve">Jenny </w:t>
      </w:r>
      <w:r w:rsidR="00FB2842" w:rsidRPr="002F0E6F">
        <w:t xml:space="preserve">therefore nominates Tamika as the beneficiary of her life insurance policy. The effect is that the life insurance company must pay the proceeds to Tamika and they are unable to be </w:t>
      </w:r>
      <w:r w:rsidRPr="002F0E6F">
        <w:t>affected by</w:t>
      </w:r>
      <w:r w:rsidR="00FB2842" w:rsidRPr="002F0E6F">
        <w:t xml:space="preserve"> any claim that might be made under the </w:t>
      </w:r>
      <w:r w:rsidR="006758BF" w:rsidRPr="006758BF">
        <w:rPr>
          <w:i/>
        </w:rPr>
        <w:t xml:space="preserve">TFM </w:t>
      </w:r>
      <w:r w:rsidR="00FB2842" w:rsidRPr="006758BF">
        <w:rPr>
          <w:i/>
        </w:rPr>
        <w:t>Act</w:t>
      </w:r>
      <w:r w:rsidR="00FB2842" w:rsidRPr="002F0E6F">
        <w:t>.</w:t>
      </w:r>
    </w:p>
    <w:p w14:paraId="6DA967B0" w14:textId="434C1C1A" w:rsidR="00BF7231" w:rsidRPr="002F0E6F" w:rsidRDefault="00170380" w:rsidP="00DB29C2">
      <w:pPr>
        <w:pStyle w:val="Sub-HeadingTLRI"/>
        <w:spacing w:before="240" w:after="120"/>
      </w:pPr>
      <w:r w:rsidRPr="002F0E6F">
        <w:t>Trust assets and p</w:t>
      </w:r>
      <w:r w:rsidR="00BF7231" w:rsidRPr="002F0E6F">
        <w:t xml:space="preserve">roperty the subject </w:t>
      </w:r>
      <w:r w:rsidR="00BF7231" w:rsidRPr="006828A9">
        <w:t>of</w:t>
      </w:r>
      <w:r w:rsidR="00BF7231" w:rsidRPr="002F0E6F">
        <w:t xml:space="preserve"> a power of appointment</w:t>
      </w:r>
    </w:p>
    <w:p w14:paraId="52DF6198" w14:textId="37F85F9F" w:rsidR="00170380" w:rsidRPr="002F0E6F" w:rsidRDefault="00170380" w:rsidP="00994436">
      <w:pPr>
        <w:pStyle w:val="NormalNumberedTextTLRI"/>
        <w:rPr>
          <w:lang w:val="en-AU"/>
        </w:rPr>
      </w:pPr>
      <w:r w:rsidRPr="002F0E6F">
        <w:rPr>
          <w:lang w:val="en-AU"/>
        </w:rPr>
        <w:t xml:space="preserve">Assets </w:t>
      </w:r>
      <w:r w:rsidR="00F560F2" w:rsidRPr="002F0E6F">
        <w:rPr>
          <w:lang w:val="en-AU"/>
        </w:rPr>
        <w:t>held within</w:t>
      </w:r>
      <w:r w:rsidRPr="002F0E6F">
        <w:rPr>
          <w:lang w:val="en-AU"/>
        </w:rPr>
        <w:t xml:space="preserve"> a trust, for example a family trust, do not form part of a </w:t>
      </w:r>
      <w:r w:rsidR="00F560F2" w:rsidRPr="002F0E6F">
        <w:rPr>
          <w:lang w:val="en-AU"/>
        </w:rPr>
        <w:t>person’s</w:t>
      </w:r>
      <w:r w:rsidRPr="002F0E6F">
        <w:rPr>
          <w:lang w:val="en-AU"/>
        </w:rPr>
        <w:t xml:space="preserve"> estate</w:t>
      </w:r>
      <w:r w:rsidR="00CD00CB" w:rsidRPr="002F0E6F">
        <w:rPr>
          <w:lang w:val="en-AU"/>
        </w:rPr>
        <w:t xml:space="preserve"> with the </w:t>
      </w:r>
      <w:r w:rsidRPr="002F0E6F">
        <w:rPr>
          <w:lang w:val="en-AU"/>
        </w:rPr>
        <w:t>ex</w:t>
      </w:r>
      <w:r w:rsidR="00F560F2" w:rsidRPr="002F0E6F">
        <w:rPr>
          <w:lang w:val="en-AU"/>
        </w:rPr>
        <w:t>c</w:t>
      </w:r>
      <w:r w:rsidRPr="002F0E6F">
        <w:rPr>
          <w:lang w:val="en-AU"/>
        </w:rPr>
        <w:t xml:space="preserve">eption </w:t>
      </w:r>
      <w:r w:rsidR="00CD00CB" w:rsidRPr="002F0E6F">
        <w:rPr>
          <w:lang w:val="en-AU"/>
        </w:rPr>
        <w:t>of</w:t>
      </w:r>
      <w:r w:rsidRPr="002F0E6F">
        <w:rPr>
          <w:lang w:val="en-AU"/>
        </w:rPr>
        <w:t xml:space="preserve"> </w:t>
      </w:r>
      <w:r w:rsidR="00017D86" w:rsidRPr="002F0E6F">
        <w:rPr>
          <w:lang w:val="en-AU"/>
        </w:rPr>
        <w:t>a</w:t>
      </w:r>
      <w:r w:rsidR="00F560F2" w:rsidRPr="002F0E6F">
        <w:rPr>
          <w:lang w:val="en-AU"/>
        </w:rPr>
        <w:t>ny</w:t>
      </w:r>
      <w:r w:rsidRPr="002F0E6F">
        <w:rPr>
          <w:lang w:val="en-AU"/>
        </w:rPr>
        <w:t xml:space="preserve"> </w:t>
      </w:r>
      <w:r w:rsidR="00F560F2" w:rsidRPr="002F0E6F">
        <w:rPr>
          <w:lang w:val="en-AU"/>
        </w:rPr>
        <w:t xml:space="preserve">beneficiary </w:t>
      </w:r>
      <w:r w:rsidRPr="002F0E6F">
        <w:rPr>
          <w:lang w:val="en-AU"/>
        </w:rPr>
        <w:t>loan account</w:t>
      </w:r>
      <w:r w:rsidR="00017D86" w:rsidRPr="002F0E6F">
        <w:rPr>
          <w:lang w:val="en-AU"/>
        </w:rPr>
        <w:t xml:space="preserve"> </w:t>
      </w:r>
      <w:r w:rsidRPr="002F0E6F">
        <w:rPr>
          <w:lang w:val="en-AU"/>
        </w:rPr>
        <w:t>within the trust.</w:t>
      </w:r>
    </w:p>
    <w:p w14:paraId="54B226C3" w14:textId="32560751" w:rsidR="00FC0127" w:rsidRPr="002F0E6F" w:rsidRDefault="00BC0A84" w:rsidP="00E76B72">
      <w:pPr>
        <w:pStyle w:val="NormalNumberedTextTLRI"/>
        <w:rPr>
          <w:lang w:val="en-AU"/>
        </w:rPr>
      </w:pPr>
      <w:r w:rsidRPr="002F0E6F">
        <w:rPr>
          <w:lang w:val="en-AU"/>
        </w:rPr>
        <w:t>A</w:t>
      </w:r>
      <w:r w:rsidR="00170380" w:rsidRPr="002F0E6F">
        <w:rPr>
          <w:lang w:val="en-AU"/>
        </w:rPr>
        <w:t xml:space="preserve"> </w:t>
      </w:r>
      <w:r w:rsidR="00CD00CB" w:rsidRPr="002F0E6F">
        <w:rPr>
          <w:lang w:val="en-AU"/>
        </w:rPr>
        <w:t>testator</w:t>
      </w:r>
      <w:r w:rsidRPr="002F0E6F">
        <w:rPr>
          <w:lang w:val="en-AU"/>
        </w:rPr>
        <w:t xml:space="preserve"> </w:t>
      </w:r>
      <w:r w:rsidR="00170380" w:rsidRPr="002F0E6F">
        <w:rPr>
          <w:lang w:val="en-AU"/>
        </w:rPr>
        <w:t xml:space="preserve">may have a controlling role in relation to </w:t>
      </w:r>
      <w:r w:rsidR="00017D86" w:rsidRPr="002F0E6F">
        <w:rPr>
          <w:lang w:val="en-AU"/>
        </w:rPr>
        <w:t>a</w:t>
      </w:r>
      <w:r w:rsidR="00170380" w:rsidRPr="002F0E6F">
        <w:rPr>
          <w:lang w:val="en-AU"/>
        </w:rPr>
        <w:t xml:space="preserve"> trust, for example as a trustee, appointor, protector or </w:t>
      </w:r>
      <w:r w:rsidR="00170380" w:rsidRPr="00E76B72">
        <w:t>guardian</w:t>
      </w:r>
      <w:r w:rsidR="00170380" w:rsidRPr="002F0E6F">
        <w:rPr>
          <w:lang w:val="en-AU"/>
        </w:rPr>
        <w:t>.</w:t>
      </w:r>
      <w:r w:rsidR="00101368" w:rsidRPr="002F0E6F">
        <w:rPr>
          <w:lang w:val="en-AU"/>
        </w:rPr>
        <w:t xml:space="preserve"> Often the terms of a trust deed give the trustee broad discretion about the treatment of income and capital. A</w:t>
      </w:r>
      <w:r w:rsidR="009F2435" w:rsidRPr="002F0E6F">
        <w:rPr>
          <w:lang w:val="en-AU"/>
        </w:rPr>
        <w:t xml:space="preserve"> </w:t>
      </w:r>
      <w:r w:rsidR="00101368" w:rsidRPr="002F0E6F">
        <w:rPr>
          <w:lang w:val="en-AU"/>
        </w:rPr>
        <w:t xml:space="preserve">trustee may, for example, have power to distribute income </w:t>
      </w:r>
      <w:r w:rsidR="009F2435" w:rsidRPr="002F0E6F">
        <w:rPr>
          <w:lang w:val="en-AU"/>
        </w:rPr>
        <w:t>and/o</w:t>
      </w:r>
      <w:r w:rsidR="00101368" w:rsidRPr="002F0E6F">
        <w:rPr>
          <w:lang w:val="en-AU"/>
        </w:rPr>
        <w:t>r capital to themselves</w:t>
      </w:r>
      <w:r w:rsidR="00D00F7F" w:rsidRPr="002F0E6F">
        <w:rPr>
          <w:lang w:val="en-AU"/>
        </w:rPr>
        <w:t xml:space="preserve"> as </w:t>
      </w:r>
      <w:r w:rsidR="009F2435" w:rsidRPr="002F0E6F">
        <w:rPr>
          <w:lang w:val="en-AU"/>
        </w:rPr>
        <w:t xml:space="preserve">a </w:t>
      </w:r>
      <w:r w:rsidR="00D00F7F" w:rsidRPr="002F0E6F">
        <w:rPr>
          <w:lang w:val="en-AU"/>
        </w:rPr>
        <w:t>beneficiary</w:t>
      </w:r>
      <w:r w:rsidR="00FF78FC">
        <w:rPr>
          <w:lang w:val="en-AU"/>
        </w:rPr>
        <w:t>,</w:t>
      </w:r>
      <w:r w:rsidR="00F51E14">
        <w:rPr>
          <w:lang w:val="en-AU"/>
        </w:rPr>
        <w:t xml:space="preserve"> and i</w:t>
      </w:r>
      <w:r w:rsidR="009F2435" w:rsidRPr="002F0E6F">
        <w:rPr>
          <w:lang w:val="en-AU"/>
        </w:rPr>
        <w:t xml:space="preserve">f they </w:t>
      </w:r>
      <w:r w:rsidR="006758BF">
        <w:rPr>
          <w:lang w:val="en-AU"/>
        </w:rPr>
        <w:t xml:space="preserve">were to </w:t>
      </w:r>
      <w:r w:rsidR="00F51E14">
        <w:rPr>
          <w:lang w:val="en-AU"/>
        </w:rPr>
        <w:t>make such a distribution</w:t>
      </w:r>
      <w:r w:rsidR="009F2435" w:rsidRPr="002F0E6F">
        <w:rPr>
          <w:lang w:val="en-AU"/>
        </w:rPr>
        <w:t>,</w:t>
      </w:r>
      <w:r w:rsidR="00F944AC" w:rsidRPr="002F0E6F">
        <w:rPr>
          <w:lang w:val="en-AU"/>
        </w:rPr>
        <w:t xml:space="preserve"> </w:t>
      </w:r>
      <w:r w:rsidR="009F2435" w:rsidRPr="002F0E6F">
        <w:rPr>
          <w:lang w:val="en-AU"/>
        </w:rPr>
        <w:t xml:space="preserve">then </w:t>
      </w:r>
      <w:r w:rsidR="00F51E14">
        <w:rPr>
          <w:lang w:val="en-AU"/>
        </w:rPr>
        <w:t>the amount distributed</w:t>
      </w:r>
      <w:r w:rsidR="00F944AC" w:rsidRPr="002F0E6F">
        <w:rPr>
          <w:lang w:val="en-AU"/>
        </w:rPr>
        <w:t xml:space="preserve"> </w:t>
      </w:r>
      <w:r w:rsidR="00101368" w:rsidRPr="002F0E6F">
        <w:rPr>
          <w:lang w:val="en-AU"/>
        </w:rPr>
        <w:t xml:space="preserve">would </w:t>
      </w:r>
      <w:r w:rsidR="003A3FC9" w:rsidRPr="002F0E6F">
        <w:rPr>
          <w:lang w:val="en-AU"/>
        </w:rPr>
        <w:t>become</w:t>
      </w:r>
      <w:r w:rsidR="00101368" w:rsidRPr="002F0E6F">
        <w:rPr>
          <w:lang w:val="en-AU"/>
        </w:rPr>
        <w:t xml:space="preserve"> part of their estate.</w:t>
      </w:r>
      <w:r w:rsidR="00101368" w:rsidRPr="002D0BFF">
        <w:rPr>
          <w:rStyle w:val="FootnoteReference"/>
        </w:rPr>
        <w:footnoteReference w:id="60"/>
      </w:r>
      <w:r w:rsidR="00101368" w:rsidRPr="002F0E6F">
        <w:rPr>
          <w:lang w:val="en-AU"/>
        </w:rPr>
        <w:t xml:space="preserve"> Despite a </w:t>
      </w:r>
      <w:r w:rsidR="00A90479" w:rsidRPr="002F0E6F">
        <w:rPr>
          <w:lang w:val="en-AU"/>
        </w:rPr>
        <w:t xml:space="preserve">person </w:t>
      </w:r>
      <w:r w:rsidR="00101368" w:rsidRPr="002F0E6F">
        <w:rPr>
          <w:lang w:val="en-AU"/>
        </w:rPr>
        <w:t xml:space="preserve">having had </w:t>
      </w:r>
      <w:r w:rsidR="00A90479" w:rsidRPr="002F0E6F">
        <w:rPr>
          <w:lang w:val="en-AU"/>
        </w:rPr>
        <w:lastRenderedPageBreak/>
        <w:t xml:space="preserve">effective </w:t>
      </w:r>
      <w:r w:rsidR="00101368" w:rsidRPr="002F0E6F">
        <w:rPr>
          <w:lang w:val="en-AU"/>
        </w:rPr>
        <w:t>control of a trust during their life, including the ability to appoint income and capital to themselves, the assets of th</w:t>
      </w:r>
      <w:r w:rsidR="00A90479" w:rsidRPr="002F0E6F">
        <w:rPr>
          <w:lang w:val="en-AU"/>
        </w:rPr>
        <w:t>at</w:t>
      </w:r>
      <w:r w:rsidR="00101368" w:rsidRPr="002F0E6F">
        <w:rPr>
          <w:lang w:val="en-AU"/>
        </w:rPr>
        <w:t xml:space="preserve"> trust </w:t>
      </w:r>
      <w:r w:rsidR="00A90479" w:rsidRPr="002F0E6F">
        <w:rPr>
          <w:lang w:val="en-AU"/>
        </w:rPr>
        <w:t>are not</w:t>
      </w:r>
      <w:r w:rsidR="00101368" w:rsidRPr="002F0E6F">
        <w:rPr>
          <w:lang w:val="en-AU"/>
        </w:rPr>
        <w:t xml:space="preserve"> part of the</w:t>
      </w:r>
      <w:r w:rsidR="00A90479" w:rsidRPr="002F0E6F">
        <w:rPr>
          <w:lang w:val="en-AU"/>
        </w:rPr>
        <w:t xml:space="preserve">ir estate. The trust’s assets may not, therefore, be </w:t>
      </w:r>
      <w:r w:rsidR="00101368" w:rsidRPr="002F0E6F">
        <w:rPr>
          <w:lang w:val="en-AU"/>
        </w:rPr>
        <w:t xml:space="preserve">used to </w:t>
      </w:r>
      <w:r w:rsidR="00A90479" w:rsidRPr="002F0E6F">
        <w:rPr>
          <w:lang w:val="en-AU"/>
        </w:rPr>
        <w:t>fund</w:t>
      </w:r>
      <w:r w:rsidR="00101368" w:rsidRPr="002F0E6F">
        <w:rPr>
          <w:lang w:val="en-AU"/>
        </w:rPr>
        <w:t xml:space="preserve"> provision for a successful TFM applicant.</w:t>
      </w:r>
    </w:p>
    <w:p w14:paraId="7015B81F" w14:textId="5D6E59F6" w:rsidR="00FC0127" w:rsidRPr="002F0E6F" w:rsidRDefault="00A90479" w:rsidP="002D0BFF">
      <w:pPr>
        <w:pStyle w:val="NormalNumberedTextTLRI"/>
        <w:rPr>
          <w:lang w:val="en-AU"/>
        </w:rPr>
      </w:pPr>
      <w:r w:rsidRPr="002F0E6F">
        <w:rPr>
          <w:lang w:val="en-AU"/>
        </w:rPr>
        <w:t>T</w:t>
      </w:r>
      <w:r w:rsidR="00170380" w:rsidRPr="002F0E6F">
        <w:rPr>
          <w:lang w:val="en-AU"/>
        </w:rPr>
        <w:t xml:space="preserve">he terms of a trust deed </w:t>
      </w:r>
      <w:r w:rsidRPr="002F0E6F">
        <w:rPr>
          <w:lang w:val="en-AU"/>
        </w:rPr>
        <w:t xml:space="preserve">also often </w:t>
      </w:r>
      <w:r w:rsidR="00170380" w:rsidRPr="002F0E6F">
        <w:rPr>
          <w:lang w:val="en-AU"/>
        </w:rPr>
        <w:t xml:space="preserve">provide the ability </w:t>
      </w:r>
      <w:r w:rsidR="005E74C8" w:rsidRPr="002F0E6F">
        <w:rPr>
          <w:lang w:val="en-AU"/>
        </w:rPr>
        <w:t xml:space="preserve">for that individual </w:t>
      </w:r>
      <w:r w:rsidR="00170380" w:rsidRPr="002F0E6F">
        <w:rPr>
          <w:lang w:val="en-AU"/>
        </w:rPr>
        <w:t xml:space="preserve">to appoint a successor </w:t>
      </w:r>
      <w:r w:rsidR="003A37CA" w:rsidRPr="002F0E6F">
        <w:rPr>
          <w:lang w:val="en-AU"/>
        </w:rPr>
        <w:t xml:space="preserve">controller </w:t>
      </w:r>
      <w:r w:rsidR="003A3FC9" w:rsidRPr="002F0E6F">
        <w:rPr>
          <w:lang w:val="en-AU"/>
        </w:rPr>
        <w:t xml:space="preserve">of the </w:t>
      </w:r>
      <w:r w:rsidR="003A3FC9" w:rsidRPr="002D0BFF">
        <w:t>trust</w:t>
      </w:r>
      <w:r w:rsidR="003A3FC9" w:rsidRPr="002F0E6F">
        <w:rPr>
          <w:lang w:val="en-AU"/>
        </w:rPr>
        <w:t xml:space="preserve"> </w:t>
      </w:r>
      <w:r w:rsidR="00170380" w:rsidRPr="002F0E6F">
        <w:rPr>
          <w:lang w:val="en-AU"/>
        </w:rPr>
        <w:t xml:space="preserve">by deed or </w:t>
      </w:r>
      <w:r w:rsidR="000402B0" w:rsidRPr="002F0E6F">
        <w:rPr>
          <w:lang w:val="en-AU"/>
        </w:rPr>
        <w:t xml:space="preserve">by </w:t>
      </w:r>
      <w:r w:rsidR="00170380" w:rsidRPr="002F0E6F">
        <w:rPr>
          <w:lang w:val="en-AU"/>
        </w:rPr>
        <w:t>will.</w:t>
      </w:r>
      <w:r w:rsidR="00017D86" w:rsidRPr="002F0E6F">
        <w:rPr>
          <w:lang w:val="en-AU"/>
        </w:rPr>
        <w:t xml:space="preserve"> </w:t>
      </w:r>
      <w:r w:rsidR="00886080" w:rsidRPr="002F0E6F">
        <w:rPr>
          <w:lang w:val="en-AU"/>
        </w:rPr>
        <w:t>When a testator exercises a power of appointment by will, the property appointed is not part of the testator’s estate</w:t>
      </w:r>
      <w:r w:rsidR="0075689B" w:rsidRPr="002F0E6F">
        <w:rPr>
          <w:lang w:val="en-AU"/>
        </w:rPr>
        <w:t>.</w:t>
      </w:r>
      <w:bookmarkStart w:id="44" w:name="_Ref1749136"/>
      <w:r w:rsidR="0075689B" w:rsidRPr="002D0BFF">
        <w:rPr>
          <w:rStyle w:val="FootnoteReference"/>
        </w:rPr>
        <w:footnoteReference w:id="61"/>
      </w:r>
      <w:bookmarkEnd w:id="44"/>
      <w:r w:rsidR="00F560F2" w:rsidRPr="002F0E6F">
        <w:rPr>
          <w:lang w:val="en-AU"/>
        </w:rPr>
        <w:t xml:space="preserve"> </w:t>
      </w:r>
      <w:r w:rsidR="00EE3CBA" w:rsidRPr="002F0E6F">
        <w:rPr>
          <w:iCs/>
          <w:lang w:val="en-AU"/>
        </w:rPr>
        <w:t>T</w:t>
      </w:r>
      <w:r w:rsidR="00886080" w:rsidRPr="002F0E6F">
        <w:rPr>
          <w:lang w:val="en-AU"/>
        </w:rPr>
        <w:t xml:space="preserve">he exercise of such a power </w:t>
      </w:r>
      <w:r w:rsidR="00EE3CBA" w:rsidRPr="002F0E6F">
        <w:rPr>
          <w:lang w:val="en-AU"/>
        </w:rPr>
        <w:t xml:space="preserve">therefore </w:t>
      </w:r>
      <w:r w:rsidR="00F560F2" w:rsidRPr="002F0E6F">
        <w:rPr>
          <w:lang w:val="en-AU"/>
        </w:rPr>
        <w:t>falls</w:t>
      </w:r>
      <w:r w:rsidR="00886080" w:rsidRPr="002F0E6F">
        <w:rPr>
          <w:lang w:val="en-AU"/>
        </w:rPr>
        <w:t xml:space="preserve"> outside of </w:t>
      </w:r>
      <w:r w:rsidR="00D00F7F" w:rsidRPr="002F0E6F">
        <w:rPr>
          <w:lang w:val="en-AU"/>
        </w:rPr>
        <w:t xml:space="preserve">a </w:t>
      </w:r>
      <w:r w:rsidR="00886080" w:rsidRPr="002F0E6F">
        <w:rPr>
          <w:lang w:val="en-AU"/>
        </w:rPr>
        <w:t xml:space="preserve">possible </w:t>
      </w:r>
      <w:r w:rsidR="006A4AB6" w:rsidRPr="002F0E6F">
        <w:rPr>
          <w:lang w:val="en-AU"/>
        </w:rPr>
        <w:t>TFM</w:t>
      </w:r>
      <w:r w:rsidR="00B7518C" w:rsidRPr="002F0E6F">
        <w:rPr>
          <w:lang w:val="en-AU"/>
        </w:rPr>
        <w:t xml:space="preserve"> </w:t>
      </w:r>
      <w:r w:rsidR="00886080" w:rsidRPr="002F0E6F">
        <w:rPr>
          <w:lang w:val="en-AU"/>
        </w:rPr>
        <w:t>claim</w:t>
      </w:r>
      <w:r w:rsidR="003A37CA" w:rsidRPr="002F0E6F">
        <w:rPr>
          <w:lang w:val="en-AU"/>
        </w:rPr>
        <w:t>.</w:t>
      </w:r>
      <w:r w:rsidR="00F560F2" w:rsidRPr="002D0BFF">
        <w:rPr>
          <w:rStyle w:val="FootnoteReference"/>
        </w:rPr>
        <w:footnoteReference w:id="62"/>
      </w:r>
      <w:r w:rsidR="003A37CA" w:rsidRPr="002F0E6F">
        <w:rPr>
          <w:lang w:val="en-AU"/>
        </w:rPr>
        <w:t xml:space="preserve"> </w:t>
      </w:r>
    </w:p>
    <w:p w14:paraId="550D3122" w14:textId="36900B3D" w:rsidR="00FB2842" w:rsidRPr="002D0BFF" w:rsidRDefault="00FB2842" w:rsidP="00D7593E">
      <w:pPr>
        <w:pStyle w:val="QuoteTLRI"/>
        <w:pBdr>
          <w:top w:val="single" w:sz="4" w:space="1" w:color="auto"/>
          <w:left w:val="single" w:sz="4" w:space="4" w:color="auto"/>
          <w:bottom w:val="single" w:sz="4" w:space="1" w:color="auto"/>
          <w:right w:val="single" w:sz="4" w:space="4" w:color="auto"/>
        </w:pBdr>
        <w:spacing w:after="120"/>
      </w:pPr>
      <w:r w:rsidRPr="00D7593E">
        <w:rPr>
          <w:b/>
        </w:rPr>
        <w:t>Example</w:t>
      </w:r>
      <w:r w:rsidRPr="002D0BFF">
        <w:t>:</w:t>
      </w:r>
    </w:p>
    <w:p w14:paraId="4F0BEED6" w14:textId="2C1989F7" w:rsidR="00FB2842" w:rsidRPr="002D0BFF" w:rsidRDefault="00FB2842" w:rsidP="00D7593E">
      <w:pPr>
        <w:pStyle w:val="QuoteTLRI"/>
        <w:pBdr>
          <w:top w:val="single" w:sz="4" w:space="1" w:color="auto"/>
          <w:left w:val="single" w:sz="4" w:space="4" w:color="auto"/>
          <w:bottom w:val="single" w:sz="4" w:space="1" w:color="auto"/>
          <w:right w:val="single" w:sz="4" w:space="4" w:color="auto"/>
        </w:pBdr>
      </w:pPr>
      <w:r w:rsidRPr="002D0BFF">
        <w:t>Mr Nguyen is the sole appointor and trustee of the Nguyen Family Trust. The trust has in excess of $1</w:t>
      </w:r>
      <w:r w:rsidR="007059C4">
        <w:t xml:space="preserve"> </w:t>
      </w:r>
      <w:r w:rsidRPr="002D0BFF">
        <w:t>m</w:t>
      </w:r>
      <w:r w:rsidR="007059C4">
        <w:t>illion</w:t>
      </w:r>
      <w:r w:rsidRPr="002D0BFF">
        <w:t xml:space="preserve"> net assets.</w:t>
      </w:r>
      <w:r w:rsidR="006A4AB6" w:rsidRPr="002D0BFF">
        <w:t xml:space="preserve"> Despite having terminal cancer and knowing of his imminent death, Mr Nguyen does not appoint </w:t>
      </w:r>
      <w:r w:rsidR="00D00F7F" w:rsidRPr="002D0BFF">
        <w:t>any</w:t>
      </w:r>
      <w:r w:rsidR="006A4AB6" w:rsidRPr="002D0BFF">
        <w:t xml:space="preserve"> capital of the trust to himself as </w:t>
      </w:r>
      <w:r w:rsidR="003A3FC9" w:rsidRPr="002D0BFF">
        <w:t xml:space="preserve">a </w:t>
      </w:r>
      <w:r w:rsidR="006A4AB6" w:rsidRPr="002D0BFF">
        <w:t>beneficiary. The $1</w:t>
      </w:r>
      <w:r w:rsidR="007059C4">
        <w:t xml:space="preserve"> </w:t>
      </w:r>
      <w:r w:rsidR="007059C4" w:rsidRPr="002D0BFF">
        <w:t>m</w:t>
      </w:r>
      <w:r w:rsidR="007059C4">
        <w:t>illion</w:t>
      </w:r>
      <w:r w:rsidR="006A4AB6" w:rsidRPr="002D0BFF">
        <w:t xml:space="preserve"> of net assets therefore remain within the trust</w:t>
      </w:r>
      <w:r w:rsidR="00D00F7F" w:rsidRPr="002D0BFF">
        <w:t xml:space="preserve"> following his death</w:t>
      </w:r>
      <w:r w:rsidR="006A4AB6" w:rsidRPr="002D0BFF">
        <w:t>.</w:t>
      </w:r>
    </w:p>
    <w:p w14:paraId="55CA7676" w14:textId="5281098E" w:rsidR="00BF251F" w:rsidRPr="002D0BFF" w:rsidRDefault="00FB2842" w:rsidP="00D7593E">
      <w:pPr>
        <w:pStyle w:val="QuoteTLRI"/>
        <w:pBdr>
          <w:top w:val="single" w:sz="4" w:space="1" w:color="auto"/>
          <w:left w:val="single" w:sz="4" w:space="4" w:color="auto"/>
          <w:bottom w:val="single" w:sz="4" w:space="1" w:color="auto"/>
          <w:right w:val="single" w:sz="4" w:space="4" w:color="auto"/>
        </w:pBdr>
      </w:pPr>
      <w:r w:rsidRPr="002D0BFF">
        <w:t xml:space="preserve">The Trust Deed sets out how Mr Nguyen can pass control of the trust to successors in the event of his death. </w:t>
      </w:r>
      <w:r w:rsidR="003A3FC9" w:rsidRPr="002D0BFF">
        <w:t xml:space="preserve">Before his death, </w:t>
      </w:r>
      <w:r w:rsidRPr="002D0BFF">
        <w:t>Mr Nguyen exercise</w:t>
      </w:r>
      <w:r w:rsidR="003A3FC9" w:rsidRPr="002D0BFF">
        <w:t>d</w:t>
      </w:r>
      <w:r w:rsidRPr="002D0BFF">
        <w:t xml:space="preserve"> this power by including a clause in his will which </w:t>
      </w:r>
      <w:r w:rsidR="00ED3BA7" w:rsidRPr="002D0BFF">
        <w:t>nominate</w:t>
      </w:r>
      <w:r w:rsidR="003A3FC9" w:rsidRPr="002D0BFF">
        <w:t>d</w:t>
      </w:r>
      <w:r w:rsidR="00ED3BA7" w:rsidRPr="002D0BFF">
        <w:t xml:space="preserve"> </w:t>
      </w:r>
      <w:r w:rsidR="00BF251F" w:rsidRPr="002D0BFF">
        <w:t>Mrs Nguyen.</w:t>
      </w:r>
    </w:p>
    <w:p w14:paraId="50362484" w14:textId="3923E5C8" w:rsidR="00BF251F" w:rsidRPr="002D0BFF" w:rsidRDefault="00BF251F" w:rsidP="00D7593E">
      <w:pPr>
        <w:pStyle w:val="QuoteTLRI"/>
        <w:pBdr>
          <w:top w:val="single" w:sz="4" w:space="1" w:color="auto"/>
          <w:left w:val="single" w:sz="4" w:space="4" w:color="auto"/>
          <w:bottom w:val="single" w:sz="4" w:space="1" w:color="auto"/>
          <w:right w:val="single" w:sz="4" w:space="4" w:color="auto"/>
        </w:pBdr>
      </w:pPr>
      <w:r w:rsidRPr="002D0BFF">
        <w:t xml:space="preserve">Mr Nguyen’s children are </w:t>
      </w:r>
      <w:r w:rsidR="000402B0" w:rsidRPr="002D0BFF">
        <w:t>worried because</w:t>
      </w:r>
      <w:r w:rsidRPr="002D0BFF">
        <w:t xml:space="preserve"> they have no guarantee that they will receive </w:t>
      </w:r>
      <w:r w:rsidR="000402B0" w:rsidRPr="002D0BFF">
        <w:t>any distributions from the trust</w:t>
      </w:r>
      <w:r w:rsidR="006A4AB6" w:rsidRPr="002D0BFF">
        <w:t>. T</w:t>
      </w:r>
      <w:r w:rsidR="000402B0" w:rsidRPr="002D0BFF">
        <w:t xml:space="preserve">he </w:t>
      </w:r>
      <w:r w:rsidR="006A4AB6" w:rsidRPr="002D0BFF">
        <w:t xml:space="preserve">terms of the trust give the </w:t>
      </w:r>
      <w:r w:rsidR="000402B0" w:rsidRPr="002D0BFF">
        <w:t xml:space="preserve">trustee a broad discretion in relation to </w:t>
      </w:r>
      <w:r w:rsidR="00D00F7F" w:rsidRPr="002D0BFF">
        <w:t>decisions about</w:t>
      </w:r>
      <w:r w:rsidR="000402B0" w:rsidRPr="002D0BFF">
        <w:t xml:space="preserve"> distribution</w:t>
      </w:r>
      <w:r w:rsidR="00D00F7F" w:rsidRPr="002D0BFF">
        <w:t>s</w:t>
      </w:r>
      <w:r w:rsidR="000402B0" w:rsidRPr="002D0BFF">
        <w:t xml:space="preserve"> of income and capital. Mr Nguyen’s children are unable to claim any of the assets held in the Nguyen Family Trust if they </w:t>
      </w:r>
      <w:r w:rsidR="006A4AB6" w:rsidRPr="002D0BFF">
        <w:t>decide</w:t>
      </w:r>
      <w:r w:rsidR="000402B0" w:rsidRPr="002D0BFF">
        <w:t xml:space="preserve"> to bring a TFM claim against Mr Nguyen’s estate.</w:t>
      </w:r>
    </w:p>
    <w:p w14:paraId="7AFDD419" w14:textId="26D8EC09" w:rsidR="005E74C8" w:rsidRPr="002F0E6F" w:rsidRDefault="00D00F7F" w:rsidP="00121FA7">
      <w:pPr>
        <w:pStyle w:val="NumberedHeadingTLRI"/>
        <w:spacing w:after="120"/>
        <w:rPr>
          <w:lang w:val="en-AU"/>
        </w:rPr>
      </w:pPr>
      <w:bookmarkStart w:id="45" w:name="_Toc2256858"/>
      <w:r w:rsidRPr="002F0E6F">
        <w:rPr>
          <w:lang w:val="en-AU"/>
        </w:rPr>
        <w:t>Summary</w:t>
      </w:r>
      <w:bookmarkEnd w:id="45"/>
    </w:p>
    <w:p w14:paraId="3D06B264" w14:textId="1A7DD50A" w:rsidR="005E74C8" w:rsidRPr="002F0E6F" w:rsidRDefault="005E74C8" w:rsidP="00A83053">
      <w:pPr>
        <w:pStyle w:val="NormalNumberedTextTLRI"/>
        <w:spacing w:before="120"/>
        <w:rPr>
          <w:lang w:val="en-AU"/>
        </w:rPr>
      </w:pPr>
      <w:r w:rsidRPr="002F0E6F">
        <w:rPr>
          <w:lang w:val="en-AU"/>
        </w:rPr>
        <w:t>The</w:t>
      </w:r>
      <w:r w:rsidR="000402B0" w:rsidRPr="002F0E6F">
        <w:rPr>
          <w:lang w:val="en-AU"/>
        </w:rPr>
        <w:t xml:space="preserve">se examples </w:t>
      </w:r>
      <w:r w:rsidR="000402B0" w:rsidRPr="00A83053">
        <w:t>demonstrate</w:t>
      </w:r>
      <w:r w:rsidR="000402B0" w:rsidRPr="002F0E6F">
        <w:rPr>
          <w:lang w:val="en-AU"/>
        </w:rPr>
        <w:t xml:space="preserve"> the ability for individuals to defeat</w:t>
      </w:r>
      <w:r w:rsidR="00B0231D" w:rsidRPr="002F0E6F">
        <w:rPr>
          <w:lang w:val="en-AU"/>
        </w:rPr>
        <w:t xml:space="preserve"> potential TFM claims</w:t>
      </w:r>
      <w:r w:rsidR="000402B0" w:rsidRPr="002F0E6F">
        <w:rPr>
          <w:lang w:val="en-AU"/>
        </w:rPr>
        <w:t xml:space="preserve">, or </w:t>
      </w:r>
      <w:r w:rsidR="00B0231D" w:rsidRPr="002F0E6F">
        <w:rPr>
          <w:lang w:val="en-AU"/>
        </w:rPr>
        <w:t xml:space="preserve">at least </w:t>
      </w:r>
      <w:r w:rsidR="000402B0" w:rsidRPr="002F0E6F">
        <w:rPr>
          <w:lang w:val="en-AU"/>
        </w:rPr>
        <w:t xml:space="preserve">reduce the </w:t>
      </w:r>
      <w:r w:rsidR="00B0231D" w:rsidRPr="002F0E6F">
        <w:rPr>
          <w:lang w:val="en-AU"/>
        </w:rPr>
        <w:t>assets at risk</w:t>
      </w:r>
      <w:r w:rsidRPr="002F0E6F">
        <w:rPr>
          <w:lang w:val="en-AU"/>
        </w:rPr>
        <w:t xml:space="preserve">. </w:t>
      </w:r>
      <w:r w:rsidR="00B0231D" w:rsidRPr="002F0E6F">
        <w:rPr>
          <w:lang w:val="en-AU"/>
        </w:rPr>
        <w:t>In response to this circumstance</w:t>
      </w:r>
      <w:r w:rsidRPr="002F0E6F">
        <w:rPr>
          <w:lang w:val="en-AU"/>
        </w:rPr>
        <w:t xml:space="preserve">, New South Wales has </w:t>
      </w:r>
      <w:r w:rsidR="003A3FC9" w:rsidRPr="002F0E6F">
        <w:rPr>
          <w:lang w:val="en-AU"/>
        </w:rPr>
        <w:t xml:space="preserve">enacted </w:t>
      </w:r>
      <w:r w:rsidRPr="002F0E6F">
        <w:rPr>
          <w:lang w:val="en-AU"/>
        </w:rPr>
        <w:t xml:space="preserve">notional estate provisions within family provision legislation. These enable assets to be treated as though they comprised part of a person’s estate for the purpose of making an award of provision to a successful </w:t>
      </w:r>
      <w:r w:rsidR="00B0231D" w:rsidRPr="002F0E6F">
        <w:rPr>
          <w:lang w:val="en-AU"/>
        </w:rPr>
        <w:t>TFM</w:t>
      </w:r>
      <w:r w:rsidRPr="002F0E6F">
        <w:rPr>
          <w:lang w:val="en-AU"/>
        </w:rPr>
        <w:t xml:space="preserve"> applicant. </w:t>
      </w:r>
      <w:r w:rsidR="00F71DAD" w:rsidRPr="002F0E6F">
        <w:rPr>
          <w:lang w:val="en-AU"/>
        </w:rPr>
        <w:t xml:space="preserve">These provisions are explained in more detail in </w:t>
      </w:r>
      <w:r w:rsidR="00A83053">
        <w:rPr>
          <w:lang w:val="en-AU"/>
        </w:rPr>
        <w:t>P</w:t>
      </w:r>
      <w:r w:rsidR="00F71DAD" w:rsidRPr="002F0E6F">
        <w:rPr>
          <w:lang w:val="en-AU"/>
        </w:rPr>
        <w:t>art 4.</w:t>
      </w:r>
      <w:r w:rsidR="00D00F7F" w:rsidRPr="002F0E6F">
        <w:rPr>
          <w:lang w:val="en-AU"/>
        </w:rPr>
        <w:t xml:space="preserve"> </w:t>
      </w:r>
    </w:p>
    <w:p w14:paraId="6A280F66" w14:textId="46D33C70" w:rsidR="005F5D89" w:rsidRPr="002F0E6F" w:rsidRDefault="005F5D89" w:rsidP="00C47D98">
      <w:pPr>
        <w:pStyle w:val="NumberedHeadingTLRI"/>
        <w:keepNext/>
        <w:rPr>
          <w:lang w:val="en-AU"/>
        </w:rPr>
      </w:pPr>
      <w:bookmarkStart w:id="46" w:name="_Toc2256859"/>
      <w:r w:rsidRPr="002F0E6F">
        <w:rPr>
          <w:lang w:val="en-AU"/>
        </w:rPr>
        <w:lastRenderedPageBreak/>
        <w:t>Effect of an estate having been distributed</w:t>
      </w:r>
      <w:bookmarkEnd w:id="46"/>
    </w:p>
    <w:p w14:paraId="30C2769F" w14:textId="1ACC7D6A" w:rsidR="005F5D89" w:rsidRPr="002F0E6F" w:rsidRDefault="00F71DAD" w:rsidP="00CB7945">
      <w:pPr>
        <w:pStyle w:val="NormalNumberedTextTLRI"/>
        <w:rPr>
          <w:lang w:val="en-AU"/>
        </w:rPr>
      </w:pPr>
      <w:r w:rsidRPr="002F0E6F">
        <w:rPr>
          <w:lang w:val="en-AU"/>
        </w:rPr>
        <w:t>T</w:t>
      </w:r>
      <w:r w:rsidR="005F5D89" w:rsidRPr="002F0E6F">
        <w:rPr>
          <w:lang w:val="en-AU"/>
        </w:rPr>
        <w:t xml:space="preserve">he Act requires a </w:t>
      </w:r>
      <w:r w:rsidR="00EA39FD">
        <w:rPr>
          <w:lang w:val="en-AU"/>
        </w:rPr>
        <w:t xml:space="preserve">TFM </w:t>
      </w:r>
      <w:r w:rsidR="00D60D5F" w:rsidRPr="002F0E6F">
        <w:rPr>
          <w:lang w:val="en-AU"/>
        </w:rPr>
        <w:t>claim</w:t>
      </w:r>
      <w:r w:rsidR="005F5D89" w:rsidRPr="002F0E6F">
        <w:rPr>
          <w:lang w:val="en-AU"/>
        </w:rPr>
        <w:t xml:space="preserve"> to be filed </w:t>
      </w:r>
      <w:r w:rsidR="00D60D5F" w:rsidRPr="00CB7945">
        <w:t>with</w:t>
      </w:r>
      <w:r w:rsidR="00D60D5F" w:rsidRPr="002F0E6F">
        <w:rPr>
          <w:lang w:val="en-AU"/>
        </w:rPr>
        <w:t xml:space="preserve"> the Court </w:t>
      </w:r>
      <w:r w:rsidR="005F5D89" w:rsidRPr="002F0E6F">
        <w:rPr>
          <w:lang w:val="en-AU"/>
        </w:rPr>
        <w:t xml:space="preserve">within three months of </w:t>
      </w:r>
      <w:r w:rsidR="00E048B8" w:rsidRPr="002F0E6F">
        <w:rPr>
          <w:lang w:val="en-AU"/>
        </w:rPr>
        <w:t>the</w:t>
      </w:r>
      <w:r w:rsidR="005F5D89" w:rsidRPr="002F0E6F">
        <w:rPr>
          <w:lang w:val="en-AU"/>
        </w:rPr>
        <w:t xml:space="preserve"> </w:t>
      </w:r>
      <w:r w:rsidRPr="002F0E6F">
        <w:rPr>
          <w:lang w:val="en-AU"/>
        </w:rPr>
        <w:t>g</w:t>
      </w:r>
      <w:r w:rsidR="005F5D89" w:rsidRPr="002F0E6F">
        <w:rPr>
          <w:lang w:val="en-AU"/>
        </w:rPr>
        <w:t xml:space="preserve">rant of </w:t>
      </w:r>
      <w:r w:rsidRPr="002F0E6F">
        <w:rPr>
          <w:lang w:val="en-AU"/>
        </w:rPr>
        <w:t>a</w:t>
      </w:r>
      <w:r w:rsidR="005F5D89" w:rsidRPr="002F0E6F">
        <w:rPr>
          <w:lang w:val="en-AU"/>
        </w:rPr>
        <w:t>dministration.</w:t>
      </w:r>
      <w:r w:rsidR="005F5D89" w:rsidRPr="00CB7945">
        <w:rPr>
          <w:rStyle w:val="FootnoteReference"/>
        </w:rPr>
        <w:footnoteReference w:id="63"/>
      </w:r>
      <w:r w:rsidR="005F5D89" w:rsidRPr="002F0E6F">
        <w:rPr>
          <w:lang w:val="en-AU"/>
        </w:rPr>
        <w:t xml:space="preserve"> </w:t>
      </w:r>
      <w:r w:rsidR="00C512D1">
        <w:rPr>
          <w:lang w:val="en-AU"/>
        </w:rPr>
        <w:t>S</w:t>
      </w:r>
      <w:r w:rsidR="005F5D89" w:rsidRPr="002F0E6F">
        <w:rPr>
          <w:lang w:val="en-AU"/>
        </w:rPr>
        <w:t xml:space="preserve">ection </w:t>
      </w:r>
      <w:r w:rsidR="00BF6C19">
        <w:rPr>
          <w:lang w:val="en-AU"/>
        </w:rPr>
        <w:t xml:space="preserve">11(4) </w:t>
      </w:r>
      <w:r w:rsidR="005F5D89" w:rsidRPr="002F0E6F">
        <w:rPr>
          <w:lang w:val="en-AU"/>
        </w:rPr>
        <w:t>provide</w:t>
      </w:r>
      <w:r w:rsidR="00FB51C8">
        <w:rPr>
          <w:lang w:val="en-AU"/>
        </w:rPr>
        <w:t>s</w:t>
      </w:r>
      <w:r w:rsidR="005F5D89" w:rsidRPr="002F0E6F">
        <w:rPr>
          <w:lang w:val="en-AU"/>
        </w:rPr>
        <w:t xml:space="preserve"> that any application </w:t>
      </w:r>
      <w:r w:rsidR="00D60D5F" w:rsidRPr="002F0E6F">
        <w:rPr>
          <w:lang w:val="en-AU"/>
        </w:rPr>
        <w:t>seeking</w:t>
      </w:r>
      <w:r w:rsidR="005F5D89" w:rsidRPr="002F0E6F">
        <w:rPr>
          <w:lang w:val="en-AU"/>
        </w:rPr>
        <w:t xml:space="preserve"> an extension </w:t>
      </w:r>
      <w:r w:rsidR="0027220D" w:rsidRPr="002F0E6F">
        <w:rPr>
          <w:lang w:val="en-AU"/>
        </w:rPr>
        <w:t>of</w:t>
      </w:r>
      <w:r w:rsidR="00F1190E" w:rsidRPr="002F0E6F">
        <w:rPr>
          <w:lang w:val="en-AU"/>
        </w:rPr>
        <w:t xml:space="preserve"> </w:t>
      </w:r>
      <w:r w:rsidRPr="002F0E6F">
        <w:rPr>
          <w:lang w:val="en-AU"/>
        </w:rPr>
        <w:t xml:space="preserve">this </w:t>
      </w:r>
      <w:r w:rsidR="005F5D89" w:rsidRPr="002F0E6F">
        <w:rPr>
          <w:lang w:val="en-AU"/>
        </w:rPr>
        <w:t xml:space="preserve">time </w:t>
      </w:r>
      <w:r w:rsidRPr="002F0E6F">
        <w:rPr>
          <w:lang w:val="en-AU"/>
        </w:rPr>
        <w:t xml:space="preserve">limit </w:t>
      </w:r>
      <w:r w:rsidR="005F5D89" w:rsidRPr="002F0E6F">
        <w:rPr>
          <w:lang w:val="en-AU"/>
        </w:rPr>
        <w:t>must be made before the estate has been fully distributed.</w:t>
      </w:r>
      <w:r w:rsidR="005F5D89" w:rsidRPr="00CB7945">
        <w:rPr>
          <w:rStyle w:val="FootnoteReference"/>
        </w:rPr>
        <w:footnoteReference w:id="64"/>
      </w:r>
      <w:r w:rsidR="005F5D89" w:rsidRPr="00CB7945">
        <w:t xml:space="preserve"> </w:t>
      </w:r>
      <w:r w:rsidR="005F5D89" w:rsidRPr="002F0E6F">
        <w:rPr>
          <w:lang w:val="en-AU"/>
        </w:rPr>
        <w:t xml:space="preserve">It </w:t>
      </w:r>
      <w:r w:rsidR="002816E4" w:rsidRPr="002F0E6F">
        <w:rPr>
          <w:lang w:val="en-AU"/>
        </w:rPr>
        <w:t>states</w:t>
      </w:r>
      <w:r w:rsidR="005F5D89" w:rsidRPr="002F0E6F">
        <w:rPr>
          <w:lang w:val="en-AU"/>
        </w:rPr>
        <w:t>:</w:t>
      </w:r>
    </w:p>
    <w:p w14:paraId="19D7D83A" w14:textId="567A2607" w:rsidR="005F5D89" w:rsidRPr="002F0E6F" w:rsidRDefault="00BF6C19" w:rsidP="00C47D98">
      <w:pPr>
        <w:pStyle w:val="QuoteTLRI"/>
      </w:pPr>
      <w:r w:rsidRPr="00BF6C19">
        <w:rPr>
          <w:shd w:val="clear" w:color="auto" w:fill="FFFFFF"/>
        </w:rPr>
        <w:t xml:space="preserve">An application </w:t>
      </w:r>
      <w:r>
        <w:rPr>
          <w:shd w:val="clear" w:color="auto" w:fill="FFFFFF"/>
        </w:rPr>
        <w:t>…</w:t>
      </w:r>
      <w:r w:rsidRPr="00BF6C19">
        <w:rPr>
          <w:shd w:val="clear" w:color="auto" w:fill="FFFFFF"/>
        </w:rPr>
        <w:t xml:space="preserve"> shall be made before the final distribution of the estate of the deceased person, and </w:t>
      </w:r>
      <w:r w:rsidR="005F5D89" w:rsidRPr="002F0E6F">
        <w:rPr>
          <w:shd w:val="clear" w:color="auto" w:fill="FFFFFF"/>
        </w:rPr>
        <w:t xml:space="preserve">no distribution of any part of the estate made </w:t>
      </w:r>
      <w:r w:rsidR="005F5D89" w:rsidRPr="00C512D1">
        <w:t>before</w:t>
      </w:r>
      <w:r w:rsidR="005F5D89" w:rsidRPr="002F0E6F">
        <w:rPr>
          <w:shd w:val="clear" w:color="auto" w:fill="FFFFFF"/>
        </w:rPr>
        <w:t xml:space="preserve"> the making of an application </w:t>
      </w:r>
      <w:r>
        <w:rPr>
          <w:shd w:val="clear" w:color="auto" w:fill="FFFFFF"/>
        </w:rPr>
        <w:t>…</w:t>
      </w:r>
      <w:r w:rsidR="005F5D89" w:rsidRPr="002F0E6F">
        <w:rPr>
          <w:shd w:val="clear" w:color="auto" w:fill="FFFFFF"/>
        </w:rPr>
        <w:t xml:space="preserve"> shall be disturbed by reason of that application or of any order made thereon or in consequence thereof.</w:t>
      </w:r>
    </w:p>
    <w:p w14:paraId="18639A09" w14:textId="2711AE77" w:rsidR="005F5D89" w:rsidRPr="002F0E6F" w:rsidRDefault="00CE3C96" w:rsidP="00AA737F">
      <w:pPr>
        <w:pStyle w:val="NormalNumberedTextTLRI"/>
        <w:rPr>
          <w:lang w:val="en-AU"/>
        </w:rPr>
      </w:pPr>
      <w:r w:rsidRPr="002F0E6F">
        <w:rPr>
          <w:lang w:val="en-AU"/>
        </w:rPr>
        <w:t xml:space="preserve">This was the </w:t>
      </w:r>
      <w:r w:rsidR="002816E4" w:rsidRPr="002F0E6F">
        <w:rPr>
          <w:lang w:val="en-AU"/>
        </w:rPr>
        <w:t xml:space="preserve">situation that arose in the Tasmanian decision of </w:t>
      </w:r>
      <w:r w:rsidR="002816E4" w:rsidRPr="002F0E6F">
        <w:rPr>
          <w:i/>
          <w:lang w:val="en-AU"/>
        </w:rPr>
        <w:t>Williams v Williams</w:t>
      </w:r>
      <w:r w:rsidR="002816E4" w:rsidRPr="002F0E6F">
        <w:rPr>
          <w:lang w:val="en-AU"/>
        </w:rPr>
        <w:t>.</w:t>
      </w:r>
      <w:r w:rsidR="002816E4" w:rsidRPr="00CB7945">
        <w:rPr>
          <w:rStyle w:val="FootnoteReference"/>
        </w:rPr>
        <w:footnoteReference w:id="65"/>
      </w:r>
      <w:r w:rsidR="002816E4" w:rsidRPr="002F0E6F">
        <w:rPr>
          <w:lang w:val="en-AU"/>
        </w:rPr>
        <w:t xml:space="preserve"> This case involved an </w:t>
      </w:r>
      <w:r w:rsidR="002816E4" w:rsidRPr="00AA737F">
        <w:t>application</w:t>
      </w:r>
      <w:r w:rsidR="002816E4" w:rsidRPr="002F0E6F">
        <w:rPr>
          <w:lang w:val="en-AU"/>
        </w:rPr>
        <w:t xml:space="preserve"> by </w:t>
      </w:r>
      <w:r w:rsidR="00587E28" w:rsidRPr="002F0E6F">
        <w:rPr>
          <w:lang w:val="en-AU"/>
        </w:rPr>
        <w:t>a</w:t>
      </w:r>
      <w:r w:rsidR="002816E4" w:rsidRPr="002F0E6F">
        <w:rPr>
          <w:lang w:val="en-AU"/>
        </w:rPr>
        <w:t xml:space="preserve"> surviving spouse which was made after the</w:t>
      </w:r>
      <w:r w:rsidR="00480BA7" w:rsidRPr="002F0E6F">
        <w:rPr>
          <w:lang w:val="en-AU"/>
        </w:rPr>
        <w:t xml:space="preserve"> expiry of the</w:t>
      </w:r>
      <w:r w:rsidR="002816E4" w:rsidRPr="002F0E6F">
        <w:rPr>
          <w:lang w:val="en-AU"/>
        </w:rPr>
        <w:t xml:space="preserve"> three month claim period. In the meantime, the </w:t>
      </w:r>
      <w:r w:rsidR="00587E28" w:rsidRPr="002F0E6F">
        <w:rPr>
          <w:lang w:val="en-AU"/>
        </w:rPr>
        <w:t>e</w:t>
      </w:r>
      <w:r w:rsidR="002816E4" w:rsidRPr="002F0E6F">
        <w:rPr>
          <w:lang w:val="en-AU"/>
        </w:rPr>
        <w:t xml:space="preserve">xecutors had distributed the main asset </w:t>
      </w:r>
      <w:r w:rsidR="009E44AE" w:rsidRPr="002F0E6F">
        <w:rPr>
          <w:lang w:val="en-AU"/>
        </w:rPr>
        <w:t>in the estate</w:t>
      </w:r>
      <w:r w:rsidR="002816E4" w:rsidRPr="002F0E6F">
        <w:rPr>
          <w:lang w:val="en-AU"/>
        </w:rPr>
        <w:t>, property at St Helens</w:t>
      </w:r>
      <w:r w:rsidR="00D60D5F" w:rsidRPr="002F0E6F">
        <w:rPr>
          <w:lang w:val="en-AU"/>
        </w:rPr>
        <w:t xml:space="preserve"> </w:t>
      </w:r>
      <w:r w:rsidR="002816E4" w:rsidRPr="002F0E6F">
        <w:rPr>
          <w:lang w:val="en-AU"/>
        </w:rPr>
        <w:t>worth about $650,000, in accordance with the terms of Mr Williams’ will.</w:t>
      </w:r>
    </w:p>
    <w:p w14:paraId="50D7DE43" w14:textId="2332BC32" w:rsidR="002816E4" w:rsidRPr="002F0E6F" w:rsidRDefault="002816E4" w:rsidP="00AA737F">
      <w:pPr>
        <w:pStyle w:val="NormalNumberedTextTLRI"/>
        <w:rPr>
          <w:lang w:val="en-AU"/>
        </w:rPr>
      </w:pPr>
      <w:r w:rsidRPr="002F0E6F">
        <w:rPr>
          <w:lang w:val="en-AU"/>
        </w:rPr>
        <w:t>Whilst the Court approved the applicant’s claim being made out of time,</w:t>
      </w:r>
      <w:r w:rsidRPr="00CB7945">
        <w:rPr>
          <w:rStyle w:val="FootnoteReference"/>
        </w:rPr>
        <w:footnoteReference w:id="66"/>
      </w:r>
      <w:r w:rsidRPr="002F0E6F">
        <w:rPr>
          <w:lang w:val="en-AU"/>
        </w:rPr>
        <w:t xml:space="preserve"> it was confirmed that, as a consequence of </w:t>
      </w:r>
      <w:r w:rsidR="00D60D5F" w:rsidRPr="002F0E6F">
        <w:rPr>
          <w:lang w:val="en-AU"/>
        </w:rPr>
        <w:t xml:space="preserve">s 11(4) </w:t>
      </w:r>
      <w:r w:rsidRPr="002F0E6F">
        <w:rPr>
          <w:lang w:val="en-AU"/>
        </w:rPr>
        <w:t xml:space="preserve">the </w:t>
      </w:r>
      <w:r w:rsidR="00F148E9" w:rsidRPr="00F148E9">
        <w:rPr>
          <w:i/>
          <w:lang w:val="en-AU"/>
        </w:rPr>
        <w:t xml:space="preserve">TFM </w:t>
      </w:r>
      <w:r w:rsidRPr="00F148E9">
        <w:rPr>
          <w:i/>
          <w:lang w:val="en-AU"/>
        </w:rPr>
        <w:t>Act</w:t>
      </w:r>
      <w:r w:rsidRPr="002F0E6F">
        <w:rPr>
          <w:lang w:val="en-AU"/>
        </w:rPr>
        <w:t xml:space="preserve">, the distribution of </w:t>
      </w:r>
      <w:r w:rsidR="00196370" w:rsidRPr="002F0E6F">
        <w:rPr>
          <w:lang w:val="en-AU"/>
        </w:rPr>
        <w:t>St Helens</w:t>
      </w:r>
      <w:r w:rsidR="00587E28" w:rsidRPr="002F0E6F">
        <w:rPr>
          <w:lang w:val="en-AU"/>
        </w:rPr>
        <w:t xml:space="preserve"> property </w:t>
      </w:r>
      <w:r w:rsidRPr="002F0E6F">
        <w:rPr>
          <w:lang w:val="en-AU"/>
        </w:rPr>
        <w:t>could not be disturbed for the purpose of making provision to the applicant.</w:t>
      </w:r>
      <w:r w:rsidRPr="00CB7945">
        <w:rPr>
          <w:rStyle w:val="FootnoteReference"/>
        </w:rPr>
        <w:footnoteReference w:id="67"/>
      </w:r>
      <w:r w:rsidR="00D60D5F" w:rsidRPr="002F0E6F">
        <w:rPr>
          <w:lang w:val="en-AU"/>
        </w:rPr>
        <w:t xml:space="preserve"> This significantly reduced the pool from which additional provision could be made for the spouse.</w:t>
      </w:r>
    </w:p>
    <w:p w14:paraId="450C118C" w14:textId="499781EC" w:rsidR="00D60D5F" w:rsidRDefault="00D60D5F" w:rsidP="00AA737F">
      <w:pPr>
        <w:pStyle w:val="NormalNumberedTextTLRI"/>
        <w:rPr>
          <w:lang w:val="en-AU"/>
        </w:rPr>
      </w:pPr>
      <w:r w:rsidRPr="002F0E6F">
        <w:rPr>
          <w:lang w:val="en-AU"/>
        </w:rPr>
        <w:t xml:space="preserve">Notional estate </w:t>
      </w:r>
      <w:r w:rsidRPr="00AA737F">
        <w:t>provisions</w:t>
      </w:r>
      <w:r w:rsidRPr="002F0E6F">
        <w:rPr>
          <w:lang w:val="en-AU"/>
        </w:rPr>
        <w:t xml:space="preserve"> in </w:t>
      </w:r>
      <w:r w:rsidR="009B004F" w:rsidRPr="002F0E6F">
        <w:rPr>
          <w:lang w:val="en-AU"/>
        </w:rPr>
        <w:t>New South Wales</w:t>
      </w:r>
      <w:r w:rsidRPr="002F0E6F">
        <w:rPr>
          <w:lang w:val="en-AU"/>
        </w:rPr>
        <w:t xml:space="preserve"> </w:t>
      </w:r>
      <w:r w:rsidR="00A17580" w:rsidRPr="002F0E6F">
        <w:rPr>
          <w:lang w:val="en-AU"/>
        </w:rPr>
        <w:t>provide for</w:t>
      </w:r>
      <w:r w:rsidRPr="002F0E6F">
        <w:rPr>
          <w:lang w:val="en-AU"/>
        </w:rPr>
        <w:t xml:space="preserve"> this circumstance. The</w:t>
      </w:r>
      <w:r w:rsidR="009E44AE" w:rsidRPr="002F0E6F">
        <w:rPr>
          <w:lang w:val="en-AU"/>
        </w:rPr>
        <w:t>y</w:t>
      </w:r>
      <w:r w:rsidRPr="002F0E6F">
        <w:rPr>
          <w:lang w:val="en-AU"/>
        </w:rPr>
        <w:t xml:space="preserve"> </w:t>
      </w:r>
      <w:r w:rsidR="009E44AE" w:rsidRPr="002F0E6F">
        <w:rPr>
          <w:lang w:val="en-AU"/>
        </w:rPr>
        <w:t>enable</w:t>
      </w:r>
      <w:r w:rsidRPr="002F0E6F">
        <w:rPr>
          <w:lang w:val="en-AU"/>
        </w:rPr>
        <w:t xml:space="preserve"> the </w:t>
      </w:r>
      <w:r w:rsidR="009E44AE" w:rsidRPr="002F0E6F">
        <w:rPr>
          <w:lang w:val="en-AU"/>
        </w:rPr>
        <w:t>c</w:t>
      </w:r>
      <w:r w:rsidRPr="002F0E6F">
        <w:rPr>
          <w:lang w:val="en-AU"/>
        </w:rPr>
        <w:t>ourt to designate assets distributed from a</w:t>
      </w:r>
      <w:r w:rsidR="009E44AE" w:rsidRPr="002F0E6F">
        <w:rPr>
          <w:lang w:val="en-AU"/>
        </w:rPr>
        <w:t xml:space="preserve">n </w:t>
      </w:r>
      <w:r w:rsidRPr="002F0E6F">
        <w:rPr>
          <w:lang w:val="en-AU"/>
        </w:rPr>
        <w:t xml:space="preserve">estate as notional estate. Using the example of </w:t>
      </w:r>
      <w:r w:rsidRPr="002F0E6F">
        <w:rPr>
          <w:i/>
          <w:lang w:val="en-AU"/>
        </w:rPr>
        <w:t>Williams v Williams</w:t>
      </w:r>
      <w:r w:rsidRPr="002F0E6F">
        <w:rPr>
          <w:lang w:val="en-AU"/>
        </w:rPr>
        <w:t xml:space="preserve">, the ability to make a notional estate order </w:t>
      </w:r>
      <w:r w:rsidR="009E44AE" w:rsidRPr="002F0E6F">
        <w:rPr>
          <w:lang w:val="en-AU"/>
        </w:rPr>
        <w:t>c</w:t>
      </w:r>
      <w:r w:rsidRPr="002F0E6F">
        <w:rPr>
          <w:lang w:val="en-AU"/>
        </w:rPr>
        <w:t xml:space="preserve">ould have enabled the </w:t>
      </w:r>
      <w:r w:rsidR="009E44AE" w:rsidRPr="002F0E6F">
        <w:rPr>
          <w:lang w:val="en-AU"/>
        </w:rPr>
        <w:t>C</w:t>
      </w:r>
      <w:r w:rsidRPr="002F0E6F">
        <w:rPr>
          <w:lang w:val="en-AU"/>
        </w:rPr>
        <w:t>ourt to treat the St Helens property as part of Mr Williams’ notional estate</w:t>
      </w:r>
      <w:r w:rsidR="00E91849" w:rsidRPr="002F0E6F">
        <w:rPr>
          <w:lang w:val="en-AU"/>
        </w:rPr>
        <w:t xml:space="preserve"> for the purpose of making </w:t>
      </w:r>
      <w:r w:rsidRPr="002F0E6F">
        <w:rPr>
          <w:lang w:val="en-AU"/>
        </w:rPr>
        <w:t xml:space="preserve">provision </w:t>
      </w:r>
      <w:r w:rsidR="00E91849" w:rsidRPr="002F0E6F">
        <w:rPr>
          <w:lang w:val="en-AU"/>
        </w:rPr>
        <w:t>for</w:t>
      </w:r>
      <w:r w:rsidRPr="002F0E6F">
        <w:rPr>
          <w:lang w:val="en-AU"/>
        </w:rPr>
        <w:t xml:space="preserve"> the spouse (assuming the requirements of the legislation were met). </w:t>
      </w:r>
      <w:r w:rsidR="00A17580" w:rsidRPr="002F0E6F">
        <w:rPr>
          <w:lang w:val="en-AU"/>
        </w:rPr>
        <w:t xml:space="preserve">Details of </w:t>
      </w:r>
      <w:r w:rsidR="009E44AE" w:rsidRPr="002F0E6F">
        <w:rPr>
          <w:lang w:val="en-AU"/>
        </w:rPr>
        <w:t>the test</w:t>
      </w:r>
      <w:r w:rsidR="00196370" w:rsidRPr="002F0E6F">
        <w:rPr>
          <w:lang w:val="en-AU"/>
        </w:rPr>
        <w:t>s</w:t>
      </w:r>
      <w:r w:rsidR="00A17580" w:rsidRPr="002F0E6F">
        <w:rPr>
          <w:lang w:val="en-AU"/>
        </w:rPr>
        <w:t xml:space="preserve"> applying in </w:t>
      </w:r>
      <w:r w:rsidR="009B004F" w:rsidRPr="002F0E6F">
        <w:rPr>
          <w:lang w:val="en-AU"/>
        </w:rPr>
        <w:t>New South Wales</w:t>
      </w:r>
      <w:r w:rsidR="00A17580" w:rsidRPr="002F0E6F">
        <w:rPr>
          <w:lang w:val="en-AU"/>
        </w:rPr>
        <w:t xml:space="preserve"> are outlined in </w:t>
      </w:r>
      <w:r w:rsidR="00AA737F">
        <w:rPr>
          <w:lang w:val="en-AU"/>
        </w:rPr>
        <w:t>P</w:t>
      </w:r>
      <w:r w:rsidR="00A17580" w:rsidRPr="002F0E6F">
        <w:rPr>
          <w:lang w:val="en-AU"/>
        </w:rPr>
        <w:t>art</w:t>
      </w:r>
      <w:r w:rsidR="00AA737F">
        <w:rPr>
          <w:lang w:val="en-AU"/>
        </w:rPr>
        <w:t> </w:t>
      </w:r>
      <w:r w:rsidR="00CE2576" w:rsidRPr="002F0E6F">
        <w:rPr>
          <w:lang w:val="en-AU"/>
        </w:rPr>
        <w:t>4</w:t>
      </w:r>
      <w:r w:rsidR="00A17580" w:rsidRPr="002F0E6F">
        <w:rPr>
          <w:lang w:val="en-AU"/>
        </w:rPr>
        <w:t>.</w:t>
      </w:r>
    </w:p>
    <w:p w14:paraId="0DE85F5F" w14:textId="77777777" w:rsidR="00FD2400" w:rsidRDefault="00FD2400" w:rsidP="00FD2400">
      <w:pPr>
        <w:pStyle w:val="NormalNumberedTextTLRI"/>
        <w:numPr>
          <w:ilvl w:val="0"/>
          <w:numId w:val="0"/>
        </w:numPr>
        <w:rPr>
          <w:lang w:val="en-AU"/>
        </w:rPr>
        <w:sectPr w:rsidR="00FD2400" w:rsidSect="000F2AEC">
          <w:headerReference w:type="even" r:id="rId51"/>
          <w:headerReference w:type="default" r:id="rId52"/>
          <w:headerReference w:type="first" r:id="rId53"/>
          <w:pgSz w:w="11906" w:h="16838" w:code="9"/>
          <w:pgMar w:top="1440" w:right="1440" w:bottom="1440" w:left="1440" w:header="709" w:footer="709" w:gutter="0"/>
          <w:cols w:space="708"/>
          <w:titlePg/>
          <w:docGrid w:linePitch="360"/>
        </w:sectPr>
      </w:pPr>
    </w:p>
    <w:p w14:paraId="6B1AB795" w14:textId="6D8E22CA" w:rsidR="00AA5FD8" w:rsidRPr="002F0E6F" w:rsidRDefault="00AA5FD8" w:rsidP="00EF722D">
      <w:pPr>
        <w:pStyle w:val="PartNoTLRI"/>
        <w:ind w:left="0" w:firstLine="0"/>
        <w:rPr>
          <w:lang w:val="en-AU"/>
        </w:rPr>
      </w:pPr>
      <w:bookmarkStart w:id="47" w:name="_Toc2256860"/>
      <w:bookmarkEnd w:id="47"/>
    </w:p>
    <w:p w14:paraId="0FE05D2D" w14:textId="4B798942" w:rsidR="002C3DFE" w:rsidRPr="002F0E6F" w:rsidRDefault="00343BFF" w:rsidP="00780FFD">
      <w:pPr>
        <w:pStyle w:val="PartHeadingTLRI"/>
      </w:pPr>
      <w:bookmarkStart w:id="48" w:name="_Toc2256861"/>
      <w:r w:rsidRPr="00780FFD">
        <w:t>Development</w:t>
      </w:r>
      <w:r w:rsidRPr="002F0E6F">
        <w:t xml:space="preserve"> of the </w:t>
      </w:r>
      <w:r w:rsidR="00C47D98">
        <w:rPr>
          <w:lang w:val="en-AU"/>
        </w:rPr>
        <w:t>I</w:t>
      </w:r>
      <w:r w:rsidRPr="002F0E6F">
        <w:t>dea of the</w:t>
      </w:r>
      <w:r w:rsidR="00AA5FD8" w:rsidRPr="002F0E6F">
        <w:t xml:space="preserve"> ‘</w:t>
      </w:r>
      <w:r w:rsidR="00C47D98">
        <w:rPr>
          <w:lang w:val="en-AU"/>
        </w:rPr>
        <w:t>N</w:t>
      </w:r>
      <w:r w:rsidR="00AA5FD8" w:rsidRPr="002F0E6F">
        <w:t xml:space="preserve">otional </w:t>
      </w:r>
      <w:r w:rsidR="00C47D98">
        <w:rPr>
          <w:lang w:val="en-AU"/>
        </w:rPr>
        <w:t>E</w:t>
      </w:r>
      <w:r w:rsidR="00AA5FD8" w:rsidRPr="002F0E6F">
        <w:t>state’</w:t>
      </w:r>
      <w:bookmarkEnd w:id="48"/>
    </w:p>
    <w:p w14:paraId="3219E08D" w14:textId="15F9F635" w:rsidR="006232EA" w:rsidRPr="002F0E6F" w:rsidRDefault="006D436B" w:rsidP="006232EA">
      <w:pPr>
        <w:pStyle w:val="NumberedHeadingTLRI"/>
        <w:rPr>
          <w:lang w:val="en-AU"/>
        </w:rPr>
      </w:pPr>
      <w:bookmarkStart w:id="49" w:name="_Toc2256862"/>
      <w:r w:rsidRPr="002F0E6F">
        <w:rPr>
          <w:lang w:val="en-AU"/>
        </w:rPr>
        <w:t>Introductio</w:t>
      </w:r>
      <w:r w:rsidR="006232EA" w:rsidRPr="002F0E6F">
        <w:rPr>
          <w:lang w:val="en-AU"/>
        </w:rPr>
        <w:t>n</w:t>
      </w:r>
      <w:bookmarkEnd w:id="49"/>
    </w:p>
    <w:p w14:paraId="6C579DE6" w14:textId="5AA4FF0B" w:rsidR="0065123E" w:rsidRPr="002F0E6F" w:rsidRDefault="005E74C8" w:rsidP="00780FFD">
      <w:pPr>
        <w:pStyle w:val="NormalNumberedTextTLRI"/>
        <w:rPr>
          <w:lang w:val="en-AU"/>
        </w:rPr>
      </w:pPr>
      <w:r w:rsidRPr="00780FFD">
        <w:t>Preceding</w:t>
      </w:r>
      <w:r w:rsidRPr="002F0E6F">
        <w:rPr>
          <w:lang w:val="en-AU"/>
        </w:rPr>
        <w:t xml:space="preserve"> parts</w:t>
      </w:r>
      <w:r w:rsidR="00B0231D" w:rsidRPr="002F0E6F">
        <w:rPr>
          <w:lang w:val="en-AU"/>
        </w:rPr>
        <w:t xml:space="preserve"> of this Issues Paper</w:t>
      </w:r>
      <w:r w:rsidRPr="002F0E6F">
        <w:rPr>
          <w:lang w:val="en-AU"/>
        </w:rPr>
        <w:t xml:space="preserve"> have considered the development of family provision law, the </w:t>
      </w:r>
      <w:r w:rsidR="0065123E" w:rsidRPr="002F0E6F">
        <w:rPr>
          <w:lang w:val="en-AU"/>
        </w:rPr>
        <w:t xml:space="preserve">position in Tasmania arising under the </w:t>
      </w:r>
      <w:r w:rsidR="00C47D98" w:rsidRPr="00C47D98">
        <w:rPr>
          <w:i/>
          <w:lang w:val="en-AU"/>
        </w:rPr>
        <w:t xml:space="preserve">TFM </w:t>
      </w:r>
      <w:r w:rsidR="0065123E" w:rsidRPr="00C47D98">
        <w:rPr>
          <w:i/>
          <w:lang w:val="en-AU"/>
        </w:rPr>
        <w:t>Act</w:t>
      </w:r>
      <w:r w:rsidR="0065123E" w:rsidRPr="002F0E6F">
        <w:rPr>
          <w:lang w:val="en-AU"/>
        </w:rPr>
        <w:t xml:space="preserve"> and those assets that can be claimed </w:t>
      </w:r>
      <w:r w:rsidR="00452686" w:rsidRPr="002F0E6F">
        <w:rPr>
          <w:lang w:val="en-AU"/>
        </w:rPr>
        <w:t>as part of</w:t>
      </w:r>
      <w:r w:rsidR="0065123E" w:rsidRPr="002F0E6F">
        <w:rPr>
          <w:lang w:val="en-AU"/>
        </w:rPr>
        <w:t xml:space="preserve"> </w:t>
      </w:r>
      <w:r w:rsidR="00566D4F" w:rsidRPr="002F0E6F">
        <w:rPr>
          <w:lang w:val="en-AU"/>
        </w:rPr>
        <w:t xml:space="preserve">a TFM claim in </w:t>
      </w:r>
      <w:r w:rsidR="0065123E" w:rsidRPr="002F0E6F">
        <w:rPr>
          <w:lang w:val="en-AU"/>
        </w:rPr>
        <w:t>Tasmania</w:t>
      </w:r>
      <w:r w:rsidR="00566D4F" w:rsidRPr="002F0E6F">
        <w:rPr>
          <w:lang w:val="en-AU"/>
        </w:rPr>
        <w:t>.</w:t>
      </w:r>
    </w:p>
    <w:p w14:paraId="05E1FA23" w14:textId="4C7854DD" w:rsidR="002C3DFE" w:rsidRPr="002F0E6F" w:rsidRDefault="00766F0D" w:rsidP="008E4D3F">
      <w:pPr>
        <w:pStyle w:val="NormalNumberedTextTLRI"/>
        <w:spacing w:after="120"/>
        <w:rPr>
          <w:lang w:val="en-AU"/>
        </w:rPr>
      </w:pPr>
      <w:r w:rsidRPr="002F0E6F">
        <w:rPr>
          <w:lang w:val="en-AU"/>
        </w:rPr>
        <w:t xml:space="preserve">This </w:t>
      </w:r>
      <w:r w:rsidR="008E4D3F">
        <w:rPr>
          <w:lang w:val="en-AU"/>
        </w:rPr>
        <w:t>P</w:t>
      </w:r>
      <w:r w:rsidRPr="002F0E6F">
        <w:rPr>
          <w:lang w:val="en-AU"/>
        </w:rPr>
        <w:t xml:space="preserve">art </w:t>
      </w:r>
      <w:r w:rsidRPr="008E4D3F">
        <w:t>is</w:t>
      </w:r>
      <w:r w:rsidRPr="002F0E6F">
        <w:rPr>
          <w:lang w:val="en-AU"/>
        </w:rPr>
        <w:t xml:space="preserve"> concerned with</w:t>
      </w:r>
      <w:r w:rsidR="00AA5FD8" w:rsidRPr="002F0E6F">
        <w:rPr>
          <w:lang w:val="en-AU"/>
        </w:rPr>
        <w:t>:</w:t>
      </w:r>
    </w:p>
    <w:p w14:paraId="169265CF" w14:textId="198448FB" w:rsidR="00766F0D" w:rsidRPr="002F0E6F" w:rsidRDefault="00A7044E" w:rsidP="00CF09A0">
      <w:pPr>
        <w:pStyle w:val="DotPointTLRI"/>
      </w:pPr>
      <w:r w:rsidRPr="002F0E6F">
        <w:t>w</w:t>
      </w:r>
      <w:r w:rsidR="00766F0D" w:rsidRPr="002F0E6F">
        <w:t xml:space="preserve">hat </w:t>
      </w:r>
      <w:r w:rsidR="00895B29" w:rsidRPr="002F0E6F">
        <w:t>is meant by a ‘notional estate’;</w:t>
      </w:r>
      <w:r w:rsidR="00343BFF" w:rsidRPr="002F0E6F">
        <w:t xml:space="preserve"> and</w:t>
      </w:r>
    </w:p>
    <w:p w14:paraId="77D3263A" w14:textId="53F25514" w:rsidR="00FE1324" w:rsidRPr="002F0E6F" w:rsidRDefault="009E44AE" w:rsidP="00CF09A0">
      <w:pPr>
        <w:pStyle w:val="DotPointTLRI"/>
      </w:pPr>
      <w:r w:rsidRPr="002F0E6F">
        <w:t>the</w:t>
      </w:r>
      <w:r w:rsidR="00766F0D" w:rsidRPr="002F0E6F">
        <w:t xml:space="preserve"> historical backdrop leading to the passing of </w:t>
      </w:r>
      <w:r w:rsidR="00174E65" w:rsidRPr="002F0E6F">
        <w:t>n</w:t>
      </w:r>
      <w:r w:rsidR="00766F0D" w:rsidRPr="002F0E6F">
        <w:t xml:space="preserve">otional </w:t>
      </w:r>
      <w:r w:rsidR="00174E65" w:rsidRPr="002F0E6F">
        <w:t>e</w:t>
      </w:r>
      <w:r w:rsidR="00766F0D" w:rsidRPr="002F0E6F">
        <w:t>state provisions in New South Wales</w:t>
      </w:r>
      <w:r w:rsidR="00860592" w:rsidRPr="002F0E6F">
        <w:t xml:space="preserve">. </w:t>
      </w:r>
    </w:p>
    <w:p w14:paraId="522EF989" w14:textId="1B12DE38" w:rsidR="00C75158" w:rsidRPr="002F0E6F" w:rsidRDefault="00C75158" w:rsidP="008E4D3F">
      <w:pPr>
        <w:pStyle w:val="NormalNumberedTextTLRI"/>
        <w:rPr>
          <w:lang w:val="en-AU"/>
        </w:rPr>
      </w:pPr>
      <w:r w:rsidRPr="002F0E6F">
        <w:rPr>
          <w:lang w:val="en-AU"/>
        </w:rPr>
        <w:t xml:space="preserve">In broad </w:t>
      </w:r>
      <w:r w:rsidRPr="008E4D3F">
        <w:t>terms</w:t>
      </w:r>
      <w:r w:rsidRPr="002F0E6F">
        <w:rPr>
          <w:lang w:val="en-AU"/>
        </w:rPr>
        <w:t xml:space="preserve">, development of notional estate </w:t>
      </w:r>
      <w:r w:rsidR="009E44AE" w:rsidRPr="002F0E6F">
        <w:rPr>
          <w:lang w:val="en-AU"/>
        </w:rPr>
        <w:t>laws</w:t>
      </w:r>
      <w:r w:rsidRPr="002F0E6F">
        <w:rPr>
          <w:lang w:val="en-AU"/>
        </w:rPr>
        <w:t xml:space="preserve"> are intended as ‘anti-avoidance’ provisions</w:t>
      </w:r>
      <w:r w:rsidRPr="008E4D3F">
        <w:rPr>
          <w:rStyle w:val="FootnoteReference"/>
        </w:rPr>
        <w:footnoteReference w:id="68"/>
      </w:r>
      <w:r w:rsidRPr="002F0E6F">
        <w:rPr>
          <w:lang w:val="en-AU"/>
        </w:rPr>
        <w:t xml:space="preserve"> to eliminate </w:t>
      </w:r>
      <w:r w:rsidR="00B0231D" w:rsidRPr="002F0E6F">
        <w:rPr>
          <w:lang w:val="en-AU"/>
        </w:rPr>
        <w:t xml:space="preserve">(or at least substantially reduce) </w:t>
      </w:r>
      <w:r w:rsidRPr="002F0E6F">
        <w:rPr>
          <w:lang w:val="en-AU"/>
        </w:rPr>
        <w:t>the ability to defeat family provision claims by removing asset</w:t>
      </w:r>
      <w:r w:rsidR="00B0231D" w:rsidRPr="002F0E6F">
        <w:rPr>
          <w:lang w:val="en-AU"/>
        </w:rPr>
        <w:t>s</w:t>
      </w:r>
      <w:r w:rsidRPr="002F0E6F">
        <w:rPr>
          <w:lang w:val="en-AU"/>
        </w:rPr>
        <w:t xml:space="preserve"> from challenge within that jurisdiction.</w:t>
      </w:r>
    </w:p>
    <w:p w14:paraId="7DEBE14C" w14:textId="5E954AFB" w:rsidR="00FE1324" w:rsidRPr="002F0E6F" w:rsidRDefault="00AE30BA" w:rsidP="006232EA">
      <w:pPr>
        <w:pStyle w:val="NumberedHeadingTLRI"/>
        <w:rPr>
          <w:rFonts w:cs="Arial"/>
          <w:u w:val="single"/>
          <w:lang w:val="en-AU"/>
        </w:rPr>
      </w:pPr>
      <w:bookmarkStart w:id="50" w:name="_Toc2256863"/>
      <w:r w:rsidRPr="002F0E6F">
        <w:rPr>
          <w:lang w:val="en-AU"/>
        </w:rPr>
        <w:t>What is meant by a ‘notional estate’?</w:t>
      </w:r>
      <w:bookmarkEnd w:id="50"/>
      <w:r w:rsidRPr="002F0E6F" w:rsidDel="00E052B3">
        <w:rPr>
          <w:rFonts w:cs="Arial"/>
          <w:iCs/>
          <w:lang w:val="en-AU"/>
        </w:rPr>
        <w:t xml:space="preserve"> </w:t>
      </w:r>
    </w:p>
    <w:p w14:paraId="257E5765" w14:textId="504282F1" w:rsidR="00FE1324" w:rsidRPr="002F0E6F" w:rsidRDefault="00E052B3" w:rsidP="008E4D3F">
      <w:pPr>
        <w:pStyle w:val="NormalNumberedTextTLRI"/>
        <w:rPr>
          <w:lang w:val="en-AU"/>
        </w:rPr>
      </w:pPr>
      <w:r w:rsidRPr="002F0E6F">
        <w:rPr>
          <w:lang w:val="en-AU"/>
        </w:rPr>
        <w:tab/>
      </w:r>
      <w:r w:rsidR="00FE1324" w:rsidRPr="002F0E6F">
        <w:rPr>
          <w:lang w:val="en-AU"/>
        </w:rPr>
        <w:t xml:space="preserve">Part 3.3 </w:t>
      </w:r>
      <w:r w:rsidR="00E64D51" w:rsidRPr="002F0E6F">
        <w:rPr>
          <w:lang w:val="en-AU"/>
        </w:rPr>
        <w:t>of</w:t>
      </w:r>
      <w:r w:rsidR="00166456" w:rsidRPr="002F0E6F">
        <w:rPr>
          <w:lang w:val="en-AU"/>
        </w:rPr>
        <w:t xml:space="preserve"> the</w:t>
      </w:r>
      <w:r w:rsidR="00E64D51" w:rsidRPr="002F0E6F">
        <w:rPr>
          <w:lang w:val="en-AU"/>
        </w:rPr>
        <w:t xml:space="preserve"> </w:t>
      </w:r>
      <w:r w:rsidR="00FE1324" w:rsidRPr="002F0E6F">
        <w:rPr>
          <w:i/>
          <w:lang w:val="en-AU"/>
        </w:rPr>
        <w:t>Succession Act 2006</w:t>
      </w:r>
      <w:r w:rsidR="00FE1324" w:rsidRPr="002F0E6F">
        <w:rPr>
          <w:lang w:val="en-AU"/>
        </w:rPr>
        <w:t xml:space="preserve"> (NSW) </w:t>
      </w:r>
      <w:r w:rsidR="00A93144" w:rsidRPr="002F0E6F">
        <w:rPr>
          <w:lang w:val="en-AU"/>
        </w:rPr>
        <w:t>(</w:t>
      </w:r>
      <w:r w:rsidR="007652C2" w:rsidRPr="002F0E6F">
        <w:rPr>
          <w:lang w:val="en-AU"/>
        </w:rPr>
        <w:t>‘</w:t>
      </w:r>
      <w:r w:rsidR="004C5F48">
        <w:rPr>
          <w:lang w:val="en-AU"/>
        </w:rPr>
        <w:t xml:space="preserve">NSW </w:t>
      </w:r>
      <w:r w:rsidR="007652C2" w:rsidRPr="007652C2">
        <w:rPr>
          <w:i/>
          <w:lang w:val="en-AU"/>
        </w:rPr>
        <w:t>Succession</w:t>
      </w:r>
      <w:r w:rsidR="00A93144" w:rsidRPr="007652C2">
        <w:rPr>
          <w:i/>
          <w:lang w:val="en-AU"/>
        </w:rPr>
        <w:t xml:space="preserve"> Act</w:t>
      </w:r>
      <w:r w:rsidR="00A93144" w:rsidRPr="002F0E6F">
        <w:rPr>
          <w:lang w:val="en-AU"/>
        </w:rPr>
        <w:t xml:space="preserve">’) </w:t>
      </w:r>
      <w:r w:rsidR="00FE1324" w:rsidRPr="002F0E6F">
        <w:rPr>
          <w:lang w:val="en-AU"/>
        </w:rPr>
        <w:t>allow</w:t>
      </w:r>
      <w:r w:rsidR="008E312B" w:rsidRPr="002F0E6F">
        <w:rPr>
          <w:lang w:val="en-AU"/>
        </w:rPr>
        <w:t>s</w:t>
      </w:r>
      <w:r w:rsidR="00FE1324" w:rsidRPr="002F0E6F">
        <w:rPr>
          <w:lang w:val="en-AU"/>
        </w:rPr>
        <w:t xml:space="preserve"> the court to make order</w:t>
      </w:r>
      <w:r w:rsidR="00F21BCB" w:rsidRPr="002F0E6F">
        <w:rPr>
          <w:lang w:val="en-AU"/>
        </w:rPr>
        <w:t>s</w:t>
      </w:r>
      <w:r w:rsidR="00FE1324" w:rsidRPr="002F0E6F">
        <w:rPr>
          <w:lang w:val="en-AU"/>
        </w:rPr>
        <w:t xml:space="preserve"> designat</w:t>
      </w:r>
      <w:r w:rsidR="00F21BCB" w:rsidRPr="002F0E6F">
        <w:rPr>
          <w:lang w:val="en-AU"/>
        </w:rPr>
        <w:t>ing</w:t>
      </w:r>
      <w:r w:rsidR="00FE1324" w:rsidRPr="002F0E6F">
        <w:rPr>
          <w:lang w:val="en-AU"/>
        </w:rPr>
        <w:t xml:space="preserve"> property </w:t>
      </w:r>
      <w:r w:rsidR="007178AD" w:rsidRPr="002F0E6F">
        <w:rPr>
          <w:lang w:val="en-AU"/>
        </w:rPr>
        <w:t xml:space="preserve">not strictly within </w:t>
      </w:r>
      <w:r w:rsidR="008E312B" w:rsidRPr="002F0E6F">
        <w:rPr>
          <w:lang w:val="en-AU"/>
        </w:rPr>
        <w:t>a</w:t>
      </w:r>
      <w:r w:rsidR="007178AD" w:rsidRPr="002F0E6F">
        <w:rPr>
          <w:lang w:val="en-AU"/>
        </w:rPr>
        <w:t xml:space="preserve"> person’s estate </w:t>
      </w:r>
      <w:r w:rsidR="00FE1324" w:rsidRPr="002F0E6F">
        <w:rPr>
          <w:lang w:val="en-AU"/>
        </w:rPr>
        <w:t xml:space="preserve">as </w:t>
      </w:r>
      <w:r w:rsidR="007178AD" w:rsidRPr="002F0E6F">
        <w:rPr>
          <w:lang w:val="en-AU"/>
        </w:rPr>
        <w:t xml:space="preserve">comprising </w:t>
      </w:r>
      <w:r w:rsidR="00FE1324" w:rsidRPr="002F0E6F">
        <w:rPr>
          <w:lang w:val="en-AU"/>
        </w:rPr>
        <w:t>the ‘notional estate</w:t>
      </w:r>
      <w:r w:rsidR="007178AD" w:rsidRPr="002F0E6F">
        <w:rPr>
          <w:lang w:val="en-AU"/>
        </w:rPr>
        <w:t>’</w:t>
      </w:r>
      <w:r w:rsidR="00FE1324" w:rsidRPr="002F0E6F">
        <w:rPr>
          <w:lang w:val="en-AU"/>
        </w:rPr>
        <w:t xml:space="preserve"> of the deceased. </w:t>
      </w:r>
      <w:r w:rsidR="00F21BCB" w:rsidRPr="002F0E6F">
        <w:rPr>
          <w:lang w:val="en-AU"/>
        </w:rPr>
        <w:t xml:space="preserve">Any property designated as ‘notional estate’ becomes available to make </w:t>
      </w:r>
      <w:r w:rsidR="00F21BCB" w:rsidRPr="008E4D3F">
        <w:t>provision</w:t>
      </w:r>
      <w:r w:rsidR="00F21BCB" w:rsidRPr="002F0E6F">
        <w:rPr>
          <w:lang w:val="en-AU"/>
        </w:rPr>
        <w:t xml:space="preserve"> </w:t>
      </w:r>
      <w:r w:rsidR="007178AD" w:rsidRPr="002F0E6F">
        <w:rPr>
          <w:lang w:val="en-AU"/>
        </w:rPr>
        <w:t>for a successful TFM applicant</w:t>
      </w:r>
      <w:r w:rsidR="00F21BCB" w:rsidRPr="002F0E6F">
        <w:rPr>
          <w:lang w:val="en-AU"/>
        </w:rPr>
        <w:t xml:space="preserve"> as </w:t>
      </w:r>
      <w:r w:rsidR="007178AD" w:rsidRPr="002F0E6F">
        <w:rPr>
          <w:lang w:val="en-AU"/>
        </w:rPr>
        <w:t xml:space="preserve">though it were </w:t>
      </w:r>
      <w:r w:rsidR="008E312B" w:rsidRPr="002F0E6F">
        <w:rPr>
          <w:lang w:val="en-AU"/>
        </w:rPr>
        <w:t>part of</w:t>
      </w:r>
      <w:r w:rsidR="007178AD" w:rsidRPr="002F0E6F">
        <w:rPr>
          <w:lang w:val="en-AU"/>
        </w:rPr>
        <w:t xml:space="preserve"> </w:t>
      </w:r>
      <w:r w:rsidR="00F21BCB" w:rsidRPr="002F0E6F">
        <w:rPr>
          <w:lang w:val="en-AU"/>
        </w:rPr>
        <w:t>the estate.</w:t>
      </w:r>
      <w:r w:rsidR="00F21BCB" w:rsidRPr="008E4D3F">
        <w:rPr>
          <w:rStyle w:val="FootnoteReference"/>
        </w:rPr>
        <w:footnoteReference w:id="69"/>
      </w:r>
      <w:r w:rsidR="00F21BCB" w:rsidRPr="002F0E6F">
        <w:rPr>
          <w:lang w:val="en-AU"/>
        </w:rPr>
        <w:t xml:space="preserve"> </w:t>
      </w:r>
      <w:r w:rsidR="006232EA" w:rsidRPr="002F0E6F">
        <w:rPr>
          <w:lang w:val="en-AU"/>
        </w:rPr>
        <w:t>The</w:t>
      </w:r>
      <w:r w:rsidR="00A93144" w:rsidRPr="002F0E6F">
        <w:rPr>
          <w:lang w:val="en-AU"/>
        </w:rPr>
        <w:t xml:space="preserve"> effect is to </w:t>
      </w:r>
      <w:r w:rsidR="006232EA" w:rsidRPr="002F0E6F">
        <w:rPr>
          <w:lang w:val="en-AU"/>
        </w:rPr>
        <w:t xml:space="preserve">enable the </w:t>
      </w:r>
      <w:r w:rsidR="00A93144" w:rsidRPr="002F0E6F">
        <w:rPr>
          <w:lang w:val="en-AU"/>
        </w:rPr>
        <w:t>New South Wales Supreme Court</w:t>
      </w:r>
      <w:r w:rsidR="006232EA" w:rsidRPr="002F0E6F">
        <w:rPr>
          <w:lang w:val="en-AU"/>
        </w:rPr>
        <w:t xml:space="preserve"> to make provision for a successful applicant from a broader pool of assets than are available </w:t>
      </w:r>
      <w:r w:rsidR="00A93144" w:rsidRPr="002F0E6F">
        <w:rPr>
          <w:lang w:val="en-AU"/>
        </w:rPr>
        <w:t xml:space="preserve">to the Supreme Court </w:t>
      </w:r>
      <w:r w:rsidR="006232EA" w:rsidRPr="002F0E6F">
        <w:rPr>
          <w:lang w:val="en-AU"/>
        </w:rPr>
        <w:t>in Tasmania.</w:t>
      </w:r>
    </w:p>
    <w:p w14:paraId="363BC677" w14:textId="5C5DD2D1" w:rsidR="005102D8" w:rsidRPr="002F0E6F" w:rsidRDefault="00C12389" w:rsidP="008E4D3F">
      <w:pPr>
        <w:pStyle w:val="NormalNumberedTextTLRI"/>
        <w:rPr>
          <w:lang w:val="en-AU"/>
        </w:rPr>
      </w:pPr>
      <w:r w:rsidRPr="002F0E6F">
        <w:rPr>
          <w:lang w:val="en-AU"/>
        </w:rPr>
        <w:tab/>
      </w:r>
      <w:r w:rsidR="00FE1324" w:rsidRPr="002F0E6F">
        <w:rPr>
          <w:lang w:val="en-AU"/>
        </w:rPr>
        <w:t xml:space="preserve">As </w:t>
      </w:r>
      <w:r w:rsidR="00544F74" w:rsidRPr="008E4D3F">
        <w:t>explained</w:t>
      </w:r>
      <w:r w:rsidR="00FE1324" w:rsidRPr="002F0E6F">
        <w:rPr>
          <w:lang w:val="en-AU"/>
        </w:rPr>
        <w:t xml:space="preserve"> by the New South Wales Law Reform Commission</w:t>
      </w:r>
      <w:r w:rsidR="006232EA" w:rsidRPr="002F0E6F">
        <w:rPr>
          <w:lang w:val="en-AU"/>
        </w:rPr>
        <w:t xml:space="preserve"> (</w:t>
      </w:r>
      <w:r w:rsidR="00677CC9" w:rsidRPr="002F0E6F">
        <w:rPr>
          <w:lang w:val="en-AU"/>
        </w:rPr>
        <w:t>‘</w:t>
      </w:r>
      <w:r w:rsidR="006232EA" w:rsidRPr="002F0E6F">
        <w:rPr>
          <w:lang w:val="en-AU"/>
        </w:rPr>
        <w:t>NSWLRC</w:t>
      </w:r>
      <w:r w:rsidR="00677CC9" w:rsidRPr="002F0E6F">
        <w:rPr>
          <w:lang w:val="en-AU"/>
        </w:rPr>
        <w:t>’</w:t>
      </w:r>
      <w:r w:rsidR="006232EA" w:rsidRPr="002F0E6F">
        <w:rPr>
          <w:lang w:val="en-AU"/>
        </w:rPr>
        <w:t>)</w:t>
      </w:r>
      <w:r w:rsidR="0053339F" w:rsidRPr="002F0E6F">
        <w:rPr>
          <w:lang w:val="en-AU"/>
        </w:rPr>
        <w:t>:</w:t>
      </w:r>
    </w:p>
    <w:p w14:paraId="1F889FCB" w14:textId="139F8AC4" w:rsidR="00C12389" w:rsidRPr="002F0E6F" w:rsidRDefault="00FE1324" w:rsidP="00C47D98">
      <w:pPr>
        <w:pStyle w:val="QuoteTLRI"/>
      </w:pPr>
      <w:r w:rsidRPr="008E4D3F">
        <w:t>Notional</w:t>
      </w:r>
      <w:r w:rsidRPr="002F0E6F">
        <w:t xml:space="preserve"> Estate orders </w:t>
      </w:r>
      <w:r w:rsidRPr="00C47D98">
        <w:t>are</w:t>
      </w:r>
      <w:r w:rsidRPr="002F0E6F">
        <w:t xml:space="preserve"> orders </w:t>
      </w:r>
      <w:r w:rsidR="007D444B" w:rsidRPr="002F0E6F">
        <w:t xml:space="preserve">issued </w:t>
      </w:r>
      <w:r w:rsidRPr="002F0E6F">
        <w:t>by the Court which are intended to make available for family provision order</w:t>
      </w:r>
      <w:r w:rsidR="00E64D51" w:rsidRPr="002F0E6F">
        <w:t>s</w:t>
      </w:r>
      <w:r w:rsidRPr="002F0E6F">
        <w:t xml:space="preserve"> assets that are no longer part of the estate of a deceased person because they have been distributed either before or after the deceased’s death (either with or without the intention of defeating application for family provision)</w:t>
      </w:r>
      <w:r w:rsidR="00176532" w:rsidRPr="002F0E6F">
        <w:t>.</w:t>
      </w:r>
      <w:r w:rsidRPr="002F0E6F">
        <w:t xml:space="preserve"> Without legislative provisions allowing for notional estate orders, the Courts are unable to make family provision orders with respect to property that is no longer part of the deceased estate</w:t>
      </w:r>
      <w:r w:rsidR="00176532" w:rsidRPr="002F0E6F">
        <w:t>.</w:t>
      </w:r>
      <w:bookmarkStart w:id="51" w:name="_Ref1898297"/>
      <w:r w:rsidR="005102D8" w:rsidRPr="008E4D3F">
        <w:rPr>
          <w:rStyle w:val="FootnoteReference"/>
          <w:lang w:val="x-none"/>
        </w:rPr>
        <w:footnoteReference w:id="70"/>
      </w:r>
      <w:bookmarkEnd w:id="51"/>
    </w:p>
    <w:p w14:paraId="03B80B7A" w14:textId="75D5F742" w:rsidR="00F21BCB" w:rsidRPr="002F0E6F" w:rsidRDefault="00F21BCB" w:rsidP="00862470">
      <w:pPr>
        <w:pStyle w:val="NormalNumberedTextTLRI"/>
        <w:rPr>
          <w:lang w:val="en-AU"/>
        </w:rPr>
      </w:pPr>
      <w:r w:rsidRPr="002F0E6F">
        <w:rPr>
          <w:lang w:val="en-AU"/>
        </w:rPr>
        <w:lastRenderedPageBreak/>
        <w:t>The</w:t>
      </w:r>
      <w:r w:rsidR="007178AD" w:rsidRPr="002F0E6F">
        <w:rPr>
          <w:lang w:val="en-AU"/>
        </w:rPr>
        <w:t xml:space="preserve"> </w:t>
      </w:r>
      <w:r w:rsidR="009B004F" w:rsidRPr="00862470">
        <w:t>New</w:t>
      </w:r>
      <w:r w:rsidR="009B004F" w:rsidRPr="002F0E6F">
        <w:rPr>
          <w:lang w:val="en-AU"/>
        </w:rPr>
        <w:t xml:space="preserve"> South Wales</w:t>
      </w:r>
      <w:r w:rsidRPr="002F0E6F">
        <w:rPr>
          <w:lang w:val="en-AU"/>
        </w:rPr>
        <w:t xml:space="preserve"> legislation explains the effect of the provisions as follows:</w:t>
      </w:r>
    </w:p>
    <w:p w14:paraId="6D0A129C" w14:textId="29166053" w:rsidR="00F21BCB" w:rsidRPr="002F0E6F" w:rsidRDefault="00F21BCB" w:rsidP="00C47D98">
      <w:pPr>
        <w:pStyle w:val="QuoteTLRI"/>
      </w:pPr>
      <w:r w:rsidRPr="002F0E6F">
        <w:t xml:space="preserve">This Part applies where, as a result of certain property transactions, property is not included in the estate of a deceased </w:t>
      </w:r>
      <w:r w:rsidRPr="00862470">
        <w:t>person</w:t>
      </w:r>
      <w:r w:rsidRPr="002F0E6F">
        <w:t xml:space="preserve"> or where property has been distributed from the estate of a deceased person. This Part enables the Court in limited circumstances to make an order designating property that is not included in the </w:t>
      </w:r>
      <w:r w:rsidR="004442FC" w:rsidRPr="002F0E6F">
        <w:t>estate</w:t>
      </w:r>
      <w:r w:rsidRPr="002F0E6F">
        <w:t xml:space="preserve">, or has been distributed from the estate, as </w:t>
      </w:r>
      <w:r w:rsidR="004442FC">
        <w:t>‘</w:t>
      </w:r>
      <w:r w:rsidRPr="002F0E6F">
        <w:t>notional estate</w:t>
      </w:r>
      <w:r w:rsidR="004442FC">
        <w:t>’</w:t>
      </w:r>
      <w:r w:rsidRPr="002F0E6F">
        <w:t xml:space="preserve"> of the </w:t>
      </w:r>
      <w:r w:rsidR="004442FC" w:rsidRPr="002F0E6F">
        <w:t>deceased</w:t>
      </w:r>
      <w:r w:rsidRPr="002F0E6F">
        <w:t xml:space="preserve"> person for the purpose of making a family provision order under Part 3.2 in respect of the estate of </w:t>
      </w:r>
      <w:r w:rsidR="00013FC2" w:rsidRPr="002F0E6F">
        <w:t>th</w:t>
      </w:r>
      <w:r w:rsidRPr="002F0E6F">
        <w:t>e deceased person (or for the purpose of ordering that costs in the proceedings be paid from the notional estate).</w:t>
      </w:r>
      <w:r w:rsidR="00544F74" w:rsidRPr="004442FC">
        <w:rPr>
          <w:rStyle w:val="FootnoteReference"/>
          <w:lang w:val="x-none" w:eastAsia="en-US"/>
        </w:rPr>
        <w:footnoteReference w:id="71"/>
      </w:r>
    </w:p>
    <w:p w14:paraId="72ACA25A" w14:textId="59325AB7" w:rsidR="00174E65" w:rsidRPr="002F0E6F" w:rsidRDefault="008E312B" w:rsidP="004442FC">
      <w:pPr>
        <w:pStyle w:val="NormalNumberedTextTLRI"/>
        <w:rPr>
          <w:lang w:val="en-AU"/>
        </w:rPr>
      </w:pPr>
      <w:r w:rsidRPr="002F0E6F">
        <w:rPr>
          <w:lang w:val="en-AU"/>
        </w:rPr>
        <w:t xml:space="preserve">New South </w:t>
      </w:r>
      <w:r w:rsidRPr="004442FC">
        <w:t>Wales</w:t>
      </w:r>
      <w:r w:rsidR="00174E65" w:rsidRPr="002F0E6F">
        <w:rPr>
          <w:lang w:val="en-AU"/>
        </w:rPr>
        <w:t xml:space="preserve"> is the only jurisdiction in Australia to have provisions of this type. Similar laws, however, exist in the U</w:t>
      </w:r>
      <w:r w:rsidR="004442FC">
        <w:rPr>
          <w:lang w:val="en-AU"/>
        </w:rPr>
        <w:t xml:space="preserve">nited </w:t>
      </w:r>
      <w:r w:rsidR="00174E65" w:rsidRPr="002F0E6F">
        <w:rPr>
          <w:lang w:val="en-AU"/>
        </w:rPr>
        <w:t>K</w:t>
      </w:r>
      <w:r w:rsidR="004442FC">
        <w:rPr>
          <w:lang w:val="en-AU"/>
        </w:rPr>
        <w:t>ingdom</w:t>
      </w:r>
      <w:r w:rsidR="00174E65" w:rsidRPr="004442FC">
        <w:rPr>
          <w:rStyle w:val="FootnoteReference"/>
        </w:rPr>
        <w:footnoteReference w:id="72"/>
      </w:r>
      <w:r w:rsidR="00174E65" w:rsidRPr="002F0E6F">
        <w:rPr>
          <w:lang w:val="en-AU"/>
        </w:rPr>
        <w:t xml:space="preserve"> and </w:t>
      </w:r>
      <w:r w:rsidR="004442FC">
        <w:rPr>
          <w:lang w:val="en-AU"/>
        </w:rPr>
        <w:t xml:space="preserve">the </w:t>
      </w:r>
      <w:r w:rsidR="00174E65" w:rsidRPr="002F0E6F">
        <w:rPr>
          <w:lang w:val="en-AU"/>
        </w:rPr>
        <w:t>U</w:t>
      </w:r>
      <w:r w:rsidR="004442FC">
        <w:rPr>
          <w:lang w:val="en-AU"/>
        </w:rPr>
        <w:t xml:space="preserve">nited </w:t>
      </w:r>
      <w:r w:rsidR="00174E65" w:rsidRPr="002F0E6F">
        <w:rPr>
          <w:lang w:val="en-AU"/>
        </w:rPr>
        <w:t>S</w:t>
      </w:r>
      <w:r w:rsidR="004442FC">
        <w:rPr>
          <w:lang w:val="en-AU"/>
        </w:rPr>
        <w:t>tates</w:t>
      </w:r>
      <w:r w:rsidR="00174E65" w:rsidRPr="002F0E6F">
        <w:rPr>
          <w:lang w:val="en-AU"/>
        </w:rPr>
        <w:t>.</w:t>
      </w:r>
      <w:r w:rsidR="00174E65" w:rsidRPr="004442FC">
        <w:rPr>
          <w:rStyle w:val="FootnoteReference"/>
        </w:rPr>
        <w:footnoteReference w:id="73"/>
      </w:r>
      <w:r w:rsidR="00174E65" w:rsidRPr="002F0E6F">
        <w:rPr>
          <w:lang w:val="en-AU"/>
        </w:rPr>
        <w:t xml:space="preserve"> </w:t>
      </w:r>
    </w:p>
    <w:p w14:paraId="4C92F3AD" w14:textId="4D291E91" w:rsidR="006232EA" w:rsidRPr="002F0E6F" w:rsidRDefault="006232EA" w:rsidP="008C13B2">
      <w:pPr>
        <w:pStyle w:val="NumberedHeadingTLRI"/>
        <w:tabs>
          <w:tab w:val="left" w:pos="5954"/>
        </w:tabs>
        <w:rPr>
          <w:lang w:val="en-AU"/>
        </w:rPr>
      </w:pPr>
      <w:bookmarkStart w:id="52" w:name="_Toc2256864"/>
      <w:r w:rsidRPr="002F0E6F">
        <w:rPr>
          <w:lang w:val="en-AU"/>
        </w:rPr>
        <w:t xml:space="preserve">Historical </w:t>
      </w:r>
      <w:r w:rsidR="00827A16">
        <w:rPr>
          <w:lang w:val="en-AU"/>
        </w:rPr>
        <w:t>b</w:t>
      </w:r>
      <w:r w:rsidRPr="002F0E6F">
        <w:rPr>
          <w:lang w:val="en-AU"/>
        </w:rPr>
        <w:t>ackdrop</w:t>
      </w:r>
      <w:bookmarkEnd w:id="52"/>
    </w:p>
    <w:p w14:paraId="755C145A" w14:textId="3A6405F7" w:rsidR="00980EE3" w:rsidRPr="002F0E6F" w:rsidRDefault="00980EE3" w:rsidP="00980EE3">
      <w:pPr>
        <w:pStyle w:val="Sub-HeadingTLRI"/>
        <w:rPr>
          <w:lang w:val="en-AU"/>
        </w:rPr>
      </w:pPr>
      <w:r w:rsidRPr="002F0E6F">
        <w:rPr>
          <w:lang w:val="en-AU"/>
        </w:rPr>
        <w:t>Introduction of notional estate orders in New South Wales</w:t>
      </w:r>
    </w:p>
    <w:p w14:paraId="576700CB" w14:textId="7BCEF59E" w:rsidR="009D1BE7" w:rsidRPr="002F0E6F" w:rsidRDefault="00FE1324" w:rsidP="004442FC">
      <w:pPr>
        <w:pStyle w:val="NormalNumberedTextTLRI"/>
        <w:rPr>
          <w:lang w:val="en-AU"/>
        </w:rPr>
      </w:pPr>
      <w:r w:rsidRPr="002F0E6F">
        <w:rPr>
          <w:lang w:val="en-AU"/>
        </w:rPr>
        <w:t>In 1977</w:t>
      </w:r>
      <w:r w:rsidR="004442FC">
        <w:rPr>
          <w:lang w:val="en-AU"/>
        </w:rPr>
        <w:t>,</w:t>
      </w:r>
      <w:r w:rsidRPr="002F0E6F">
        <w:rPr>
          <w:lang w:val="en-AU"/>
        </w:rPr>
        <w:t xml:space="preserve"> the </w:t>
      </w:r>
      <w:r w:rsidR="006232EA" w:rsidRPr="002F0E6F">
        <w:rPr>
          <w:lang w:val="en-AU"/>
        </w:rPr>
        <w:t>NSWLRC</w:t>
      </w:r>
      <w:r w:rsidRPr="002F0E6F">
        <w:rPr>
          <w:lang w:val="en-AU"/>
        </w:rPr>
        <w:t xml:space="preserve"> was the first </w:t>
      </w:r>
      <w:r w:rsidR="006232EA" w:rsidRPr="002F0E6F">
        <w:rPr>
          <w:lang w:val="en-AU"/>
        </w:rPr>
        <w:t>Australian law reform</w:t>
      </w:r>
      <w:r w:rsidRPr="002F0E6F">
        <w:rPr>
          <w:lang w:val="en-AU"/>
        </w:rPr>
        <w:t xml:space="preserve"> commission to examine and recommend adoption of notional estate </w:t>
      </w:r>
      <w:r w:rsidR="008E312B" w:rsidRPr="002F0E6F">
        <w:rPr>
          <w:lang w:val="en-AU"/>
        </w:rPr>
        <w:t>laws</w:t>
      </w:r>
      <w:r w:rsidR="005102D8" w:rsidRPr="002F0E6F">
        <w:rPr>
          <w:lang w:val="en-AU"/>
        </w:rPr>
        <w:t>.</w:t>
      </w:r>
      <w:bookmarkStart w:id="53" w:name="_Ref1938999"/>
      <w:r w:rsidR="005102D8" w:rsidRPr="004442FC">
        <w:rPr>
          <w:rStyle w:val="FootnoteReference"/>
        </w:rPr>
        <w:footnoteReference w:id="74"/>
      </w:r>
      <w:bookmarkEnd w:id="53"/>
      <w:r w:rsidR="005102D8" w:rsidRPr="002F0E6F">
        <w:rPr>
          <w:lang w:val="en-AU"/>
        </w:rPr>
        <w:t xml:space="preserve"> </w:t>
      </w:r>
      <w:r w:rsidR="00CF5C10" w:rsidRPr="002F0E6F">
        <w:rPr>
          <w:lang w:val="en-AU"/>
        </w:rPr>
        <w:t>‘Notional estate’ was considered to be</w:t>
      </w:r>
      <w:r w:rsidR="009D1BE7" w:rsidRPr="002F0E6F">
        <w:rPr>
          <w:lang w:val="en-AU"/>
        </w:rPr>
        <w:t>:</w:t>
      </w:r>
    </w:p>
    <w:p w14:paraId="10600406" w14:textId="0F886B19" w:rsidR="009D1BE7" w:rsidRPr="002F0E6F" w:rsidRDefault="00CF5C10" w:rsidP="00CF09A0">
      <w:pPr>
        <w:pStyle w:val="DotPointTLRI"/>
      </w:pPr>
      <w:r w:rsidRPr="002F0E6F">
        <w:t>property gift</w:t>
      </w:r>
      <w:r w:rsidR="008E312B" w:rsidRPr="002F0E6F">
        <w:t>ed</w:t>
      </w:r>
      <w:r w:rsidRPr="002F0E6F">
        <w:t xml:space="preserve"> by the decease</w:t>
      </w:r>
      <w:r w:rsidR="005102D8" w:rsidRPr="002F0E6F">
        <w:t>d</w:t>
      </w:r>
      <w:r w:rsidRPr="002F0E6F">
        <w:t xml:space="preserve"> within three years of death, if made with the intention of defeating an application for provision</w:t>
      </w:r>
      <w:r w:rsidR="009D1BE7" w:rsidRPr="002F0E6F">
        <w:t>;</w:t>
      </w:r>
    </w:p>
    <w:p w14:paraId="4E870171" w14:textId="77777777" w:rsidR="009D1BE7" w:rsidRPr="002F0E6F" w:rsidRDefault="00CF5C10" w:rsidP="00CF09A0">
      <w:pPr>
        <w:pStyle w:val="DotPointTLRI"/>
      </w:pPr>
      <w:r w:rsidRPr="002F0E6F">
        <w:t>gifts made within one year of death, regardless of intention</w:t>
      </w:r>
      <w:r w:rsidR="009D1BE7" w:rsidRPr="002F0E6F">
        <w:t>;</w:t>
      </w:r>
    </w:p>
    <w:p w14:paraId="2C4F2CC9" w14:textId="77777777" w:rsidR="009D1BE7" w:rsidRPr="002F0E6F" w:rsidRDefault="00CF5C10" w:rsidP="00CF09A0">
      <w:pPr>
        <w:pStyle w:val="DotPointTLRI"/>
      </w:pPr>
      <w:r w:rsidRPr="002F0E6F">
        <w:t xml:space="preserve">property subject to a power of disposal </w:t>
      </w:r>
      <w:r w:rsidR="009D1BE7" w:rsidRPr="002F0E6F">
        <w:t>by</w:t>
      </w:r>
      <w:r w:rsidRPr="002F0E6F">
        <w:t xml:space="preserve"> the deceased</w:t>
      </w:r>
      <w:r w:rsidR="009D1BE7" w:rsidRPr="002F0E6F">
        <w:t>;</w:t>
      </w:r>
    </w:p>
    <w:p w14:paraId="7475E199" w14:textId="77777777" w:rsidR="009D1BE7" w:rsidRPr="002F0E6F" w:rsidRDefault="00CF5C10" w:rsidP="00CF09A0">
      <w:pPr>
        <w:pStyle w:val="DotPointTLRI"/>
      </w:pPr>
      <w:r w:rsidRPr="002F0E6F">
        <w:t>property comprised in certain settlement</w:t>
      </w:r>
      <w:r w:rsidR="009D1BE7" w:rsidRPr="002F0E6F">
        <w:t>s;</w:t>
      </w:r>
      <w:r w:rsidRPr="002F0E6F">
        <w:t xml:space="preserve"> </w:t>
      </w:r>
    </w:p>
    <w:p w14:paraId="695CAED4" w14:textId="77777777" w:rsidR="009D1BE7" w:rsidRPr="002F0E6F" w:rsidRDefault="00CF5C10" w:rsidP="00CF09A0">
      <w:pPr>
        <w:pStyle w:val="DotPointTLRI"/>
      </w:pPr>
      <w:r w:rsidRPr="002F0E6F">
        <w:t>property held on a joint tenancy</w:t>
      </w:r>
      <w:r w:rsidR="009D1BE7" w:rsidRPr="002F0E6F">
        <w:t>;</w:t>
      </w:r>
      <w:r w:rsidRPr="002F0E6F">
        <w:t xml:space="preserve"> </w:t>
      </w:r>
    </w:p>
    <w:p w14:paraId="23ABEBC9" w14:textId="2993A1C7" w:rsidR="009D1BE7" w:rsidRPr="002F0E6F" w:rsidRDefault="00CF5C10" w:rsidP="00CF09A0">
      <w:pPr>
        <w:pStyle w:val="DotPointTLRI"/>
      </w:pPr>
      <w:r w:rsidRPr="002F0E6F">
        <w:t>property held in certain life assurance schemes</w:t>
      </w:r>
      <w:r w:rsidR="009D1BE7" w:rsidRPr="002F0E6F">
        <w:t>;</w:t>
      </w:r>
      <w:r w:rsidRPr="002F0E6F">
        <w:t xml:space="preserve"> </w:t>
      </w:r>
      <w:r w:rsidR="00013FC2" w:rsidRPr="002F0E6F">
        <w:t>and</w:t>
      </w:r>
    </w:p>
    <w:p w14:paraId="15813FA9" w14:textId="77777777" w:rsidR="00CF5C10" w:rsidRPr="002F0E6F" w:rsidRDefault="00CF5C10" w:rsidP="00CF09A0">
      <w:pPr>
        <w:pStyle w:val="DotPointTLRI"/>
      </w:pPr>
      <w:r w:rsidRPr="002F0E6F">
        <w:t>property in certain superannuation schemes.</w:t>
      </w:r>
    </w:p>
    <w:p w14:paraId="6C8C59EC" w14:textId="0B9561E9" w:rsidR="00CF5C10" w:rsidRPr="002F0E6F" w:rsidRDefault="00C12389" w:rsidP="004442FC">
      <w:pPr>
        <w:pStyle w:val="NormalNumberedTextTLRI"/>
        <w:rPr>
          <w:lang w:val="en-AU"/>
        </w:rPr>
      </w:pPr>
      <w:r w:rsidRPr="002F0E6F">
        <w:rPr>
          <w:lang w:val="en-AU"/>
        </w:rPr>
        <w:tab/>
      </w:r>
      <w:r w:rsidR="00CF5C10" w:rsidRPr="002F0E6F">
        <w:rPr>
          <w:lang w:val="en-AU"/>
        </w:rPr>
        <w:t>These recommendations, not all in the</w:t>
      </w:r>
      <w:r w:rsidR="00CB34A9" w:rsidRPr="002F0E6F">
        <w:rPr>
          <w:lang w:val="en-AU"/>
        </w:rPr>
        <w:t>ir</w:t>
      </w:r>
      <w:r w:rsidR="00CF5C10" w:rsidRPr="002F0E6F">
        <w:rPr>
          <w:lang w:val="en-AU"/>
        </w:rPr>
        <w:t xml:space="preserve"> original form, were put into effect by the </w:t>
      </w:r>
      <w:r w:rsidR="00CF5C10" w:rsidRPr="002F0E6F">
        <w:rPr>
          <w:i/>
          <w:lang w:val="en-AU"/>
        </w:rPr>
        <w:t>Family Provision Act 198</w:t>
      </w:r>
      <w:r w:rsidR="0079597B" w:rsidRPr="002F0E6F">
        <w:rPr>
          <w:i/>
          <w:lang w:val="en-AU"/>
        </w:rPr>
        <w:t>2</w:t>
      </w:r>
      <w:r w:rsidR="00CF5C10" w:rsidRPr="002F0E6F">
        <w:rPr>
          <w:lang w:val="en-AU"/>
        </w:rPr>
        <w:t xml:space="preserve"> (NSW)</w:t>
      </w:r>
      <w:r w:rsidR="0079597B" w:rsidRPr="002F0E6F">
        <w:rPr>
          <w:lang w:val="en-AU"/>
        </w:rPr>
        <w:t xml:space="preserve">. </w:t>
      </w:r>
      <w:r w:rsidR="00CF5C10" w:rsidRPr="002F0E6F">
        <w:rPr>
          <w:lang w:val="en-AU"/>
        </w:rPr>
        <w:t>This Act was subsequently repealed</w:t>
      </w:r>
      <w:r w:rsidR="008C13B2">
        <w:rPr>
          <w:lang w:val="en-AU"/>
        </w:rPr>
        <w:t>,</w:t>
      </w:r>
      <w:r w:rsidR="00CF5C10" w:rsidRPr="002F0E6F">
        <w:rPr>
          <w:lang w:val="en-AU"/>
        </w:rPr>
        <w:t xml:space="preserve"> and family provision </w:t>
      </w:r>
      <w:r w:rsidR="00013FC2" w:rsidRPr="002F0E6F">
        <w:rPr>
          <w:lang w:val="en-AU"/>
        </w:rPr>
        <w:t>laws</w:t>
      </w:r>
      <w:r w:rsidR="00CF5C10" w:rsidRPr="002F0E6F">
        <w:rPr>
          <w:lang w:val="en-AU"/>
        </w:rPr>
        <w:t xml:space="preserve"> incorporated </w:t>
      </w:r>
      <w:r w:rsidR="00CF5C10" w:rsidRPr="004442FC">
        <w:t>in</w:t>
      </w:r>
      <w:r w:rsidR="00243FE2" w:rsidRPr="004442FC">
        <w:t>to</w:t>
      </w:r>
      <w:r w:rsidR="00CF5C10" w:rsidRPr="002F0E6F">
        <w:rPr>
          <w:lang w:val="en-AU"/>
        </w:rPr>
        <w:t xml:space="preserve"> the </w:t>
      </w:r>
      <w:r w:rsidR="00790D6D" w:rsidRPr="002F0E6F">
        <w:rPr>
          <w:lang w:val="en-AU"/>
        </w:rPr>
        <w:t xml:space="preserve">NSW </w:t>
      </w:r>
      <w:r w:rsidR="003A7ABD" w:rsidRPr="003A7ABD">
        <w:rPr>
          <w:i/>
          <w:lang w:val="en-AU"/>
        </w:rPr>
        <w:t xml:space="preserve">Succession </w:t>
      </w:r>
      <w:r w:rsidR="00790D6D" w:rsidRPr="003A7ABD">
        <w:rPr>
          <w:i/>
          <w:lang w:val="en-AU"/>
        </w:rPr>
        <w:t>Act</w:t>
      </w:r>
      <w:r w:rsidR="00CF5C10" w:rsidRPr="002F0E6F">
        <w:rPr>
          <w:lang w:val="en-AU"/>
        </w:rPr>
        <w:t xml:space="preserve"> with the provision</w:t>
      </w:r>
      <w:r w:rsidR="0079597B" w:rsidRPr="002F0E6F">
        <w:rPr>
          <w:lang w:val="en-AU"/>
        </w:rPr>
        <w:t>s</w:t>
      </w:r>
      <w:r w:rsidR="00CF5C10" w:rsidRPr="002F0E6F">
        <w:rPr>
          <w:lang w:val="en-AU"/>
        </w:rPr>
        <w:t xml:space="preserve"> relating to ‘notional estate’ </w:t>
      </w:r>
      <w:r w:rsidR="00790D6D" w:rsidRPr="002F0E6F">
        <w:rPr>
          <w:lang w:val="en-AU"/>
        </w:rPr>
        <w:t>contained</w:t>
      </w:r>
      <w:r w:rsidR="0079597B" w:rsidRPr="002F0E6F">
        <w:rPr>
          <w:lang w:val="en-AU"/>
        </w:rPr>
        <w:t xml:space="preserve"> in </w:t>
      </w:r>
      <w:r w:rsidR="007B502C">
        <w:rPr>
          <w:lang w:val="en-AU"/>
        </w:rPr>
        <w:t>ch</w:t>
      </w:r>
      <w:r w:rsidR="0079597B" w:rsidRPr="002F0E6F">
        <w:rPr>
          <w:lang w:val="en-AU"/>
        </w:rPr>
        <w:t xml:space="preserve"> 3, </w:t>
      </w:r>
      <w:r w:rsidR="007B502C">
        <w:rPr>
          <w:lang w:val="en-AU"/>
        </w:rPr>
        <w:t>pt</w:t>
      </w:r>
      <w:r w:rsidR="0079597B" w:rsidRPr="002F0E6F">
        <w:rPr>
          <w:lang w:val="en-AU"/>
        </w:rPr>
        <w:t xml:space="preserve"> 3.3. </w:t>
      </w:r>
    </w:p>
    <w:p w14:paraId="4A9DD2DF" w14:textId="25E87B63" w:rsidR="00980EE3" w:rsidRPr="002F0E6F" w:rsidRDefault="00980EE3" w:rsidP="00980EE3">
      <w:pPr>
        <w:pStyle w:val="Sub-HeadingTLRI"/>
        <w:rPr>
          <w:lang w:val="en-AU"/>
        </w:rPr>
      </w:pPr>
      <w:r w:rsidRPr="002F0E6F">
        <w:rPr>
          <w:lang w:val="en-AU"/>
        </w:rPr>
        <w:t>Recommendations of the National Committee for Uniform Succession Laws</w:t>
      </w:r>
    </w:p>
    <w:p w14:paraId="72F8C2EE" w14:textId="38442BB9" w:rsidR="00791211" w:rsidRPr="002F0E6F" w:rsidRDefault="00C12389" w:rsidP="00CE2AEE">
      <w:pPr>
        <w:pStyle w:val="NormalNumberedTextTLRI"/>
        <w:rPr>
          <w:lang w:val="en-AU"/>
        </w:rPr>
      </w:pPr>
      <w:r w:rsidRPr="002F0E6F">
        <w:rPr>
          <w:lang w:val="en-AU"/>
        </w:rPr>
        <w:tab/>
      </w:r>
      <w:r w:rsidR="00CF5C10" w:rsidRPr="002F0E6F">
        <w:rPr>
          <w:lang w:val="en-AU"/>
        </w:rPr>
        <w:t>The National Committee for Uniform Succession Laws</w:t>
      </w:r>
      <w:r w:rsidR="005102D8" w:rsidRPr="00CE2AEE">
        <w:rPr>
          <w:rStyle w:val="FootnoteReference"/>
        </w:rPr>
        <w:footnoteReference w:id="75"/>
      </w:r>
      <w:r w:rsidR="0079597B" w:rsidRPr="002F0E6F">
        <w:rPr>
          <w:lang w:val="en-AU"/>
        </w:rPr>
        <w:t xml:space="preserve"> </w:t>
      </w:r>
      <w:r w:rsidR="00301FB2" w:rsidRPr="002F0E6F">
        <w:rPr>
          <w:lang w:val="en-AU"/>
        </w:rPr>
        <w:t xml:space="preserve">(the </w:t>
      </w:r>
      <w:r w:rsidR="00D7593E" w:rsidRPr="002F0E6F">
        <w:rPr>
          <w:lang w:val="en-AU"/>
        </w:rPr>
        <w:t>‘</w:t>
      </w:r>
      <w:r w:rsidR="00301FB2" w:rsidRPr="002F0E6F">
        <w:rPr>
          <w:lang w:val="en-AU"/>
        </w:rPr>
        <w:t xml:space="preserve">National Committee’) </w:t>
      </w:r>
      <w:r w:rsidR="00CF5C10" w:rsidRPr="002F0E6F">
        <w:rPr>
          <w:lang w:val="en-AU"/>
        </w:rPr>
        <w:t xml:space="preserve">examined the </w:t>
      </w:r>
      <w:r w:rsidR="00B4179C" w:rsidRPr="002F0E6F">
        <w:rPr>
          <w:lang w:val="en-AU"/>
        </w:rPr>
        <w:t>merits of notional estate provisions as</w:t>
      </w:r>
      <w:r w:rsidR="00CF5C10" w:rsidRPr="002F0E6F">
        <w:rPr>
          <w:lang w:val="en-AU"/>
        </w:rPr>
        <w:t xml:space="preserve"> part of </w:t>
      </w:r>
      <w:r w:rsidR="00B4179C" w:rsidRPr="002F0E6F">
        <w:rPr>
          <w:lang w:val="en-AU"/>
        </w:rPr>
        <w:t>an</w:t>
      </w:r>
      <w:r w:rsidR="00CF5C10" w:rsidRPr="002F0E6F">
        <w:rPr>
          <w:lang w:val="en-AU"/>
        </w:rPr>
        <w:t xml:space="preserve"> overall consideration of uniform </w:t>
      </w:r>
      <w:r w:rsidR="00CF5C10" w:rsidRPr="002F0E6F">
        <w:rPr>
          <w:lang w:val="en-AU"/>
        </w:rPr>
        <w:lastRenderedPageBreak/>
        <w:t xml:space="preserve">succession laws in Australian jurisdictions </w:t>
      </w:r>
      <w:r w:rsidR="00AD0CB7" w:rsidRPr="002F0E6F">
        <w:rPr>
          <w:lang w:val="en-AU"/>
        </w:rPr>
        <w:t xml:space="preserve">in </w:t>
      </w:r>
      <w:r w:rsidR="00CF5C10" w:rsidRPr="002F0E6F">
        <w:rPr>
          <w:lang w:val="en-AU"/>
        </w:rPr>
        <w:t>19</w:t>
      </w:r>
      <w:r w:rsidR="005102D8" w:rsidRPr="002F0E6F">
        <w:rPr>
          <w:lang w:val="en-AU"/>
        </w:rPr>
        <w:t>97</w:t>
      </w:r>
      <w:r w:rsidR="00B315F5" w:rsidRPr="002F0E6F">
        <w:rPr>
          <w:lang w:val="en-AU"/>
        </w:rPr>
        <w:t>.</w:t>
      </w:r>
      <w:r w:rsidR="005102D8" w:rsidRPr="00CE2AEE">
        <w:rPr>
          <w:rStyle w:val="FootnoteReference"/>
        </w:rPr>
        <w:footnoteReference w:id="76"/>
      </w:r>
      <w:r w:rsidR="00CF5C10" w:rsidRPr="002F0E6F">
        <w:rPr>
          <w:lang w:val="en-AU"/>
        </w:rPr>
        <w:t xml:space="preserve"> Th</w:t>
      </w:r>
      <w:r w:rsidR="00A15C06" w:rsidRPr="002F0E6F">
        <w:rPr>
          <w:lang w:val="en-AU"/>
        </w:rPr>
        <w:t>e</w:t>
      </w:r>
      <w:r w:rsidR="00CF5C10" w:rsidRPr="002F0E6F">
        <w:rPr>
          <w:lang w:val="en-AU"/>
        </w:rPr>
        <w:t xml:space="preserve"> report</w:t>
      </w:r>
      <w:r w:rsidR="00A15C06" w:rsidRPr="002F0E6F">
        <w:rPr>
          <w:lang w:val="en-AU"/>
        </w:rPr>
        <w:t xml:space="preserve"> presented to the </w:t>
      </w:r>
      <w:r w:rsidR="00301FB2" w:rsidRPr="002F0E6F">
        <w:rPr>
          <w:lang w:val="en-AU"/>
        </w:rPr>
        <w:t xml:space="preserve">National </w:t>
      </w:r>
      <w:r w:rsidR="00A15C06" w:rsidRPr="002F0E6F">
        <w:rPr>
          <w:lang w:val="en-AU"/>
        </w:rPr>
        <w:t>Committee</w:t>
      </w:r>
      <w:r w:rsidR="00CF5C10" w:rsidRPr="002F0E6F">
        <w:rPr>
          <w:lang w:val="en-AU"/>
        </w:rPr>
        <w:t xml:space="preserve"> closely examined the New South Wales</w:t>
      </w:r>
      <w:r w:rsidR="00200ED8" w:rsidRPr="002F0E6F">
        <w:rPr>
          <w:lang w:val="en-AU"/>
        </w:rPr>
        <w:t xml:space="preserve"> approach</w:t>
      </w:r>
      <w:r w:rsidR="00CF5C10" w:rsidRPr="002F0E6F">
        <w:rPr>
          <w:lang w:val="en-AU"/>
        </w:rPr>
        <w:t xml:space="preserve"> and recommended that similar provisions be included in the model legislation.</w:t>
      </w:r>
      <w:r w:rsidR="00057861" w:rsidRPr="00CE2AEE">
        <w:rPr>
          <w:rStyle w:val="FootnoteReference"/>
        </w:rPr>
        <w:footnoteReference w:id="77"/>
      </w:r>
      <w:r w:rsidR="006232EA" w:rsidRPr="002F0E6F">
        <w:rPr>
          <w:lang w:val="en-AU"/>
        </w:rPr>
        <w:t xml:space="preserve"> </w:t>
      </w:r>
      <w:r w:rsidR="00791211" w:rsidRPr="002F0E6F">
        <w:rPr>
          <w:lang w:val="en-AU"/>
        </w:rPr>
        <w:t>Th</w:t>
      </w:r>
      <w:r w:rsidR="00F84D1F" w:rsidRPr="002F0E6F">
        <w:rPr>
          <w:lang w:val="en-AU"/>
        </w:rPr>
        <w:t>e</w:t>
      </w:r>
      <w:r w:rsidR="00301FB2" w:rsidRPr="002F0E6F">
        <w:rPr>
          <w:lang w:val="en-AU"/>
        </w:rPr>
        <w:t xml:space="preserve">se </w:t>
      </w:r>
      <w:r w:rsidR="00791211" w:rsidRPr="002F0E6F">
        <w:rPr>
          <w:lang w:val="en-AU"/>
        </w:rPr>
        <w:t>recommendation</w:t>
      </w:r>
      <w:r w:rsidR="00301FB2" w:rsidRPr="002F0E6F">
        <w:rPr>
          <w:lang w:val="en-AU"/>
        </w:rPr>
        <w:t>s</w:t>
      </w:r>
      <w:r w:rsidR="00791211" w:rsidRPr="002F0E6F">
        <w:rPr>
          <w:lang w:val="en-AU"/>
        </w:rPr>
        <w:t xml:space="preserve"> </w:t>
      </w:r>
      <w:r w:rsidR="00301FB2" w:rsidRPr="002F0E6F">
        <w:rPr>
          <w:lang w:val="en-AU"/>
        </w:rPr>
        <w:t>were</w:t>
      </w:r>
      <w:r w:rsidR="00791211" w:rsidRPr="002F0E6F">
        <w:rPr>
          <w:lang w:val="en-AU"/>
        </w:rPr>
        <w:t xml:space="preserve"> consistent with recommendations of the New Zealand Law Commission </w:t>
      </w:r>
      <w:r w:rsidR="0043347E">
        <w:rPr>
          <w:lang w:val="en-AU"/>
        </w:rPr>
        <w:t xml:space="preserve">(‘NZLC’) </w:t>
      </w:r>
      <w:r w:rsidR="00791211" w:rsidRPr="002F0E6F">
        <w:rPr>
          <w:lang w:val="en-AU"/>
        </w:rPr>
        <w:t xml:space="preserve">made </w:t>
      </w:r>
      <w:r w:rsidR="00965A11" w:rsidRPr="002F0E6F">
        <w:rPr>
          <w:lang w:val="en-AU"/>
        </w:rPr>
        <w:t>in the same year</w:t>
      </w:r>
      <w:r w:rsidR="00791211" w:rsidRPr="002F0E6F">
        <w:rPr>
          <w:lang w:val="en-AU"/>
        </w:rPr>
        <w:t>.</w:t>
      </w:r>
      <w:r w:rsidR="00791211" w:rsidRPr="00CE2AEE">
        <w:rPr>
          <w:rStyle w:val="FootnoteReference"/>
        </w:rPr>
        <w:footnoteReference w:id="78"/>
      </w:r>
    </w:p>
    <w:p w14:paraId="53CF71D7" w14:textId="31243A85" w:rsidR="00980EE3" w:rsidRPr="002F0E6F" w:rsidRDefault="00980EE3" w:rsidP="00980EE3">
      <w:pPr>
        <w:pStyle w:val="Sub-HeadingTLRI"/>
        <w:rPr>
          <w:lang w:val="en-AU"/>
        </w:rPr>
      </w:pPr>
      <w:r w:rsidRPr="002F0E6F">
        <w:rPr>
          <w:lang w:val="en-AU"/>
        </w:rPr>
        <w:t>Subsequent recommendations of the National Committee</w:t>
      </w:r>
    </w:p>
    <w:p w14:paraId="5CF150B8" w14:textId="711ACC10" w:rsidR="00174E65" w:rsidRPr="002F0E6F" w:rsidRDefault="00A15C06" w:rsidP="00CE2AEE">
      <w:pPr>
        <w:pStyle w:val="NormalNumberedTextTLRI"/>
        <w:rPr>
          <w:lang w:val="en-AU"/>
        </w:rPr>
      </w:pPr>
      <w:r w:rsidRPr="002F0E6F">
        <w:rPr>
          <w:lang w:val="en-AU"/>
        </w:rPr>
        <w:t xml:space="preserve">The </w:t>
      </w:r>
      <w:r w:rsidR="00301FB2" w:rsidRPr="002F0E6F">
        <w:rPr>
          <w:lang w:val="en-AU"/>
        </w:rPr>
        <w:t xml:space="preserve">National </w:t>
      </w:r>
      <w:r w:rsidR="00CF5C10" w:rsidRPr="00CE2AEE">
        <w:t>Committee</w:t>
      </w:r>
      <w:r w:rsidRPr="002F0E6F">
        <w:rPr>
          <w:lang w:val="en-AU"/>
        </w:rPr>
        <w:t xml:space="preserve"> revisited the matter</w:t>
      </w:r>
      <w:r w:rsidR="00CF5C10" w:rsidRPr="002F0E6F">
        <w:rPr>
          <w:lang w:val="en-AU"/>
        </w:rPr>
        <w:t xml:space="preserve"> in </w:t>
      </w:r>
      <w:r w:rsidR="0079140A" w:rsidRPr="002F0E6F">
        <w:rPr>
          <w:lang w:val="en-AU"/>
        </w:rPr>
        <w:t xml:space="preserve">a </w:t>
      </w:r>
      <w:r w:rsidR="00CF5C10" w:rsidRPr="002F0E6F">
        <w:rPr>
          <w:lang w:val="en-AU"/>
        </w:rPr>
        <w:t>Supplementary Report to the Standing Committee of Attorney</w:t>
      </w:r>
      <w:r w:rsidR="00B63C0A" w:rsidRPr="002F0E6F">
        <w:rPr>
          <w:lang w:val="en-AU"/>
        </w:rPr>
        <w:t>s</w:t>
      </w:r>
      <w:r w:rsidR="00CF5C10" w:rsidRPr="002F0E6F">
        <w:rPr>
          <w:lang w:val="en-AU"/>
        </w:rPr>
        <w:t xml:space="preserve"> General in 2004</w:t>
      </w:r>
      <w:r w:rsidR="00174E65" w:rsidRPr="002F0E6F">
        <w:rPr>
          <w:lang w:val="en-AU"/>
        </w:rPr>
        <w:t>.</w:t>
      </w:r>
      <w:r w:rsidR="00174E65" w:rsidRPr="00CE2AEE">
        <w:rPr>
          <w:rStyle w:val="FootnoteReference"/>
        </w:rPr>
        <w:footnoteReference w:id="79"/>
      </w:r>
      <w:r w:rsidR="00174E65" w:rsidRPr="002F0E6F">
        <w:rPr>
          <w:lang w:val="en-AU"/>
        </w:rPr>
        <w:t xml:space="preserve"> </w:t>
      </w:r>
      <w:r w:rsidR="00FE5F39" w:rsidRPr="002F0E6F">
        <w:rPr>
          <w:lang w:val="en-AU"/>
        </w:rPr>
        <w:t xml:space="preserve">The </w:t>
      </w:r>
      <w:r w:rsidR="009E1493">
        <w:rPr>
          <w:lang w:val="en-AU"/>
        </w:rPr>
        <w:t>r</w:t>
      </w:r>
      <w:r w:rsidR="00FE5F39" w:rsidRPr="002F0E6F">
        <w:rPr>
          <w:lang w:val="en-AU"/>
        </w:rPr>
        <w:t xml:space="preserve">eport </w:t>
      </w:r>
      <w:r w:rsidR="00D14DCB" w:rsidRPr="002F0E6F">
        <w:rPr>
          <w:lang w:val="en-AU"/>
        </w:rPr>
        <w:t>outlined</w:t>
      </w:r>
      <w:r w:rsidR="00FE5F39" w:rsidRPr="002F0E6F">
        <w:rPr>
          <w:lang w:val="en-AU"/>
        </w:rPr>
        <w:t xml:space="preserve"> draft model </w:t>
      </w:r>
      <w:r w:rsidR="00301FB2" w:rsidRPr="002F0E6F">
        <w:rPr>
          <w:lang w:val="en-AU"/>
        </w:rPr>
        <w:t xml:space="preserve">succession law </w:t>
      </w:r>
      <w:r w:rsidR="00FE5F39" w:rsidRPr="002F0E6F">
        <w:rPr>
          <w:lang w:val="en-AU"/>
        </w:rPr>
        <w:t>legislation</w:t>
      </w:r>
      <w:r w:rsidR="00301FB2" w:rsidRPr="002F0E6F">
        <w:rPr>
          <w:lang w:val="en-AU"/>
        </w:rPr>
        <w:t xml:space="preserve"> for Australia</w:t>
      </w:r>
      <w:r w:rsidR="00FE5F39" w:rsidRPr="00CE2AEE">
        <w:rPr>
          <w:rStyle w:val="FootnoteReference"/>
        </w:rPr>
        <w:footnoteReference w:id="80"/>
      </w:r>
      <w:r w:rsidR="00A92C88" w:rsidRPr="002F0E6F">
        <w:rPr>
          <w:lang w:val="en-AU"/>
        </w:rPr>
        <w:t xml:space="preserve"> which included replicating</w:t>
      </w:r>
      <w:r w:rsidR="00CE2AEE">
        <w:rPr>
          <w:lang w:val="en-AU"/>
        </w:rPr>
        <w:t>,</w:t>
      </w:r>
      <w:r w:rsidR="00A92C88" w:rsidRPr="002F0E6F">
        <w:rPr>
          <w:lang w:val="en-AU"/>
        </w:rPr>
        <w:t xml:space="preserve"> in broad terms</w:t>
      </w:r>
      <w:r w:rsidR="00CE2AEE">
        <w:rPr>
          <w:lang w:val="en-AU"/>
        </w:rPr>
        <w:t>,</w:t>
      </w:r>
      <w:r w:rsidR="00A92C88" w:rsidRPr="002F0E6F">
        <w:rPr>
          <w:lang w:val="en-AU"/>
        </w:rPr>
        <w:t xml:space="preserve"> the notional estate provisions </w:t>
      </w:r>
      <w:r w:rsidR="00200ED8" w:rsidRPr="002F0E6F">
        <w:rPr>
          <w:lang w:val="en-AU"/>
        </w:rPr>
        <w:t>from</w:t>
      </w:r>
      <w:r w:rsidR="00A92C88" w:rsidRPr="002F0E6F">
        <w:rPr>
          <w:lang w:val="en-AU"/>
        </w:rPr>
        <w:t xml:space="preserve"> </w:t>
      </w:r>
      <w:r w:rsidR="009B004F" w:rsidRPr="002F0E6F">
        <w:rPr>
          <w:lang w:val="en-AU"/>
        </w:rPr>
        <w:t>New South Wales</w:t>
      </w:r>
      <w:r w:rsidR="00A92C88" w:rsidRPr="002F0E6F">
        <w:rPr>
          <w:lang w:val="en-AU"/>
        </w:rPr>
        <w:t>.</w:t>
      </w:r>
      <w:r w:rsidR="00FE5F39" w:rsidRPr="002F0E6F">
        <w:rPr>
          <w:lang w:val="en-AU"/>
        </w:rPr>
        <w:t xml:space="preserve"> </w:t>
      </w:r>
      <w:r w:rsidR="00174E65" w:rsidRPr="002F0E6F">
        <w:rPr>
          <w:lang w:val="en-AU"/>
        </w:rPr>
        <w:t xml:space="preserve">This report also considered specific aspects of the </w:t>
      </w:r>
      <w:r w:rsidR="009B004F" w:rsidRPr="002F0E6F">
        <w:rPr>
          <w:lang w:val="en-AU"/>
        </w:rPr>
        <w:t xml:space="preserve">New South Wales </w:t>
      </w:r>
      <w:r w:rsidR="00174E65" w:rsidRPr="002F0E6F">
        <w:rPr>
          <w:lang w:val="en-AU"/>
        </w:rPr>
        <w:t>legislation particularly in relation to joint tenancies.</w:t>
      </w:r>
      <w:r w:rsidR="00174E65" w:rsidRPr="00CE2AEE">
        <w:rPr>
          <w:rStyle w:val="FootnoteReference"/>
        </w:rPr>
        <w:footnoteReference w:id="81"/>
      </w:r>
    </w:p>
    <w:p w14:paraId="65D6D132" w14:textId="02EDFEBA" w:rsidR="00CF5C10" w:rsidRPr="002F0E6F" w:rsidRDefault="002A68B1" w:rsidP="00CE2AEE">
      <w:pPr>
        <w:pStyle w:val="NormalNumberedTextTLRI"/>
        <w:rPr>
          <w:lang w:val="en-AU"/>
        </w:rPr>
      </w:pPr>
      <w:r w:rsidRPr="002F0E6F">
        <w:rPr>
          <w:lang w:val="en-AU"/>
        </w:rPr>
        <w:t>T</w:t>
      </w:r>
      <w:r w:rsidR="00CF5C10" w:rsidRPr="002F0E6F">
        <w:rPr>
          <w:lang w:val="en-AU"/>
        </w:rPr>
        <w:t xml:space="preserve">he </w:t>
      </w:r>
      <w:r w:rsidR="00CF5C10" w:rsidRPr="00CE2AEE">
        <w:t>NSW</w:t>
      </w:r>
      <w:r w:rsidR="00027875" w:rsidRPr="00CE2AEE">
        <w:t>LRC</w:t>
      </w:r>
      <w:r w:rsidR="00FE5F39" w:rsidRPr="002F0E6F">
        <w:rPr>
          <w:lang w:val="en-AU"/>
        </w:rPr>
        <w:t xml:space="preserve"> subsequently </w:t>
      </w:r>
      <w:r w:rsidR="00AB13C1" w:rsidRPr="002F0E6F">
        <w:rPr>
          <w:lang w:val="en-AU"/>
        </w:rPr>
        <w:t>published</w:t>
      </w:r>
      <w:r w:rsidR="00FE5F39" w:rsidRPr="002F0E6F">
        <w:rPr>
          <w:lang w:val="en-AU"/>
        </w:rPr>
        <w:t xml:space="preserve"> a </w:t>
      </w:r>
      <w:r w:rsidR="00677CC9" w:rsidRPr="002F0E6F">
        <w:rPr>
          <w:lang w:val="en-AU"/>
        </w:rPr>
        <w:t>r</w:t>
      </w:r>
      <w:r w:rsidR="00FE5F39" w:rsidRPr="002F0E6F">
        <w:rPr>
          <w:lang w:val="en-AU"/>
        </w:rPr>
        <w:t>eport containing commentary in relation to the draft model legislation</w:t>
      </w:r>
      <w:r w:rsidR="00CF5C10" w:rsidRPr="002F0E6F">
        <w:rPr>
          <w:lang w:val="en-AU"/>
        </w:rPr>
        <w:t>.</w:t>
      </w:r>
      <w:r w:rsidR="005102D8" w:rsidRPr="00CE2AEE">
        <w:rPr>
          <w:rStyle w:val="FootnoteReference"/>
        </w:rPr>
        <w:footnoteReference w:id="82"/>
      </w:r>
      <w:r w:rsidR="00FE5F39" w:rsidRPr="002F0E6F">
        <w:rPr>
          <w:lang w:val="en-AU"/>
        </w:rPr>
        <w:t xml:space="preserve"> Th</w:t>
      </w:r>
      <w:r w:rsidR="00200ED8" w:rsidRPr="002F0E6F">
        <w:rPr>
          <w:lang w:val="en-AU"/>
        </w:rPr>
        <w:t>e</w:t>
      </w:r>
      <w:r w:rsidR="00FE5F39" w:rsidRPr="002F0E6F">
        <w:rPr>
          <w:lang w:val="en-AU"/>
        </w:rPr>
        <w:t xml:space="preserve"> draft legislation has not been implemented in any </w:t>
      </w:r>
      <w:r w:rsidR="00F77867" w:rsidRPr="002F0E6F">
        <w:rPr>
          <w:lang w:val="en-AU"/>
        </w:rPr>
        <w:t xml:space="preserve">other </w:t>
      </w:r>
      <w:r w:rsidR="00FE5F39" w:rsidRPr="002F0E6F">
        <w:rPr>
          <w:lang w:val="en-AU"/>
        </w:rPr>
        <w:t>Australian jurisdiction.</w:t>
      </w:r>
    </w:p>
    <w:p w14:paraId="292EF2A6" w14:textId="1FEFFF5C" w:rsidR="00343BFF" w:rsidRPr="002F0E6F" w:rsidRDefault="00343BFF" w:rsidP="00343BFF">
      <w:pPr>
        <w:pStyle w:val="Sub-HeadingTLRI"/>
        <w:rPr>
          <w:lang w:val="en-AU"/>
        </w:rPr>
      </w:pPr>
      <w:r w:rsidRPr="002F0E6F">
        <w:rPr>
          <w:lang w:val="en-AU"/>
        </w:rPr>
        <w:t>Victoria</w:t>
      </w:r>
      <w:r w:rsidR="00980EE3" w:rsidRPr="002F0E6F">
        <w:rPr>
          <w:lang w:val="en-AU"/>
        </w:rPr>
        <w:t xml:space="preserve">n Law Reform Commission </w:t>
      </w:r>
      <w:r w:rsidR="002216AD" w:rsidRPr="002F0E6F">
        <w:rPr>
          <w:lang w:val="en-AU"/>
        </w:rPr>
        <w:t xml:space="preserve">Review </w:t>
      </w:r>
    </w:p>
    <w:p w14:paraId="091F9B3B" w14:textId="2DF99F20" w:rsidR="00343BFF" w:rsidRPr="002F0E6F" w:rsidRDefault="00343BFF" w:rsidP="00CE2AEE">
      <w:pPr>
        <w:pStyle w:val="NormalNumberedTextTLRI"/>
        <w:rPr>
          <w:lang w:val="en-AU"/>
        </w:rPr>
      </w:pPr>
      <w:r w:rsidRPr="002F0E6F">
        <w:rPr>
          <w:lang w:val="en-AU"/>
        </w:rPr>
        <w:t xml:space="preserve">The VLRC released a </w:t>
      </w:r>
      <w:r w:rsidR="009E1493">
        <w:rPr>
          <w:lang w:val="en-AU"/>
        </w:rPr>
        <w:t>Consultation</w:t>
      </w:r>
      <w:r w:rsidR="009E1493" w:rsidRPr="002F0E6F">
        <w:rPr>
          <w:lang w:val="en-AU"/>
        </w:rPr>
        <w:t xml:space="preserve"> </w:t>
      </w:r>
      <w:r w:rsidRPr="002F0E6F">
        <w:rPr>
          <w:lang w:val="en-AU"/>
        </w:rPr>
        <w:t xml:space="preserve">Paper in 2012 as part of its </w:t>
      </w:r>
      <w:r w:rsidRPr="00CE2AEE">
        <w:t>review</w:t>
      </w:r>
      <w:r w:rsidRPr="002F0E6F">
        <w:rPr>
          <w:lang w:val="en-AU"/>
        </w:rPr>
        <w:t xml:space="preserve"> of </w:t>
      </w:r>
      <w:r w:rsidR="00C76B47" w:rsidRPr="002F0E6F">
        <w:rPr>
          <w:lang w:val="en-AU"/>
        </w:rPr>
        <w:t>s</w:t>
      </w:r>
      <w:r w:rsidRPr="002F0E6F">
        <w:rPr>
          <w:lang w:val="en-AU"/>
        </w:rPr>
        <w:t xml:space="preserve">uccession </w:t>
      </w:r>
      <w:r w:rsidR="00C76B47" w:rsidRPr="002F0E6F">
        <w:rPr>
          <w:lang w:val="en-AU"/>
        </w:rPr>
        <w:t>l</w:t>
      </w:r>
      <w:r w:rsidRPr="002F0E6F">
        <w:rPr>
          <w:lang w:val="en-AU"/>
        </w:rPr>
        <w:t>aw in Victoria.</w:t>
      </w:r>
      <w:bookmarkStart w:id="54" w:name="_Ref1938910"/>
      <w:r w:rsidRPr="00CE2AEE">
        <w:rPr>
          <w:rStyle w:val="FootnoteReference"/>
        </w:rPr>
        <w:footnoteReference w:id="83"/>
      </w:r>
      <w:bookmarkEnd w:id="54"/>
      <w:r w:rsidRPr="002F0E6F">
        <w:rPr>
          <w:lang w:val="en-AU"/>
        </w:rPr>
        <w:t xml:space="preserve"> Amongst other matters, it dealt with the possibility of introducing notional estate provisions in Victoria as contained in the </w:t>
      </w:r>
      <w:r w:rsidR="009B004F" w:rsidRPr="002F0E6F">
        <w:rPr>
          <w:lang w:val="en-AU"/>
        </w:rPr>
        <w:t xml:space="preserve">New South Wales </w:t>
      </w:r>
      <w:r w:rsidRPr="002F0E6F">
        <w:rPr>
          <w:lang w:val="en-AU"/>
        </w:rPr>
        <w:t>legislation and as recommended by the National Committee.</w:t>
      </w:r>
      <w:r w:rsidRPr="00CE2AEE">
        <w:rPr>
          <w:rStyle w:val="FootnoteReference"/>
        </w:rPr>
        <w:footnoteReference w:id="84"/>
      </w:r>
    </w:p>
    <w:p w14:paraId="54E37DEA" w14:textId="3BD4225E" w:rsidR="00EE4DD6" w:rsidRPr="002F0E6F" w:rsidRDefault="00314BF6" w:rsidP="00CE2AEE">
      <w:pPr>
        <w:pStyle w:val="NormalNumberedTextTLRI"/>
        <w:rPr>
          <w:lang w:val="en-AU"/>
        </w:rPr>
      </w:pPr>
      <w:r>
        <w:rPr>
          <w:lang w:val="en-AU"/>
        </w:rPr>
        <w:t>In its Final Report, t</w:t>
      </w:r>
      <w:r w:rsidR="00343BFF" w:rsidRPr="002F0E6F">
        <w:rPr>
          <w:lang w:val="en-AU"/>
        </w:rPr>
        <w:t xml:space="preserve">he </w:t>
      </w:r>
      <w:r w:rsidR="00EE4DD6" w:rsidRPr="002F0E6F">
        <w:rPr>
          <w:lang w:val="en-AU"/>
        </w:rPr>
        <w:t>VLRC</w:t>
      </w:r>
      <w:r w:rsidR="00343BFF" w:rsidRPr="002F0E6F">
        <w:rPr>
          <w:lang w:val="en-AU"/>
        </w:rPr>
        <w:t xml:space="preserve"> </w:t>
      </w:r>
      <w:r w:rsidR="00F32934" w:rsidRPr="002F0E6F">
        <w:rPr>
          <w:lang w:val="en-AU"/>
        </w:rPr>
        <w:t>observed that several respondents</w:t>
      </w:r>
      <w:r w:rsidR="00CE2AEE">
        <w:rPr>
          <w:lang w:val="en-AU"/>
        </w:rPr>
        <w:t>’</w:t>
      </w:r>
      <w:r w:rsidR="00F32934" w:rsidRPr="002F0E6F">
        <w:rPr>
          <w:lang w:val="en-AU"/>
        </w:rPr>
        <w:t xml:space="preserve"> </w:t>
      </w:r>
      <w:r w:rsidR="00200ED8" w:rsidRPr="002F0E6F">
        <w:rPr>
          <w:lang w:val="en-AU"/>
        </w:rPr>
        <w:t xml:space="preserve">submissions </w:t>
      </w:r>
      <w:r w:rsidR="00F32934" w:rsidRPr="002F0E6F">
        <w:rPr>
          <w:lang w:val="en-AU"/>
        </w:rPr>
        <w:t>were not in favour of introduc</w:t>
      </w:r>
      <w:r w:rsidR="00CE2AEE">
        <w:rPr>
          <w:lang w:val="en-AU"/>
        </w:rPr>
        <w:t>ing</w:t>
      </w:r>
      <w:r w:rsidR="00F32934" w:rsidRPr="002F0E6F">
        <w:rPr>
          <w:lang w:val="en-AU"/>
        </w:rPr>
        <w:t xml:space="preserve"> notional estate laws in </w:t>
      </w:r>
      <w:r w:rsidR="00EE4DD6" w:rsidRPr="002F0E6F">
        <w:rPr>
          <w:lang w:val="en-AU"/>
        </w:rPr>
        <w:t xml:space="preserve">Victoria on the basis that </w:t>
      </w:r>
      <w:r w:rsidR="00343BFF" w:rsidRPr="002F0E6F">
        <w:rPr>
          <w:lang w:val="en-AU"/>
        </w:rPr>
        <w:t>the law ought not detract from the general proposition that persons are able to deal with their property as they wish during their lifetime</w:t>
      </w:r>
      <w:r w:rsidR="00EE4DD6" w:rsidRPr="002F0E6F">
        <w:rPr>
          <w:lang w:val="en-AU"/>
        </w:rPr>
        <w:t>.</w:t>
      </w:r>
      <w:bookmarkStart w:id="55" w:name="_Ref1905366"/>
      <w:r w:rsidR="00F32934" w:rsidRPr="005129A4">
        <w:rPr>
          <w:rStyle w:val="FootnoteReference"/>
        </w:rPr>
        <w:footnoteReference w:id="85"/>
      </w:r>
      <w:bookmarkEnd w:id="55"/>
      <w:r w:rsidR="00EE4DD6" w:rsidRPr="005129A4">
        <w:rPr>
          <w:rStyle w:val="FootnoteReference"/>
        </w:rPr>
        <w:t xml:space="preserve"> </w:t>
      </w:r>
    </w:p>
    <w:p w14:paraId="2B16EA29" w14:textId="6723F129" w:rsidR="00343BFF" w:rsidRPr="002F0E6F" w:rsidRDefault="00200ED8" w:rsidP="00CD3321">
      <w:pPr>
        <w:pStyle w:val="NormalNumberedTextTLRI"/>
        <w:rPr>
          <w:lang w:val="en-AU"/>
        </w:rPr>
      </w:pPr>
      <w:r w:rsidRPr="002F0E6F">
        <w:rPr>
          <w:lang w:val="en-AU"/>
        </w:rPr>
        <w:t>S</w:t>
      </w:r>
      <w:r w:rsidR="00EE4DD6" w:rsidRPr="002F0E6F">
        <w:rPr>
          <w:lang w:val="en-AU"/>
        </w:rPr>
        <w:t>ome respondents</w:t>
      </w:r>
      <w:r w:rsidRPr="002F0E6F">
        <w:rPr>
          <w:lang w:val="en-AU"/>
        </w:rPr>
        <w:t xml:space="preserve"> expressed the view</w:t>
      </w:r>
      <w:r w:rsidR="00EE4DD6" w:rsidRPr="002F0E6F">
        <w:rPr>
          <w:lang w:val="en-AU"/>
        </w:rPr>
        <w:t xml:space="preserve"> that, </w:t>
      </w:r>
      <w:r w:rsidR="00F32934" w:rsidRPr="002F0E6F">
        <w:rPr>
          <w:lang w:val="en-AU"/>
        </w:rPr>
        <w:t xml:space="preserve">if </w:t>
      </w:r>
      <w:r w:rsidR="00343BFF" w:rsidRPr="002F0E6F">
        <w:rPr>
          <w:lang w:val="en-AU"/>
        </w:rPr>
        <w:t xml:space="preserve">notional estate provisions were introduced, they should only apply to </w:t>
      </w:r>
      <w:r w:rsidR="00343BFF" w:rsidRPr="00CD3321">
        <w:t>transactions</w:t>
      </w:r>
      <w:r w:rsidR="00343BFF" w:rsidRPr="002F0E6F">
        <w:rPr>
          <w:lang w:val="en-AU"/>
        </w:rPr>
        <w:t xml:space="preserve"> entered into with the specific intention of defeating a claim for family provision</w:t>
      </w:r>
      <w:r w:rsidR="00EE4DD6" w:rsidRPr="002F0E6F">
        <w:rPr>
          <w:lang w:val="en-AU"/>
        </w:rPr>
        <w:t>.</w:t>
      </w:r>
      <w:r w:rsidR="00F32934" w:rsidRPr="00CD3321">
        <w:rPr>
          <w:rStyle w:val="FootnoteReference"/>
        </w:rPr>
        <w:footnoteReference w:id="86"/>
      </w:r>
      <w:r w:rsidR="00343BFF" w:rsidRPr="002F0E6F">
        <w:rPr>
          <w:lang w:val="en-AU"/>
        </w:rPr>
        <w:t xml:space="preserve"> </w:t>
      </w:r>
      <w:r w:rsidR="00EE4DD6" w:rsidRPr="002F0E6F">
        <w:rPr>
          <w:lang w:val="en-AU"/>
        </w:rPr>
        <w:t>In relation to the relevance of intention, however, the VLRC concluded:</w:t>
      </w:r>
    </w:p>
    <w:p w14:paraId="5D833BB7" w14:textId="7CB2A3FF" w:rsidR="00343BFF" w:rsidRPr="002F0E6F" w:rsidRDefault="00343BFF" w:rsidP="00C47D98">
      <w:pPr>
        <w:pStyle w:val="QuoteTLRI"/>
      </w:pPr>
      <w:r w:rsidRPr="002F0E6F">
        <w:lastRenderedPageBreak/>
        <w:t xml:space="preserve">The Commission considers that a notional </w:t>
      </w:r>
      <w:r w:rsidRPr="0076100C">
        <w:t>estate</w:t>
      </w:r>
      <w:r w:rsidRPr="002F0E6F">
        <w:t xml:space="preserve"> scheme that only applied to transactions entered into with the intention of avoiding family provision obligations could be easily circumvented. Further, intention is difficult to prove, as evidenced by the clear preference for the notional estate provisions in New South Wales which do not require proof of intention to defeat a possible family provision claim.</w:t>
      </w:r>
      <w:r w:rsidR="00314BF6">
        <w:t xml:space="preserve"> </w:t>
      </w:r>
      <w:r w:rsidRPr="002F0E6F">
        <w:t>The Commission also agrees that any notional estate scheme that does not require some intention on the part of the deceased person risks being too far-reaching and unduly limiting of a person’s right to dispose of their property during their life</w:t>
      </w:r>
      <w:r w:rsidR="00EE4DD6" w:rsidRPr="002F0E6F">
        <w:t>…</w:t>
      </w:r>
      <w:r w:rsidR="00EE4DD6" w:rsidRPr="00314BF6">
        <w:rPr>
          <w:rStyle w:val="FootnoteReference"/>
        </w:rPr>
        <w:footnoteReference w:id="87"/>
      </w:r>
    </w:p>
    <w:p w14:paraId="303B95E3" w14:textId="3D168B87" w:rsidR="00EE4DD6" w:rsidRPr="002F0E6F" w:rsidRDefault="0022788E" w:rsidP="004017F0">
      <w:pPr>
        <w:pStyle w:val="NormalNumberedTextTLRI"/>
        <w:rPr>
          <w:lang w:val="en-AU"/>
        </w:rPr>
      </w:pPr>
      <w:r w:rsidRPr="004017F0">
        <w:t>Further</w:t>
      </w:r>
      <w:r w:rsidRPr="002F0E6F">
        <w:rPr>
          <w:lang w:val="en-AU"/>
        </w:rPr>
        <w:t>, it</w:t>
      </w:r>
      <w:r w:rsidR="00EE4DD6" w:rsidRPr="002F0E6F">
        <w:rPr>
          <w:lang w:val="en-AU"/>
        </w:rPr>
        <w:t xml:space="preserve"> commented:</w:t>
      </w:r>
    </w:p>
    <w:p w14:paraId="49771CC7" w14:textId="788B9A7F" w:rsidR="00343BFF" w:rsidRPr="002F0E6F" w:rsidRDefault="00343BFF" w:rsidP="00C47D98">
      <w:pPr>
        <w:pStyle w:val="QuoteTLRI"/>
      </w:pPr>
      <w:r w:rsidRPr="002F0E6F">
        <w:t xml:space="preserve">The Commission also considers that any transaction entered into before death may have the effect of </w:t>
      </w:r>
      <w:r w:rsidRPr="004017F0">
        <w:t>benefitting</w:t>
      </w:r>
      <w:r w:rsidRPr="002F0E6F">
        <w:t xml:space="preserve"> the same people who could later be family provision claimants. The gift during life may give effect to the person’s responsibility to provide, but does this before death rather than after.</w:t>
      </w:r>
      <w:r w:rsidR="00A91DD7">
        <w:rPr>
          <w:rStyle w:val="FootnoteReference"/>
        </w:rPr>
        <w:footnoteReference w:id="88"/>
      </w:r>
    </w:p>
    <w:p w14:paraId="3575BD08" w14:textId="00AD6DFF" w:rsidR="00EE4DD6" w:rsidRPr="002F0E6F" w:rsidRDefault="00343BFF" w:rsidP="00051957">
      <w:pPr>
        <w:pStyle w:val="NormalNumberedTextTLRI"/>
        <w:rPr>
          <w:lang w:val="en-AU"/>
        </w:rPr>
      </w:pPr>
      <w:r w:rsidRPr="002F0E6F">
        <w:rPr>
          <w:lang w:val="en-AU"/>
        </w:rPr>
        <w:tab/>
      </w:r>
      <w:r w:rsidR="00EE4DD6" w:rsidRPr="002F0E6F">
        <w:rPr>
          <w:lang w:val="en-AU"/>
        </w:rPr>
        <w:t xml:space="preserve">The Report </w:t>
      </w:r>
      <w:r w:rsidR="00EE4DD6" w:rsidRPr="00051957">
        <w:t>discussed</w:t>
      </w:r>
      <w:r w:rsidR="00EE4DD6" w:rsidRPr="002F0E6F">
        <w:rPr>
          <w:lang w:val="en-AU"/>
        </w:rPr>
        <w:t xml:space="preserve"> the New South Wales provisions and noted that the National Committee, in 1996, had been advised that:</w:t>
      </w:r>
    </w:p>
    <w:p w14:paraId="00E19CA6" w14:textId="7E3E59AD" w:rsidR="00EE4DD6" w:rsidRPr="002F0E6F" w:rsidRDefault="00EE4DD6" w:rsidP="00C47D98">
      <w:pPr>
        <w:pStyle w:val="QuoteTLRI"/>
      </w:pPr>
      <w:r w:rsidRPr="002F0E6F">
        <w:t>Whether it would be possible to persuade the other States and Territories to follow this approach may perhaps depend on how successful it has been in New South Wales in practice … An evaluation of the legislation, from a New South Wales perspective, must be undertaken as part of the project.</w:t>
      </w:r>
      <w:r w:rsidRPr="00314BF6">
        <w:rPr>
          <w:rStyle w:val="FootnoteReference"/>
        </w:rPr>
        <w:footnoteReference w:id="89"/>
      </w:r>
    </w:p>
    <w:p w14:paraId="6A433D61" w14:textId="59097E6F" w:rsidR="00EE4DD6" w:rsidRPr="002F0E6F" w:rsidRDefault="00EE4DD6" w:rsidP="00314BF6">
      <w:pPr>
        <w:pStyle w:val="NormalNumberedTextTLRI"/>
        <w:rPr>
          <w:lang w:val="en-AU"/>
        </w:rPr>
      </w:pPr>
      <w:r w:rsidRPr="002F0E6F">
        <w:rPr>
          <w:lang w:val="en-AU"/>
        </w:rPr>
        <w:t xml:space="preserve">It </w:t>
      </w:r>
      <w:r w:rsidRPr="00314BF6">
        <w:t>commented</w:t>
      </w:r>
      <w:r w:rsidRPr="002F0E6F">
        <w:rPr>
          <w:lang w:val="en-AU"/>
        </w:rPr>
        <w:t xml:space="preserve"> that the need for notional estate laws and the effectiveness of the </w:t>
      </w:r>
      <w:r w:rsidR="009B004F" w:rsidRPr="002F0E6F">
        <w:rPr>
          <w:lang w:val="en-AU"/>
        </w:rPr>
        <w:t xml:space="preserve">New South Wales </w:t>
      </w:r>
      <w:r w:rsidRPr="002F0E6F">
        <w:rPr>
          <w:lang w:val="en-AU"/>
        </w:rPr>
        <w:t>provisions in meeting that need (if any) had not been demonstrated. It noted that:</w:t>
      </w:r>
      <w:r w:rsidRPr="00314BF6">
        <w:rPr>
          <w:rStyle w:val="FootnoteReference"/>
          <w:lang w:val="en-AU" w:eastAsia="ja-JP"/>
        </w:rPr>
        <w:footnoteReference w:id="90"/>
      </w:r>
    </w:p>
    <w:p w14:paraId="3096B178" w14:textId="77777777" w:rsidR="00EE4DD6" w:rsidRPr="002F0E6F" w:rsidRDefault="00EE4DD6" w:rsidP="00C47D98">
      <w:pPr>
        <w:pStyle w:val="QuoteTLRI"/>
      </w:pPr>
      <w:r w:rsidRPr="002F0E6F">
        <w:t xml:space="preserve">The National </w:t>
      </w:r>
      <w:r w:rsidRPr="00314BF6">
        <w:t>Committee’s</w:t>
      </w:r>
      <w:r w:rsidRPr="002F0E6F">
        <w:t xml:space="preserve"> recommendation to adopt the New South Wales provisions was not based on empirical research demonstrating the need for such provisions, but rather because the provisions existed and had been in operation for some time, and there was ‘nothing hugely wrong with them’.</w:t>
      </w:r>
      <w:r w:rsidRPr="00314BF6">
        <w:rPr>
          <w:rStyle w:val="FootnoteReference"/>
        </w:rPr>
        <w:footnoteReference w:id="91"/>
      </w:r>
    </w:p>
    <w:p w14:paraId="7997CB77" w14:textId="099191C0" w:rsidR="00343BFF" w:rsidRPr="002F0E6F" w:rsidRDefault="00EE4DD6" w:rsidP="00314BF6">
      <w:pPr>
        <w:pStyle w:val="NormalNumberedTextTLRI"/>
        <w:rPr>
          <w:lang w:val="en-AU"/>
        </w:rPr>
      </w:pPr>
      <w:r w:rsidRPr="002F0E6F">
        <w:rPr>
          <w:lang w:val="en-AU"/>
        </w:rPr>
        <w:t xml:space="preserve">The VLRC did not recommend </w:t>
      </w:r>
      <w:r w:rsidRPr="00314BF6">
        <w:t>introduction</w:t>
      </w:r>
      <w:r w:rsidRPr="002F0E6F">
        <w:rPr>
          <w:lang w:val="en-AU"/>
        </w:rPr>
        <w:t xml:space="preserve"> of notional estate provisions in Victoria due to </w:t>
      </w:r>
      <w:r w:rsidR="00314BF6">
        <w:rPr>
          <w:lang w:val="en-AU"/>
        </w:rPr>
        <w:t>‘</w:t>
      </w:r>
      <w:r w:rsidRPr="002F0E6F">
        <w:rPr>
          <w:lang w:val="en-AU"/>
        </w:rPr>
        <w:t>t</w:t>
      </w:r>
      <w:r w:rsidR="00343BFF" w:rsidRPr="002F0E6F">
        <w:rPr>
          <w:lang w:val="en-AU"/>
        </w:rPr>
        <w:t>he absence of clear evidence demonstrating the need for such provisions in Victoria, or the effectiveness of such provisions in New South Wales.</w:t>
      </w:r>
      <w:r w:rsidR="00314BF6">
        <w:rPr>
          <w:lang w:val="en-AU"/>
        </w:rPr>
        <w:t>’</w:t>
      </w:r>
      <w:r w:rsidR="00343BFF" w:rsidRPr="00314BF6">
        <w:rPr>
          <w:rStyle w:val="FootnoteReference"/>
          <w:lang w:val="en-AU" w:eastAsia="ja-JP"/>
        </w:rPr>
        <w:footnoteReference w:id="92"/>
      </w:r>
    </w:p>
    <w:p w14:paraId="4F6597E1" w14:textId="14E768D7" w:rsidR="00343BFF" w:rsidRPr="002F0E6F" w:rsidRDefault="00343BFF" w:rsidP="00491805">
      <w:pPr>
        <w:pStyle w:val="Sub-HeadingTLRI"/>
        <w:keepNext/>
        <w:rPr>
          <w:lang w:val="en-AU"/>
        </w:rPr>
      </w:pPr>
      <w:r w:rsidRPr="002F0E6F">
        <w:rPr>
          <w:lang w:val="en-AU"/>
        </w:rPr>
        <w:lastRenderedPageBreak/>
        <w:t>South Australia</w:t>
      </w:r>
      <w:r w:rsidR="00272AB4" w:rsidRPr="002F0E6F">
        <w:rPr>
          <w:lang w:val="en-AU"/>
        </w:rPr>
        <w:t>n Law Reform Institute</w:t>
      </w:r>
    </w:p>
    <w:p w14:paraId="07807220" w14:textId="6D29E5CD" w:rsidR="00343BFF" w:rsidRPr="002F0E6F" w:rsidRDefault="00272AB4" w:rsidP="00314BF6">
      <w:pPr>
        <w:pStyle w:val="NormalNumberedTextTLRI"/>
        <w:rPr>
          <w:lang w:val="en-AU"/>
        </w:rPr>
      </w:pPr>
      <w:r w:rsidRPr="002F0E6F">
        <w:rPr>
          <w:lang w:val="en-AU"/>
        </w:rPr>
        <w:t xml:space="preserve">SALRI </w:t>
      </w:r>
      <w:r w:rsidR="00343BFF" w:rsidRPr="00314BF6">
        <w:t>released</w:t>
      </w:r>
      <w:r w:rsidR="00343BFF" w:rsidRPr="002F0E6F">
        <w:rPr>
          <w:lang w:val="en-AU"/>
        </w:rPr>
        <w:t xml:space="preserve"> a </w:t>
      </w:r>
      <w:r w:rsidR="00F451B8" w:rsidRPr="002F0E6F">
        <w:rPr>
          <w:lang w:val="en-AU"/>
        </w:rPr>
        <w:t>r</w:t>
      </w:r>
      <w:r w:rsidR="00343BFF" w:rsidRPr="002F0E6F">
        <w:rPr>
          <w:lang w:val="en-AU"/>
        </w:rPr>
        <w:t>eport in 2017</w:t>
      </w:r>
      <w:r w:rsidR="00CC23FF">
        <w:rPr>
          <w:lang w:val="en-AU"/>
        </w:rPr>
        <w:t xml:space="preserve"> that considered a range of issues related to family provision</w:t>
      </w:r>
      <w:r w:rsidR="00491805">
        <w:rPr>
          <w:lang w:val="en-AU"/>
        </w:rPr>
        <w:t>,</w:t>
      </w:r>
      <w:r w:rsidR="00CC23FF">
        <w:rPr>
          <w:lang w:val="en-AU"/>
        </w:rPr>
        <w:t xml:space="preserve"> including the possibility of introducing notional estate legislation in South Australia.</w:t>
      </w:r>
      <w:bookmarkStart w:id="56" w:name="_Ref2255831"/>
      <w:r w:rsidR="00703CDE" w:rsidRPr="00BA1C59">
        <w:rPr>
          <w:rStyle w:val="FootnoteReference"/>
        </w:rPr>
        <w:footnoteReference w:id="93"/>
      </w:r>
      <w:bookmarkEnd w:id="56"/>
    </w:p>
    <w:p w14:paraId="2C796E21" w14:textId="769C1DFB" w:rsidR="00343BFF" w:rsidRPr="002F0E6F" w:rsidRDefault="00343BFF" w:rsidP="007A5267">
      <w:pPr>
        <w:pStyle w:val="NormalNumberedTextTLRI"/>
        <w:rPr>
          <w:lang w:val="en-AU"/>
        </w:rPr>
      </w:pPr>
      <w:r w:rsidRPr="002F0E6F">
        <w:rPr>
          <w:lang w:val="en-AU"/>
        </w:rPr>
        <w:t xml:space="preserve">The majority </w:t>
      </w:r>
      <w:r w:rsidR="00703CDE" w:rsidRPr="002F0E6F">
        <w:rPr>
          <w:lang w:val="en-AU"/>
        </w:rPr>
        <w:t>of respondents to SALRI’s preceding Background Paper</w:t>
      </w:r>
      <w:r w:rsidR="00703CDE" w:rsidRPr="007A5267">
        <w:rPr>
          <w:rStyle w:val="FootnoteReference"/>
          <w:lang w:val="en-AU" w:eastAsia="ja-JP"/>
        </w:rPr>
        <w:footnoteReference w:id="94"/>
      </w:r>
      <w:r w:rsidRPr="002F0E6F">
        <w:rPr>
          <w:lang w:val="en-AU"/>
        </w:rPr>
        <w:t xml:space="preserve"> expressed opposition to </w:t>
      </w:r>
      <w:r w:rsidR="0051710A" w:rsidRPr="007A5267">
        <w:t>the</w:t>
      </w:r>
      <w:r w:rsidR="0051710A" w:rsidRPr="002F0E6F">
        <w:rPr>
          <w:lang w:val="en-AU"/>
        </w:rPr>
        <w:t xml:space="preserve"> </w:t>
      </w:r>
      <w:r w:rsidRPr="002F0E6F">
        <w:rPr>
          <w:lang w:val="en-AU"/>
        </w:rPr>
        <w:t xml:space="preserve">introduction of notional estate </w:t>
      </w:r>
      <w:r w:rsidR="0051710A" w:rsidRPr="002F0E6F">
        <w:rPr>
          <w:lang w:val="en-AU"/>
        </w:rPr>
        <w:t>legislation</w:t>
      </w:r>
      <w:r w:rsidR="00703CDE" w:rsidRPr="002F0E6F">
        <w:rPr>
          <w:lang w:val="en-AU"/>
        </w:rPr>
        <w:t xml:space="preserve">. Reasons given included </w:t>
      </w:r>
      <w:r w:rsidRPr="002F0E6F">
        <w:rPr>
          <w:lang w:val="en-AU"/>
        </w:rPr>
        <w:t xml:space="preserve">that </w:t>
      </w:r>
      <w:r w:rsidR="00703CDE" w:rsidRPr="002F0E6F">
        <w:rPr>
          <w:lang w:val="en-AU"/>
        </w:rPr>
        <w:t>notional estate</w:t>
      </w:r>
      <w:r w:rsidRPr="002F0E6F">
        <w:rPr>
          <w:lang w:val="en-AU"/>
        </w:rPr>
        <w:t xml:space="preserve"> laws intrude upon testamentary freedom and that there may be a host of valid reasons for </w:t>
      </w:r>
      <w:r w:rsidR="00703CDE" w:rsidRPr="002F0E6F">
        <w:rPr>
          <w:lang w:val="en-AU"/>
        </w:rPr>
        <w:t>a</w:t>
      </w:r>
      <w:r w:rsidRPr="002F0E6F">
        <w:rPr>
          <w:lang w:val="en-AU"/>
        </w:rPr>
        <w:t xml:space="preserve"> testator entering into arrangements during his or her lifetime other than seeking to defeat a future family provision claim.</w:t>
      </w:r>
    </w:p>
    <w:p w14:paraId="7176BE03" w14:textId="650CE4B4" w:rsidR="00343BFF" w:rsidRPr="002F0E6F" w:rsidRDefault="00F451B8" w:rsidP="007A5267">
      <w:pPr>
        <w:pStyle w:val="NormalNumberedTextTLRI"/>
        <w:rPr>
          <w:lang w:val="en-AU"/>
        </w:rPr>
      </w:pPr>
      <w:r w:rsidRPr="002F0E6F">
        <w:rPr>
          <w:lang w:val="en-AU"/>
        </w:rPr>
        <w:t>SALRI</w:t>
      </w:r>
      <w:r w:rsidR="00343BFF" w:rsidRPr="002F0E6F">
        <w:rPr>
          <w:lang w:val="en-AU"/>
        </w:rPr>
        <w:t xml:space="preserve"> sought </w:t>
      </w:r>
      <w:r w:rsidR="00CC23FF">
        <w:rPr>
          <w:lang w:val="en-AU"/>
        </w:rPr>
        <w:t>feedback</w:t>
      </w:r>
      <w:r w:rsidR="00CC23FF" w:rsidRPr="002F0E6F">
        <w:rPr>
          <w:lang w:val="en-AU"/>
        </w:rPr>
        <w:t xml:space="preserve"> </w:t>
      </w:r>
      <w:r w:rsidR="00343BFF" w:rsidRPr="002F0E6F">
        <w:rPr>
          <w:lang w:val="en-AU"/>
        </w:rPr>
        <w:t>a</w:t>
      </w:r>
      <w:r w:rsidR="00914F81" w:rsidRPr="002F0E6F">
        <w:rPr>
          <w:lang w:val="en-AU"/>
        </w:rPr>
        <w:t xml:space="preserve">bout </w:t>
      </w:r>
      <w:r w:rsidR="00343BFF" w:rsidRPr="002F0E6F">
        <w:rPr>
          <w:lang w:val="en-AU"/>
        </w:rPr>
        <w:t xml:space="preserve">the </w:t>
      </w:r>
      <w:r w:rsidR="00343BFF" w:rsidRPr="007A5267">
        <w:t>operation</w:t>
      </w:r>
      <w:r w:rsidR="00343BFF" w:rsidRPr="002F0E6F">
        <w:rPr>
          <w:lang w:val="en-AU"/>
        </w:rPr>
        <w:t xml:space="preserve"> of superannuation and trusts, but there was little support for notional estate provisions in </w:t>
      </w:r>
      <w:r w:rsidR="00CC23FF">
        <w:rPr>
          <w:lang w:val="en-AU"/>
        </w:rPr>
        <w:t>these areas</w:t>
      </w:r>
      <w:r w:rsidR="00343BFF" w:rsidRPr="002F0E6F">
        <w:rPr>
          <w:lang w:val="en-AU"/>
        </w:rPr>
        <w:t xml:space="preserve">. </w:t>
      </w:r>
      <w:r w:rsidR="00914F81" w:rsidRPr="002F0E6F">
        <w:rPr>
          <w:lang w:val="en-AU"/>
        </w:rPr>
        <w:t>T</w:t>
      </w:r>
      <w:r w:rsidR="00343BFF" w:rsidRPr="002F0E6F">
        <w:rPr>
          <w:lang w:val="en-AU"/>
        </w:rPr>
        <w:t>here was some support</w:t>
      </w:r>
      <w:r w:rsidR="00914F81" w:rsidRPr="002F0E6F">
        <w:rPr>
          <w:lang w:val="en-AU"/>
        </w:rPr>
        <w:t>, however,</w:t>
      </w:r>
      <w:r w:rsidR="00343BFF" w:rsidRPr="002F0E6F">
        <w:rPr>
          <w:lang w:val="en-AU"/>
        </w:rPr>
        <w:t xml:space="preserve"> for using notional estate provisions to equalise benefit</w:t>
      </w:r>
      <w:r w:rsidR="0051710A" w:rsidRPr="002F0E6F">
        <w:rPr>
          <w:lang w:val="en-AU"/>
        </w:rPr>
        <w:t>s</w:t>
      </w:r>
      <w:r w:rsidR="00343BFF" w:rsidRPr="002F0E6F">
        <w:rPr>
          <w:lang w:val="en-AU"/>
        </w:rPr>
        <w:t xml:space="preserve"> given where beneficiaries received </w:t>
      </w:r>
      <w:r w:rsidR="002E1AC8" w:rsidRPr="002F0E6F">
        <w:rPr>
          <w:lang w:val="en-AU"/>
        </w:rPr>
        <w:t>pre-death</w:t>
      </w:r>
      <w:r w:rsidR="00343BFF" w:rsidRPr="002F0E6F">
        <w:rPr>
          <w:lang w:val="en-AU"/>
        </w:rPr>
        <w:t xml:space="preserve"> gifts.</w:t>
      </w:r>
      <w:r w:rsidR="00343BFF" w:rsidRPr="007A5267">
        <w:rPr>
          <w:rStyle w:val="FootnoteReference"/>
          <w:lang w:val="en-AU" w:eastAsia="ja-JP"/>
        </w:rPr>
        <w:footnoteReference w:id="95"/>
      </w:r>
      <w:r w:rsidR="00343BFF" w:rsidRPr="002F0E6F">
        <w:rPr>
          <w:lang w:val="en-AU"/>
        </w:rPr>
        <w:t xml:space="preserve"> In other words, if assets have been given to beneficiaries prior to death, that benefit should be available for clawback for the purposes of family </w:t>
      </w:r>
      <w:r w:rsidR="0051710A" w:rsidRPr="002F0E6F">
        <w:rPr>
          <w:lang w:val="en-AU"/>
        </w:rPr>
        <w:t>provision claims.</w:t>
      </w:r>
    </w:p>
    <w:p w14:paraId="73645A32" w14:textId="279C461C" w:rsidR="00343BFF" w:rsidRPr="002F0E6F" w:rsidRDefault="00F451B8" w:rsidP="007A5267">
      <w:pPr>
        <w:pStyle w:val="NormalNumberedTextTLRI"/>
        <w:rPr>
          <w:lang w:val="en-AU"/>
        </w:rPr>
      </w:pPr>
      <w:r w:rsidRPr="007A5267">
        <w:t>SALRI’s</w:t>
      </w:r>
      <w:r w:rsidR="00343BFF" w:rsidRPr="002F0E6F">
        <w:rPr>
          <w:lang w:val="en-AU"/>
        </w:rPr>
        <w:t xml:space="preserve"> conclusion was as follows:</w:t>
      </w:r>
    </w:p>
    <w:p w14:paraId="6BE51996" w14:textId="0ABB0E94" w:rsidR="00343BFF" w:rsidRPr="002F0E6F" w:rsidRDefault="00343BFF" w:rsidP="00C47D98">
      <w:pPr>
        <w:pStyle w:val="QuoteTLRI"/>
      </w:pPr>
      <w:r w:rsidRPr="002F0E6F">
        <w:t xml:space="preserve">SALRI is not persuaded of the case for introducing NSW style notional estate and clawback laws in </w:t>
      </w:r>
      <w:r w:rsidRPr="007A5267">
        <w:t>South</w:t>
      </w:r>
      <w:r w:rsidRPr="002F0E6F">
        <w:t xml:space="preserve"> Australia. The relevant laws are complicated. SALRI finds the reasoning of the VLRC convincing. It also accepts the views presented in consultation that NSW style notional estate or clawback laws are very problematic in terms of both policy and practice and would especially undermine the concept of testamentary freedom. SALRI notes that when a strong theme of both its consultation and wider research is the importance of enhancing testamentary freedom and reducing a court’s ability to intervene, it would be inconsistent to introduce NSW style notional estate or clawback laws in South Australia.</w:t>
      </w:r>
      <w:r w:rsidRPr="007A5267">
        <w:rPr>
          <w:rStyle w:val="FootnoteReference"/>
        </w:rPr>
        <w:footnoteReference w:id="96"/>
      </w:r>
    </w:p>
    <w:p w14:paraId="6D3362E1" w14:textId="0139626D" w:rsidR="0051710A" w:rsidRPr="008A4D33" w:rsidRDefault="007A5267" w:rsidP="002908DC">
      <w:pPr>
        <w:pStyle w:val="NormalNumberedTextTLRI"/>
        <w:rPr>
          <w:b/>
          <w:i/>
        </w:rPr>
      </w:pPr>
      <w:r>
        <w:rPr>
          <w:lang w:val="en-AU"/>
        </w:rPr>
        <w:t>SALRI</w:t>
      </w:r>
      <w:r w:rsidRPr="002F0E6F">
        <w:rPr>
          <w:lang w:val="en-AU"/>
        </w:rPr>
        <w:t xml:space="preserve"> </w:t>
      </w:r>
      <w:r w:rsidR="00343BFF" w:rsidRPr="007A5267">
        <w:t>recommended</w:t>
      </w:r>
      <w:r w:rsidR="00343BFF" w:rsidRPr="002F0E6F">
        <w:rPr>
          <w:lang w:val="en-AU"/>
        </w:rPr>
        <w:t xml:space="preserve"> that notional estate</w:t>
      </w:r>
      <w:r w:rsidR="0051710A" w:rsidRPr="002F0E6F">
        <w:rPr>
          <w:lang w:val="en-AU"/>
        </w:rPr>
        <w:t xml:space="preserve"> </w:t>
      </w:r>
      <w:r w:rsidR="00343BFF" w:rsidRPr="002F0E6F">
        <w:rPr>
          <w:lang w:val="en-AU"/>
        </w:rPr>
        <w:t>laws not be introduced in South Australia.</w:t>
      </w:r>
      <w:r w:rsidR="00343BFF" w:rsidRPr="007A5267">
        <w:rPr>
          <w:rStyle w:val="FootnoteReference"/>
          <w:lang w:val="en-AU" w:eastAsia="ja-JP"/>
        </w:rPr>
        <w:footnoteReference w:id="97"/>
      </w:r>
      <w:r w:rsidR="00343BFF" w:rsidRPr="002F0E6F">
        <w:rPr>
          <w:lang w:val="en-AU"/>
        </w:rPr>
        <w:t xml:space="preserve"> </w:t>
      </w:r>
    </w:p>
    <w:p w14:paraId="3A040DDD" w14:textId="31B44E7A" w:rsidR="00343BFF" w:rsidRPr="002F0E6F" w:rsidRDefault="00343BFF" w:rsidP="00272AB4">
      <w:pPr>
        <w:pStyle w:val="Sub-HeadingTLRI"/>
        <w:rPr>
          <w:lang w:val="en-AU"/>
        </w:rPr>
      </w:pPr>
      <w:r w:rsidRPr="002F0E6F">
        <w:rPr>
          <w:lang w:val="en-AU"/>
        </w:rPr>
        <w:t>Western Australia: the Gregson Paper</w:t>
      </w:r>
    </w:p>
    <w:p w14:paraId="4894A98E" w14:textId="5BF7C3F0" w:rsidR="00343BFF" w:rsidRPr="002F0E6F" w:rsidRDefault="00343BFF" w:rsidP="000D7E38">
      <w:pPr>
        <w:pStyle w:val="NormalNumberedTextTLRI"/>
        <w:rPr>
          <w:lang w:val="en-AU"/>
        </w:rPr>
      </w:pPr>
      <w:r w:rsidRPr="002F0E6F">
        <w:rPr>
          <w:lang w:val="en-AU"/>
        </w:rPr>
        <w:t>In 2017, Craig Gregson</w:t>
      </w:r>
      <w:r w:rsidR="002E1AC8" w:rsidRPr="002F0E6F">
        <w:rPr>
          <w:rStyle w:val="FootnoteReference"/>
          <w:rFonts w:ascii="Garamond" w:hAnsi="Garamond"/>
          <w:sz w:val="23"/>
          <w:szCs w:val="23"/>
          <w:lang w:val="en-AU"/>
        </w:rPr>
        <w:footnoteReference w:id="98"/>
      </w:r>
      <w:r w:rsidRPr="002F0E6F">
        <w:rPr>
          <w:lang w:val="en-AU"/>
        </w:rPr>
        <w:t xml:space="preserve"> released a comprehensive paper entitled</w:t>
      </w:r>
      <w:r w:rsidR="000D7E38">
        <w:rPr>
          <w:lang w:val="en-AU"/>
        </w:rPr>
        <w:t>,</w:t>
      </w:r>
      <w:r w:rsidRPr="002F0E6F">
        <w:rPr>
          <w:lang w:val="en-AU"/>
        </w:rPr>
        <w:t xml:space="preserve"> </w:t>
      </w:r>
      <w:r w:rsidRPr="000D7E38">
        <w:rPr>
          <w:i/>
          <w:lang w:val="en-AU"/>
        </w:rPr>
        <w:t>Notional Estate Provisions: A case for Implementation in Western Australia</w:t>
      </w:r>
      <w:r w:rsidRPr="002F0E6F">
        <w:rPr>
          <w:lang w:val="en-AU"/>
        </w:rPr>
        <w:t>.</w:t>
      </w:r>
      <w:r w:rsidRPr="000D7E38">
        <w:rPr>
          <w:rStyle w:val="FootnoteReference"/>
        </w:rPr>
        <w:footnoteReference w:id="99"/>
      </w:r>
      <w:r w:rsidRPr="002F0E6F">
        <w:rPr>
          <w:lang w:val="en-AU"/>
        </w:rPr>
        <w:t xml:space="preserve"> The paper does not confine itself to </w:t>
      </w:r>
      <w:r w:rsidRPr="002F0E6F">
        <w:rPr>
          <w:lang w:val="en-AU"/>
        </w:rPr>
        <w:lastRenderedPageBreak/>
        <w:t xml:space="preserve">the Western Australian jurisdiction, </w:t>
      </w:r>
      <w:r w:rsidR="00CC23FF">
        <w:rPr>
          <w:lang w:val="en-AU"/>
        </w:rPr>
        <w:t>but considers</w:t>
      </w:r>
      <w:r w:rsidR="00CC23FF" w:rsidRPr="002F0E6F">
        <w:rPr>
          <w:lang w:val="en-AU"/>
        </w:rPr>
        <w:t xml:space="preserve"> </w:t>
      </w:r>
      <w:r w:rsidRPr="002F0E6F">
        <w:rPr>
          <w:lang w:val="en-AU"/>
        </w:rPr>
        <w:t xml:space="preserve">the matter generally across all jurisdictions. It argues strongly for the implementation of </w:t>
      </w:r>
      <w:r w:rsidR="00BF035C" w:rsidRPr="002F0E6F">
        <w:rPr>
          <w:lang w:val="en-AU"/>
        </w:rPr>
        <w:t>n</w:t>
      </w:r>
      <w:r w:rsidRPr="002F0E6F">
        <w:rPr>
          <w:lang w:val="en-AU"/>
        </w:rPr>
        <w:t xml:space="preserve">otional </w:t>
      </w:r>
      <w:r w:rsidR="00BF035C" w:rsidRPr="002F0E6F">
        <w:rPr>
          <w:lang w:val="en-AU"/>
        </w:rPr>
        <w:t>e</w:t>
      </w:r>
      <w:r w:rsidRPr="002F0E6F">
        <w:rPr>
          <w:lang w:val="en-AU"/>
        </w:rPr>
        <w:t>state provisions.</w:t>
      </w:r>
    </w:p>
    <w:p w14:paraId="4B87D18E" w14:textId="4599DED8" w:rsidR="00343BFF" w:rsidRPr="002F0E6F" w:rsidRDefault="004903BC" w:rsidP="00FF3EB2">
      <w:pPr>
        <w:pStyle w:val="NormalNumberedTextTLRI"/>
        <w:rPr>
          <w:lang w:val="en-AU"/>
        </w:rPr>
      </w:pPr>
      <w:r w:rsidRPr="002F0E6F">
        <w:rPr>
          <w:lang w:val="en-AU"/>
        </w:rPr>
        <w:t>Gregson</w:t>
      </w:r>
      <w:r w:rsidR="00343BFF" w:rsidRPr="002F0E6F">
        <w:rPr>
          <w:lang w:val="en-AU"/>
        </w:rPr>
        <w:t xml:space="preserve"> </w:t>
      </w:r>
      <w:r w:rsidR="0051710A" w:rsidRPr="002F0E6F">
        <w:rPr>
          <w:lang w:val="en-AU"/>
        </w:rPr>
        <w:t>observes that</w:t>
      </w:r>
      <w:r w:rsidR="00343BFF" w:rsidRPr="002F0E6F">
        <w:rPr>
          <w:lang w:val="en-AU"/>
        </w:rPr>
        <w:t xml:space="preserve"> </w:t>
      </w:r>
      <w:r w:rsidR="00FF3EB2">
        <w:rPr>
          <w:lang w:val="en-AU"/>
        </w:rPr>
        <w:t>‘</w:t>
      </w:r>
      <w:r w:rsidR="00343BFF" w:rsidRPr="002F0E6F">
        <w:rPr>
          <w:lang w:val="en-AU"/>
        </w:rPr>
        <w:t>there are a large number of examples of capricious and unreasonable distributions that have come before the courts over time</w:t>
      </w:r>
      <w:r>
        <w:rPr>
          <w:lang w:val="en-AU"/>
        </w:rPr>
        <w:t>’</w:t>
      </w:r>
      <w:r w:rsidR="0051710A" w:rsidRPr="002F0E6F">
        <w:rPr>
          <w:lang w:val="en-AU"/>
        </w:rPr>
        <w:t xml:space="preserve"> and that there needs to be some restraint on complete, unfettered testamentary freedom.</w:t>
      </w:r>
      <w:r w:rsidR="00343BFF" w:rsidRPr="004903BC">
        <w:rPr>
          <w:rStyle w:val="FootnoteReference"/>
          <w:lang w:val="en-AU" w:eastAsia="ja-JP"/>
        </w:rPr>
        <w:footnoteReference w:id="100"/>
      </w:r>
      <w:r w:rsidR="00A02268" w:rsidRPr="002F0E6F">
        <w:rPr>
          <w:lang w:val="en-AU"/>
        </w:rPr>
        <w:t xml:space="preserve"> </w:t>
      </w:r>
      <w:r w:rsidR="0051710A" w:rsidRPr="002F0E6F">
        <w:rPr>
          <w:lang w:val="en-AU"/>
        </w:rPr>
        <w:t>T</w:t>
      </w:r>
      <w:r w:rsidR="00343BFF" w:rsidRPr="002F0E6F">
        <w:rPr>
          <w:lang w:val="en-AU"/>
        </w:rPr>
        <w:t xml:space="preserve">he </w:t>
      </w:r>
      <w:r w:rsidR="0051710A" w:rsidRPr="002F0E6F">
        <w:rPr>
          <w:lang w:val="en-AU"/>
        </w:rPr>
        <w:t>report</w:t>
      </w:r>
      <w:r w:rsidR="00343BFF" w:rsidRPr="002F0E6F">
        <w:rPr>
          <w:lang w:val="en-AU"/>
        </w:rPr>
        <w:t xml:space="preserve"> identifies areas where the intent of </w:t>
      </w:r>
      <w:r w:rsidR="00A02268" w:rsidRPr="002F0E6F">
        <w:rPr>
          <w:lang w:val="en-AU"/>
        </w:rPr>
        <w:t>f</w:t>
      </w:r>
      <w:r w:rsidR="00343BFF" w:rsidRPr="002F0E6F">
        <w:rPr>
          <w:lang w:val="en-AU"/>
        </w:rPr>
        <w:t xml:space="preserve">amily </w:t>
      </w:r>
      <w:r w:rsidR="00A02268" w:rsidRPr="002F0E6F">
        <w:rPr>
          <w:lang w:val="en-AU"/>
        </w:rPr>
        <w:t>p</w:t>
      </w:r>
      <w:r w:rsidR="00343BFF" w:rsidRPr="002F0E6F">
        <w:rPr>
          <w:lang w:val="en-AU"/>
        </w:rPr>
        <w:t xml:space="preserve">rovision </w:t>
      </w:r>
      <w:r w:rsidR="00A02268" w:rsidRPr="002F0E6F">
        <w:rPr>
          <w:lang w:val="en-AU"/>
        </w:rPr>
        <w:t>l</w:t>
      </w:r>
      <w:r w:rsidR="00343BFF" w:rsidRPr="002F0E6F">
        <w:rPr>
          <w:lang w:val="en-AU"/>
        </w:rPr>
        <w:t>egislation has been circumvented, either wilfully or inadvertently</w:t>
      </w:r>
      <w:r w:rsidR="00A02268" w:rsidRPr="002F0E6F">
        <w:rPr>
          <w:lang w:val="en-AU"/>
        </w:rPr>
        <w:t xml:space="preserve">, </w:t>
      </w:r>
      <w:r w:rsidR="00343BFF" w:rsidRPr="002F0E6F">
        <w:rPr>
          <w:lang w:val="en-AU"/>
        </w:rPr>
        <w:t xml:space="preserve">including joint tenancies, superannuation, </w:t>
      </w:r>
      <w:r w:rsidR="0051710A" w:rsidRPr="002F0E6F">
        <w:rPr>
          <w:iCs/>
          <w:lang w:val="en-AU"/>
        </w:rPr>
        <w:t>pre-death</w:t>
      </w:r>
      <w:r w:rsidR="00343BFF" w:rsidRPr="002F0E6F">
        <w:rPr>
          <w:i/>
          <w:iCs/>
          <w:lang w:val="en-AU"/>
        </w:rPr>
        <w:t xml:space="preserve"> </w:t>
      </w:r>
      <w:r w:rsidR="00343BFF" w:rsidRPr="002F0E6F">
        <w:rPr>
          <w:lang w:val="en-AU"/>
        </w:rPr>
        <w:t>transactions, trusts and business succession planning.</w:t>
      </w:r>
      <w:r w:rsidR="00A02268" w:rsidRPr="002F0E6F">
        <w:rPr>
          <w:lang w:val="en-AU"/>
        </w:rPr>
        <w:t xml:space="preserve"> Gregson observes how</w:t>
      </w:r>
      <w:r w:rsidR="00343BFF" w:rsidRPr="002F0E6F">
        <w:rPr>
          <w:lang w:val="en-AU"/>
        </w:rPr>
        <w:t xml:space="preserve"> other jurisdictions deal with avoidance, including the Family Court, </w:t>
      </w:r>
      <w:r w:rsidR="00A02268" w:rsidRPr="002F0E6F">
        <w:rPr>
          <w:lang w:val="en-AU"/>
        </w:rPr>
        <w:t>b</w:t>
      </w:r>
      <w:r w:rsidR="00343BFF" w:rsidRPr="002F0E6F">
        <w:rPr>
          <w:lang w:val="en-AU"/>
        </w:rPr>
        <w:t xml:space="preserve">ankruptcy </w:t>
      </w:r>
      <w:r w:rsidR="00A02268" w:rsidRPr="002F0E6F">
        <w:rPr>
          <w:lang w:val="en-AU"/>
        </w:rPr>
        <w:t>law</w:t>
      </w:r>
      <w:r w:rsidR="00343BFF" w:rsidRPr="002F0E6F">
        <w:rPr>
          <w:lang w:val="en-AU"/>
        </w:rPr>
        <w:t xml:space="preserve"> and under </w:t>
      </w:r>
      <w:r w:rsidR="00A02268" w:rsidRPr="002F0E6F">
        <w:rPr>
          <w:lang w:val="en-AU"/>
        </w:rPr>
        <w:t>s</w:t>
      </w:r>
      <w:r w:rsidR="00343BFF" w:rsidRPr="002F0E6F">
        <w:rPr>
          <w:lang w:val="en-AU"/>
        </w:rPr>
        <w:t xml:space="preserve">ocial </w:t>
      </w:r>
      <w:r w:rsidR="00A02268" w:rsidRPr="002F0E6F">
        <w:rPr>
          <w:lang w:val="en-AU"/>
        </w:rPr>
        <w:t>s</w:t>
      </w:r>
      <w:r w:rsidR="00343BFF" w:rsidRPr="002F0E6F">
        <w:rPr>
          <w:lang w:val="en-AU"/>
        </w:rPr>
        <w:t xml:space="preserve">ecurity </w:t>
      </w:r>
      <w:r w:rsidR="00A02268" w:rsidRPr="002F0E6F">
        <w:rPr>
          <w:lang w:val="en-AU"/>
        </w:rPr>
        <w:t>l</w:t>
      </w:r>
      <w:r w:rsidR="00343BFF" w:rsidRPr="002F0E6F">
        <w:rPr>
          <w:lang w:val="en-AU"/>
        </w:rPr>
        <w:t>aw.</w:t>
      </w:r>
      <w:r w:rsidR="00343BFF" w:rsidRPr="004903BC">
        <w:rPr>
          <w:rStyle w:val="FootnoteReference"/>
          <w:lang w:val="en-AU" w:eastAsia="ja-JP"/>
        </w:rPr>
        <w:footnoteReference w:id="101"/>
      </w:r>
    </w:p>
    <w:p w14:paraId="439C5BCC" w14:textId="34521273" w:rsidR="00343BFF" w:rsidRPr="002F0E6F" w:rsidRDefault="00343BFF" w:rsidP="001F08A0">
      <w:pPr>
        <w:pStyle w:val="NormalNumberedTextTLRI"/>
        <w:rPr>
          <w:lang w:val="en-AU"/>
        </w:rPr>
      </w:pPr>
      <w:r w:rsidRPr="002F0E6F">
        <w:rPr>
          <w:lang w:val="en-AU"/>
        </w:rPr>
        <w:t xml:space="preserve">The </w:t>
      </w:r>
      <w:r w:rsidR="00C93D26" w:rsidRPr="002F0E6F">
        <w:rPr>
          <w:lang w:val="en-AU"/>
        </w:rPr>
        <w:t xml:space="preserve">review includes the </w:t>
      </w:r>
      <w:r w:rsidR="00C93D26" w:rsidRPr="001F08A0">
        <w:t>results</w:t>
      </w:r>
      <w:r w:rsidR="00C93D26" w:rsidRPr="002F0E6F">
        <w:rPr>
          <w:lang w:val="en-AU"/>
        </w:rPr>
        <w:t xml:space="preserve"> of</w:t>
      </w:r>
      <w:r w:rsidRPr="002F0E6F">
        <w:rPr>
          <w:lang w:val="en-AU"/>
        </w:rPr>
        <w:t xml:space="preserve"> qualitative research </w:t>
      </w:r>
      <w:r w:rsidR="00C93D26" w:rsidRPr="002F0E6F">
        <w:rPr>
          <w:lang w:val="en-AU"/>
        </w:rPr>
        <w:t xml:space="preserve">conducted </w:t>
      </w:r>
      <w:r w:rsidR="001F08A0">
        <w:rPr>
          <w:lang w:val="en-AU"/>
        </w:rPr>
        <w:t>on</w:t>
      </w:r>
      <w:r w:rsidR="001F08A0" w:rsidRPr="002F0E6F">
        <w:rPr>
          <w:lang w:val="en-AU"/>
        </w:rPr>
        <w:t xml:space="preserve"> </w:t>
      </w:r>
      <w:r w:rsidR="00C93D26" w:rsidRPr="002F0E6F">
        <w:rPr>
          <w:lang w:val="en-AU"/>
        </w:rPr>
        <w:t>the views of</w:t>
      </w:r>
      <w:r w:rsidRPr="002F0E6F">
        <w:rPr>
          <w:lang w:val="en-AU"/>
        </w:rPr>
        <w:t xml:space="preserve"> </w:t>
      </w:r>
      <w:r w:rsidR="00C93D26" w:rsidRPr="002F0E6F">
        <w:rPr>
          <w:lang w:val="en-AU"/>
        </w:rPr>
        <w:t>the</w:t>
      </w:r>
      <w:r w:rsidRPr="002F0E6F">
        <w:rPr>
          <w:lang w:val="en-AU"/>
        </w:rPr>
        <w:t xml:space="preserve"> legal profession </w:t>
      </w:r>
      <w:r w:rsidR="00C93D26" w:rsidRPr="002F0E6F">
        <w:rPr>
          <w:lang w:val="en-AU"/>
        </w:rPr>
        <w:t xml:space="preserve">in relation </w:t>
      </w:r>
      <w:r w:rsidRPr="002F0E6F">
        <w:rPr>
          <w:lang w:val="en-AU"/>
        </w:rPr>
        <w:t xml:space="preserve">to </w:t>
      </w:r>
      <w:r w:rsidR="00C93D26" w:rsidRPr="002F0E6F">
        <w:rPr>
          <w:lang w:val="en-AU"/>
        </w:rPr>
        <w:t>n</w:t>
      </w:r>
      <w:r w:rsidRPr="002F0E6F">
        <w:rPr>
          <w:lang w:val="en-AU"/>
        </w:rPr>
        <w:t xml:space="preserve">otional </w:t>
      </w:r>
      <w:r w:rsidR="00C93D26" w:rsidRPr="002F0E6F">
        <w:rPr>
          <w:lang w:val="en-AU"/>
        </w:rPr>
        <w:t>e</w:t>
      </w:r>
      <w:r w:rsidRPr="002F0E6F">
        <w:rPr>
          <w:lang w:val="en-AU"/>
        </w:rPr>
        <w:t xml:space="preserve">state </w:t>
      </w:r>
      <w:r w:rsidR="0051710A" w:rsidRPr="002F0E6F">
        <w:rPr>
          <w:lang w:val="en-AU"/>
        </w:rPr>
        <w:t>laws</w:t>
      </w:r>
      <w:r w:rsidRPr="002F0E6F">
        <w:rPr>
          <w:lang w:val="en-AU"/>
        </w:rPr>
        <w:t>.</w:t>
      </w:r>
      <w:r w:rsidR="00C93D26" w:rsidRPr="002F0E6F">
        <w:rPr>
          <w:lang w:val="en-AU"/>
        </w:rPr>
        <w:t xml:space="preserve"> </w:t>
      </w:r>
      <w:r w:rsidRPr="002F0E6F">
        <w:rPr>
          <w:lang w:val="en-AU"/>
        </w:rPr>
        <w:t xml:space="preserve">Participants were asked whether they supported or opposed </w:t>
      </w:r>
      <w:r w:rsidR="00C93D26" w:rsidRPr="002F0E6F">
        <w:rPr>
          <w:lang w:val="en-AU"/>
        </w:rPr>
        <w:t>n</w:t>
      </w:r>
      <w:r w:rsidRPr="002F0E6F">
        <w:rPr>
          <w:lang w:val="en-AU"/>
        </w:rPr>
        <w:t xml:space="preserve">otional </w:t>
      </w:r>
      <w:r w:rsidR="00C93D26" w:rsidRPr="002F0E6F">
        <w:rPr>
          <w:lang w:val="en-AU"/>
        </w:rPr>
        <w:t>e</w:t>
      </w:r>
      <w:r w:rsidRPr="002F0E6F">
        <w:rPr>
          <w:lang w:val="en-AU"/>
        </w:rPr>
        <w:t>state provisions</w:t>
      </w:r>
      <w:r w:rsidR="00CA17D5">
        <w:rPr>
          <w:lang w:val="en-AU"/>
        </w:rPr>
        <w:t xml:space="preserve"> </w:t>
      </w:r>
      <w:r w:rsidR="003E7AC8">
        <w:rPr>
          <w:lang w:val="en-AU"/>
        </w:rPr>
        <w:t>and</w:t>
      </w:r>
      <w:r w:rsidR="00CA17D5" w:rsidRPr="002F0E6F">
        <w:rPr>
          <w:lang w:val="en-AU"/>
        </w:rPr>
        <w:t xml:space="preserve"> </w:t>
      </w:r>
      <w:r w:rsidRPr="002F0E6F">
        <w:rPr>
          <w:lang w:val="en-AU"/>
        </w:rPr>
        <w:t xml:space="preserve">17.02% </w:t>
      </w:r>
      <w:r w:rsidR="00CA17D5">
        <w:rPr>
          <w:lang w:val="en-AU"/>
        </w:rPr>
        <w:t>respond</w:t>
      </w:r>
      <w:r w:rsidR="003E7AC8">
        <w:rPr>
          <w:lang w:val="en-AU"/>
        </w:rPr>
        <w:t>ed</w:t>
      </w:r>
      <w:r w:rsidR="00CA17D5">
        <w:rPr>
          <w:lang w:val="en-AU"/>
        </w:rPr>
        <w:t xml:space="preserve"> that they</w:t>
      </w:r>
      <w:r w:rsidR="00C93D26" w:rsidRPr="002F0E6F">
        <w:rPr>
          <w:lang w:val="en-AU"/>
        </w:rPr>
        <w:t xml:space="preserve"> </w:t>
      </w:r>
      <w:r w:rsidRPr="002F0E6F">
        <w:rPr>
          <w:lang w:val="en-AU"/>
        </w:rPr>
        <w:t>were neutral, 12.77% declared themselves in support</w:t>
      </w:r>
      <w:r w:rsidR="000969B1">
        <w:rPr>
          <w:lang w:val="en-AU"/>
        </w:rPr>
        <w:t xml:space="preserve"> with </w:t>
      </w:r>
      <w:r w:rsidRPr="002F0E6F">
        <w:rPr>
          <w:lang w:val="en-AU"/>
        </w:rPr>
        <w:t>another 8.51% in strong support of the provisions. On the other hand, 37.23% opposed the provisions with another 24.47% in strong opposition.</w:t>
      </w:r>
      <w:r w:rsidRPr="004903BC">
        <w:rPr>
          <w:rStyle w:val="FootnoteReference"/>
          <w:lang w:val="en-AU" w:eastAsia="ja-JP"/>
        </w:rPr>
        <w:footnoteReference w:id="102"/>
      </w:r>
      <w:r w:rsidR="00C93D26" w:rsidRPr="002F0E6F">
        <w:rPr>
          <w:lang w:val="en-AU"/>
        </w:rPr>
        <w:t xml:space="preserve"> A</w:t>
      </w:r>
      <w:r w:rsidRPr="002F0E6F">
        <w:rPr>
          <w:lang w:val="en-AU"/>
        </w:rPr>
        <w:t xml:space="preserve">rguments </w:t>
      </w:r>
      <w:r w:rsidR="0051710A" w:rsidRPr="002F0E6F">
        <w:rPr>
          <w:lang w:val="en-AU"/>
        </w:rPr>
        <w:t xml:space="preserve">put forward </w:t>
      </w:r>
      <w:r w:rsidRPr="002F0E6F">
        <w:rPr>
          <w:lang w:val="en-AU"/>
        </w:rPr>
        <w:t>against implementation of notional estate provisions includ</w:t>
      </w:r>
      <w:r w:rsidR="00C93D26" w:rsidRPr="002F0E6F">
        <w:rPr>
          <w:lang w:val="en-AU"/>
        </w:rPr>
        <w:t>ed</w:t>
      </w:r>
      <w:r w:rsidRPr="002F0E6F">
        <w:rPr>
          <w:lang w:val="en-AU"/>
        </w:rPr>
        <w:t xml:space="preserve"> the encroachment on testamentary freedom, the increase of possible ‘illegitimate claims’, the interference with property rights, increased costs and increased complexity and time in administering estates as </w:t>
      </w:r>
      <w:r w:rsidR="000969B1">
        <w:rPr>
          <w:lang w:val="en-AU"/>
        </w:rPr>
        <w:t>‘</w:t>
      </w:r>
      <w:r w:rsidRPr="002F0E6F">
        <w:rPr>
          <w:lang w:val="en-AU"/>
        </w:rPr>
        <w:t>the costs of litigation and time taken to get to mediation will increase as a result of the work in tracing pre-death transactions.</w:t>
      </w:r>
      <w:r w:rsidR="000969B1">
        <w:rPr>
          <w:lang w:val="en-AU"/>
        </w:rPr>
        <w:t>’</w:t>
      </w:r>
      <w:r w:rsidRPr="004903BC">
        <w:rPr>
          <w:rStyle w:val="FootnoteReference"/>
          <w:lang w:val="en-AU" w:eastAsia="ja-JP"/>
        </w:rPr>
        <w:footnoteReference w:id="103"/>
      </w:r>
      <w:r w:rsidRPr="002F0E6F">
        <w:rPr>
          <w:lang w:val="en-AU"/>
        </w:rPr>
        <w:t xml:space="preserve"> In addition, respondents suggested that lawyers </w:t>
      </w:r>
      <w:r w:rsidR="00B25FB7" w:rsidRPr="002F0E6F">
        <w:rPr>
          <w:lang w:val="en-AU"/>
        </w:rPr>
        <w:t>would</w:t>
      </w:r>
      <w:r w:rsidRPr="002F0E6F">
        <w:rPr>
          <w:lang w:val="en-AU"/>
        </w:rPr>
        <w:t xml:space="preserve"> simply give advice on how to get around any family provision anti-avoidance legislation (although Gregson points out that the mere existence of the provisions would make defeating the purposes of the </w:t>
      </w:r>
      <w:r w:rsidR="00C93D26" w:rsidRPr="002F0E6F">
        <w:rPr>
          <w:lang w:val="en-AU"/>
        </w:rPr>
        <w:t>legislation</w:t>
      </w:r>
      <w:r w:rsidRPr="002F0E6F">
        <w:rPr>
          <w:lang w:val="en-AU"/>
        </w:rPr>
        <w:t xml:space="preserve"> much more difficult).</w:t>
      </w:r>
      <w:r w:rsidRPr="004903BC">
        <w:rPr>
          <w:rStyle w:val="FootnoteReference"/>
          <w:lang w:val="en-AU" w:eastAsia="ja-JP"/>
        </w:rPr>
        <w:footnoteReference w:id="104"/>
      </w:r>
    </w:p>
    <w:p w14:paraId="597F3357" w14:textId="4B9A86BD" w:rsidR="00343BFF" w:rsidRPr="002F0E6F" w:rsidRDefault="00CC23FF" w:rsidP="000969B1">
      <w:pPr>
        <w:pStyle w:val="NormalNumberedTextTLRI"/>
        <w:rPr>
          <w:lang w:val="en-AU"/>
        </w:rPr>
      </w:pPr>
      <w:r>
        <w:rPr>
          <w:lang w:val="en-AU"/>
        </w:rPr>
        <w:t>Gregson</w:t>
      </w:r>
      <w:r w:rsidR="00343BFF" w:rsidRPr="002F0E6F">
        <w:rPr>
          <w:lang w:val="en-AU"/>
        </w:rPr>
        <w:t xml:space="preserve"> </w:t>
      </w:r>
      <w:r w:rsidR="00343BFF" w:rsidRPr="000969B1">
        <w:t>concludes</w:t>
      </w:r>
      <w:r w:rsidR="00343BFF" w:rsidRPr="002F0E6F">
        <w:rPr>
          <w:lang w:val="en-AU"/>
        </w:rPr>
        <w:t xml:space="preserve"> with the following comments: </w:t>
      </w:r>
    </w:p>
    <w:p w14:paraId="69A88736" w14:textId="0D459862" w:rsidR="00343BFF" w:rsidRDefault="00343BFF" w:rsidP="00C47D98">
      <w:pPr>
        <w:pStyle w:val="QuoteTLRI"/>
      </w:pPr>
      <w:r w:rsidRPr="002F0E6F">
        <w:t xml:space="preserve">In </w:t>
      </w:r>
      <w:r w:rsidRPr="000969B1">
        <w:t>the</w:t>
      </w:r>
      <w:r w:rsidRPr="002F0E6F">
        <w:t xml:space="preserve"> author’s opinion, without NEP</w:t>
      </w:r>
      <w:r w:rsidR="00B25FB7" w:rsidRPr="002F0E6F">
        <w:t xml:space="preserve"> [notional estate provisions]</w:t>
      </w:r>
      <w:r w:rsidRPr="002F0E6F">
        <w:t>, TFM legislation in today’s society is as effective as the succession law that existed in England circa 1724. It is difficult to see why NEP should not be implemented when other areas of law, such as family law, bankruptcy law, and many others, have effectively implemented anti-avoidance provisions</w:t>
      </w:r>
      <w:r w:rsidR="00C93D26" w:rsidRPr="002F0E6F">
        <w:t xml:space="preserve">… </w:t>
      </w:r>
      <w:r w:rsidRPr="002F0E6F">
        <w:t>This paper’s research suggests that the opposition stems from a historical deep-rooted objection to any reform that limits the extent of testamentary freedom. On reading the historical overview it can be seen that testators have only ever had limited rights to testation. Freedom of testation has always been somewhat restricted as a form of Kantian safety net and wealth distribution vehicle. The objection seems to be against the existence of the TFM legislation itself rather than an objection to its enforcement. Further research needs to be undertaken into the effectiveness of the NSW provisions in order to lend support to a political mandate.</w:t>
      </w:r>
      <w:r w:rsidRPr="004903BC">
        <w:rPr>
          <w:rStyle w:val="FootnoteReference"/>
        </w:rPr>
        <w:footnoteReference w:id="105"/>
      </w:r>
    </w:p>
    <w:p w14:paraId="3C8CD38F" w14:textId="77777777" w:rsidR="001A6096" w:rsidRDefault="001A6096" w:rsidP="00C47D98">
      <w:pPr>
        <w:pStyle w:val="QuoteTLRI"/>
        <w:sectPr w:rsidR="001A6096" w:rsidSect="000F2AEC">
          <w:headerReference w:type="even" r:id="rId54"/>
          <w:headerReference w:type="default" r:id="rId55"/>
          <w:headerReference w:type="first" r:id="rId56"/>
          <w:pgSz w:w="11906" w:h="16838" w:code="9"/>
          <w:pgMar w:top="1440" w:right="1440" w:bottom="1440" w:left="1440" w:header="709" w:footer="709" w:gutter="0"/>
          <w:cols w:space="708"/>
          <w:titlePg/>
          <w:docGrid w:linePitch="360"/>
        </w:sectPr>
      </w:pPr>
    </w:p>
    <w:p w14:paraId="5CF59587" w14:textId="77777777" w:rsidR="00343BFF" w:rsidRPr="002F0E6F" w:rsidRDefault="00343BFF" w:rsidP="00DB4099">
      <w:pPr>
        <w:pStyle w:val="PartNoTLRI"/>
        <w:ind w:left="0" w:firstLine="0"/>
        <w:rPr>
          <w:lang w:val="en-AU"/>
        </w:rPr>
      </w:pPr>
      <w:bookmarkStart w:id="57" w:name="_Toc2256865"/>
      <w:bookmarkEnd w:id="57"/>
    </w:p>
    <w:p w14:paraId="7468C37E" w14:textId="5E4ADC43" w:rsidR="00343BFF" w:rsidRPr="002F0E6F" w:rsidRDefault="00B25FB7" w:rsidP="00343BFF">
      <w:pPr>
        <w:pStyle w:val="PartHeadingTLRI"/>
        <w:rPr>
          <w:lang w:val="en-AU"/>
        </w:rPr>
      </w:pPr>
      <w:bookmarkStart w:id="58" w:name="_Toc2256866"/>
      <w:r w:rsidRPr="002F0E6F">
        <w:rPr>
          <w:lang w:val="en-AU"/>
        </w:rPr>
        <w:t>New South Wales</w:t>
      </w:r>
      <w:r w:rsidR="003B7AB2" w:rsidRPr="002F0E6F">
        <w:rPr>
          <w:lang w:val="en-AU"/>
        </w:rPr>
        <w:t xml:space="preserve"> Notional Estate</w:t>
      </w:r>
      <w:r w:rsidR="00343BFF" w:rsidRPr="002F0E6F">
        <w:rPr>
          <w:lang w:val="en-AU"/>
        </w:rPr>
        <w:t xml:space="preserve"> Provisions</w:t>
      </w:r>
      <w:bookmarkEnd w:id="58"/>
    </w:p>
    <w:p w14:paraId="0F6E6C67" w14:textId="6193FA41" w:rsidR="00852F10" w:rsidRPr="002F0E6F" w:rsidRDefault="00343BFF" w:rsidP="00027875">
      <w:pPr>
        <w:pStyle w:val="NumberedHeadingTLRI"/>
        <w:rPr>
          <w:i/>
          <w:iCs/>
          <w:lang w:val="en-AU"/>
        </w:rPr>
      </w:pPr>
      <w:bookmarkStart w:id="59" w:name="_Toc2256867"/>
      <w:r w:rsidRPr="002F0E6F">
        <w:rPr>
          <w:lang w:val="en-AU"/>
        </w:rPr>
        <w:t>Introduction</w:t>
      </w:r>
      <w:bookmarkEnd w:id="59"/>
    </w:p>
    <w:p w14:paraId="0906DAA8" w14:textId="6A11E07E" w:rsidR="00BD4DB9" w:rsidRPr="002F0E6F" w:rsidRDefault="00BD4DB9" w:rsidP="00F44C3E">
      <w:pPr>
        <w:pStyle w:val="NormalNumberedTextTLRI"/>
        <w:rPr>
          <w:lang w:val="en-AU"/>
        </w:rPr>
      </w:pPr>
      <w:r w:rsidRPr="002F0E6F">
        <w:rPr>
          <w:lang w:val="en-AU"/>
        </w:rPr>
        <w:t xml:space="preserve">This </w:t>
      </w:r>
      <w:r w:rsidR="00091371">
        <w:rPr>
          <w:lang w:val="en-AU"/>
        </w:rPr>
        <w:t>P</w:t>
      </w:r>
      <w:r w:rsidR="00B25FB7" w:rsidRPr="002F0E6F">
        <w:rPr>
          <w:lang w:val="en-AU"/>
        </w:rPr>
        <w:t>art</w:t>
      </w:r>
      <w:r w:rsidRPr="002F0E6F">
        <w:rPr>
          <w:lang w:val="en-AU"/>
        </w:rPr>
        <w:t xml:space="preserve"> </w:t>
      </w:r>
      <w:r w:rsidR="00B25FB7" w:rsidRPr="00F44C3E">
        <w:t>explains</w:t>
      </w:r>
      <w:r w:rsidRPr="002F0E6F">
        <w:rPr>
          <w:lang w:val="en-AU"/>
        </w:rPr>
        <w:t xml:space="preserve"> </w:t>
      </w:r>
      <w:r w:rsidR="00B25FB7" w:rsidRPr="002F0E6F">
        <w:rPr>
          <w:lang w:val="en-AU"/>
        </w:rPr>
        <w:t xml:space="preserve">the notional estate laws applying in </w:t>
      </w:r>
      <w:r w:rsidR="009B63BC" w:rsidRPr="002F0E6F">
        <w:rPr>
          <w:lang w:val="en-AU"/>
        </w:rPr>
        <w:t>New South Wales</w:t>
      </w:r>
      <w:r w:rsidR="005F2FFA" w:rsidRPr="002F0E6F">
        <w:rPr>
          <w:lang w:val="en-AU"/>
        </w:rPr>
        <w:t>.</w:t>
      </w:r>
      <w:r w:rsidR="005F2FFA" w:rsidRPr="00447663">
        <w:rPr>
          <w:rStyle w:val="FootnoteReference"/>
          <w:lang w:val="en-AU" w:eastAsia="ja-JP"/>
        </w:rPr>
        <w:footnoteReference w:id="106"/>
      </w:r>
    </w:p>
    <w:p w14:paraId="1A416A36" w14:textId="62A25795" w:rsidR="005C09DC" w:rsidRPr="002F0E6F" w:rsidRDefault="00351147" w:rsidP="00AA3326">
      <w:pPr>
        <w:pStyle w:val="NumberedHeadingTLRI"/>
        <w:rPr>
          <w:lang w:val="en-AU"/>
        </w:rPr>
      </w:pPr>
      <w:bookmarkStart w:id="60" w:name="_Toc2256868"/>
      <w:r w:rsidRPr="002F0E6F">
        <w:rPr>
          <w:lang w:val="en-AU"/>
        </w:rPr>
        <w:t>Property that may be deemed ‘notional estate’</w:t>
      </w:r>
      <w:bookmarkEnd w:id="60"/>
    </w:p>
    <w:p w14:paraId="237167C3" w14:textId="5AC14D13" w:rsidR="00351147" w:rsidRPr="002F0E6F" w:rsidRDefault="00351147" w:rsidP="00F44C3E">
      <w:pPr>
        <w:pStyle w:val="NormalNumberedTextTLRI"/>
        <w:rPr>
          <w:lang w:val="en-AU"/>
        </w:rPr>
      </w:pPr>
      <w:r w:rsidRPr="002F0E6F">
        <w:rPr>
          <w:lang w:val="en-AU"/>
        </w:rPr>
        <w:t xml:space="preserve">Certain classes of </w:t>
      </w:r>
      <w:r w:rsidRPr="00F44C3E">
        <w:t>transactions</w:t>
      </w:r>
      <w:r w:rsidRPr="002F0E6F">
        <w:rPr>
          <w:lang w:val="en-AU"/>
        </w:rPr>
        <w:t xml:space="preserve"> </w:t>
      </w:r>
      <w:r w:rsidR="003B7AB2" w:rsidRPr="002F0E6F">
        <w:rPr>
          <w:lang w:val="en-AU"/>
        </w:rPr>
        <w:t>may</w:t>
      </w:r>
      <w:r w:rsidRPr="002F0E6F">
        <w:rPr>
          <w:lang w:val="en-AU"/>
        </w:rPr>
        <w:t xml:space="preserve"> be caught by the </w:t>
      </w:r>
      <w:r w:rsidR="009B63BC" w:rsidRPr="002F0E6F">
        <w:rPr>
          <w:lang w:val="en-AU"/>
        </w:rPr>
        <w:t xml:space="preserve">New South Wales </w:t>
      </w:r>
      <w:r w:rsidRPr="002F0E6F">
        <w:rPr>
          <w:lang w:val="en-AU"/>
        </w:rPr>
        <w:t>notional estate provisions:</w:t>
      </w:r>
    </w:p>
    <w:p w14:paraId="7BDE4B25" w14:textId="4135BAA0" w:rsidR="00351147" w:rsidRPr="002F0E6F" w:rsidRDefault="005F2FFA" w:rsidP="00CF09A0">
      <w:pPr>
        <w:pStyle w:val="DotPointTLRI"/>
      </w:pPr>
      <w:r w:rsidRPr="002F0E6F">
        <w:t>p</w:t>
      </w:r>
      <w:r w:rsidR="00A836C9" w:rsidRPr="002F0E6F">
        <w:t xml:space="preserve">roperty that has been </w:t>
      </w:r>
      <w:r w:rsidR="003B7AB2" w:rsidRPr="002F0E6F">
        <w:t>distributed</w:t>
      </w:r>
      <w:r w:rsidR="00BF782A" w:rsidRPr="002F0E6F">
        <w:t xml:space="preserve"> from </w:t>
      </w:r>
      <w:r w:rsidR="003B7AB2" w:rsidRPr="002F0E6F">
        <w:t>an</w:t>
      </w:r>
      <w:r w:rsidR="00BF782A" w:rsidRPr="002F0E6F">
        <w:t xml:space="preserve"> estate;</w:t>
      </w:r>
      <w:r w:rsidR="00BF782A" w:rsidRPr="00447663">
        <w:rPr>
          <w:rStyle w:val="FootnoteReference"/>
          <w:rFonts w:eastAsia="Times"/>
          <w:szCs w:val="20"/>
          <w:lang w:val="en-AU" w:eastAsia="ja-JP"/>
        </w:rPr>
        <w:footnoteReference w:id="107"/>
      </w:r>
    </w:p>
    <w:p w14:paraId="63875B00" w14:textId="5A67A119" w:rsidR="00BF782A" w:rsidRPr="002F0E6F" w:rsidRDefault="005F2FFA" w:rsidP="00CF09A0">
      <w:pPr>
        <w:pStyle w:val="DotPointTLRI"/>
      </w:pPr>
      <w:r w:rsidRPr="002F0E6F">
        <w:t>p</w:t>
      </w:r>
      <w:r w:rsidR="00BF782A" w:rsidRPr="002F0E6F">
        <w:t>roperty that has been the subject of a ‘relevant property transaction’;</w:t>
      </w:r>
      <w:r w:rsidR="00BF782A" w:rsidRPr="00447663">
        <w:rPr>
          <w:rStyle w:val="FootnoteReference"/>
          <w:rFonts w:eastAsia="Times"/>
          <w:szCs w:val="20"/>
          <w:lang w:val="en-AU" w:eastAsia="ja-JP"/>
        </w:rPr>
        <w:footnoteReference w:id="108"/>
      </w:r>
      <w:r w:rsidR="00BF782A" w:rsidRPr="002F0E6F">
        <w:t xml:space="preserve"> and</w:t>
      </w:r>
    </w:p>
    <w:p w14:paraId="3B3B47D7" w14:textId="30AA0F39" w:rsidR="00BF782A" w:rsidRPr="002F0E6F" w:rsidRDefault="005F2FFA" w:rsidP="00CF09A0">
      <w:pPr>
        <w:pStyle w:val="DotPointTLRI"/>
      </w:pPr>
      <w:r w:rsidRPr="002F0E6F">
        <w:t>p</w:t>
      </w:r>
      <w:r w:rsidR="00BF782A" w:rsidRPr="002F0E6F">
        <w:t xml:space="preserve">roperty </w:t>
      </w:r>
      <w:r w:rsidR="003B7AB2" w:rsidRPr="002F0E6F">
        <w:t>falling within the preceding two scenarios and which has been the subject of</w:t>
      </w:r>
      <w:r w:rsidR="00BF782A" w:rsidRPr="002F0E6F">
        <w:t xml:space="preserve"> a</w:t>
      </w:r>
      <w:r w:rsidR="003B7AB2" w:rsidRPr="002F0E6F">
        <w:t xml:space="preserve"> subsequent</w:t>
      </w:r>
      <w:r w:rsidR="00BF782A" w:rsidRPr="002F0E6F">
        <w:t xml:space="preserve"> ‘relevant property transaction’.</w:t>
      </w:r>
      <w:r w:rsidR="00BF782A" w:rsidRPr="00447663">
        <w:rPr>
          <w:rStyle w:val="FootnoteReference"/>
          <w:rFonts w:eastAsia="Times"/>
          <w:szCs w:val="20"/>
          <w:lang w:val="en-AU" w:eastAsia="ja-JP"/>
        </w:rPr>
        <w:footnoteReference w:id="109"/>
      </w:r>
    </w:p>
    <w:p w14:paraId="5A9463B4" w14:textId="38760DB8" w:rsidR="002E2ECA" w:rsidRPr="002F0E6F" w:rsidRDefault="00BF782A" w:rsidP="00F44C3E">
      <w:pPr>
        <w:pStyle w:val="NormalNumberedTextTLRI"/>
        <w:numPr>
          <w:ilvl w:val="0"/>
          <w:numId w:val="0"/>
        </w:numPr>
      </w:pPr>
      <w:r w:rsidRPr="002F0E6F">
        <w:t>These are explained below.</w:t>
      </w:r>
    </w:p>
    <w:p w14:paraId="6549BE38" w14:textId="61E71AFC" w:rsidR="00233102" w:rsidRPr="002F0E6F" w:rsidRDefault="00BF782A" w:rsidP="00027875">
      <w:pPr>
        <w:pStyle w:val="Sub-HeadingTLRI"/>
        <w:rPr>
          <w:lang w:val="en-AU"/>
        </w:rPr>
      </w:pPr>
      <w:r w:rsidRPr="002F0E6F">
        <w:rPr>
          <w:lang w:val="en-AU"/>
        </w:rPr>
        <w:t>A</w:t>
      </w:r>
      <w:r w:rsidR="00AD7CF5" w:rsidRPr="002F0E6F">
        <w:rPr>
          <w:lang w:val="en-AU"/>
        </w:rPr>
        <w:t xml:space="preserve"> </w:t>
      </w:r>
      <w:r w:rsidR="00B63C0A" w:rsidRPr="002F0E6F">
        <w:rPr>
          <w:lang w:val="en-AU"/>
        </w:rPr>
        <w:t xml:space="preserve">‘relevant property </w:t>
      </w:r>
      <w:r w:rsidR="0079140A" w:rsidRPr="002F0E6F">
        <w:rPr>
          <w:lang w:val="en-AU"/>
        </w:rPr>
        <w:t>transaction</w:t>
      </w:r>
      <w:r w:rsidR="00027875" w:rsidRPr="002F0E6F">
        <w:rPr>
          <w:lang w:val="en-AU"/>
        </w:rPr>
        <w:t>’</w:t>
      </w:r>
    </w:p>
    <w:p w14:paraId="6EC10B5C" w14:textId="2AC67475" w:rsidR="00BF782A" w:rsidRPr="002F0E6F" w:rsidRDefault="00F7672C" w:rsidP="00F44C3E">
      <w:pPr>
        <w:pStyle w:val="NormalNumberedTextTLRI"/>
        <w:rPr>
          <w:lang w:val="en-AU"/>
        </w:rPr>
      </w:pPr>
      <w:r w:rsidRPr="002F0E6F">
        <w:rPr>
          <w:lang w:val="en-AU"/>
        </w:rPr>
        <w:t xml:space="preserve">The </w:t>
      </w:r>
      <w:r w:rsidR="00A92FF8" w:rsidRPr="002F0E6F">
        <w:rPr>
          <w:lang w:val="en-AU"/>
        </w:rPr>
        <w:t>c</w:t>
      </w:r>
      <w:r w:rsidRPr="002F0E6F">
        <w:rPr>
          <w:lang w:val="en-AU"/>
        </w:rPr>
        <w:t xml:space="preserve">ourt must </w:t>
      </w:r>
      <w:r w:rsidRPr="00F44C3E">
        <w:t>be</w:t>
      </w:r>
      <w:r w:rsidRPr="002F0E6F">
        <w:rPr>
          <w:lang w:val="en-AU"/>
        </w:rPr>
        <w:t xml:space="preserve"> satisfied that </w:t>
      </w:r>
      <w:r w:rsidR="005F2FFA" w:rsidRPr="002F0E6F">
        <w:rPr>
          <w:lang w:val="en-AU"/>
        </w:rPr>
        <w:t>there has been</w:t>
      </w:r>
      <w:r w:rsidRPr="002F0E6F">
        <w:rPr>
          <w:lang w:val="en-AU"/>
        </w:rPr>
        <w:t xml:space="preserve"> a ‘relevant property transaction’</w:t>
      </w:r>
      <w:r w:rsidR="00CB618C" w:rsidRPr="002F0E6F">
        <w:rPr>
          <w:lang w:val="en-AU"/>
        </w:rPr>
        <w:t>.</w:t>
      </w:r>
      <w:r w:rsidRPr="002F0E6F">
        <w:rPr>
          <w:lang w:val="en-AU"/>
        </w:rPr>
        <w:t xml:space="preserve"> </w:t>
      </w:r>
      <w:r w:rsidR="005F2FFA" w:rsidRPr="002F0E6F">
        <w:rPr>
          <w:lang w:val="en-AU"/>
        </w:rPr>
        <w:t xml:space="preserve">A </w:t>
      </w:r>
      <w:r w:rsidR="00CB618C">
        <w:rPr>
          <w:lang w:val="en-AU"/>
        </w:rPr>
        <w:t>‘</w:t>
      </w:r>
      <w:r w:rsidR="005F2FFA" w:rsidRPr="002F0E6F">
        <w:rPr>
          <w:lang w:val="en-AU"/>
        </w:rPr>
        <w:t>relevant property transaction</w:t>
      </w:r>
      <w:r w:rsidR="00CB618C">
        <w:rPr>
          <w:lang w:val="en-AU"/>
        </w:rPr>
        <w:t>’</w:t>
      </w:r>
      <w:r w:rsidR="005F2FFA" w:rsidRPr="002F0E6F">
        <w:rPr>
          <w:lang w:val="en-AU"/>
        </w:rPr>
        <w:t xml:space="preserve"> is explained as follows</w:t>
      </w:r>
      <w:r w:rsidR="00AD7CF5" w:rsidRPr="002F0E6F">
        <w:rPr>
          <w:lang w:val="en-AU"/>
        </w:rPr>
        <w:t>:</w:t>
      </w:r>
    </w:p>
    <w:p w14:paraId="07F58F66" w14:textId="32710F57" w:rsidR="00AD7CF5" w:rsidRPr="00CB618C" w:rsidRDefault="00AD7CF5" w:rsidP="00C47D98">
      <w:pPr>
        <w:pStyle w:val="QuoteTLRI"/>
      </w:pPr>
      <w:r w:rsidRPr="00CB618C">
        <w:t>A person enters into a relevant property transaction if the person does, directly or indirectly, or does not do, any act that (immediately or at some time later) results in property being:</w:t>
      </w:r>
    </w:p>
    <w:p w14:paraId="5D53CF39" w14:textId="1BCA39D9" w:rsidR="00AD7CF5" w:rsidRPr="00CB618C" w:rsidRDefault="00AD7CF5" w:rsidP="00281F03">
      <w:pPr>
        <w:pStyle w:val="QuoteTLRI"/>
        <w:ind w:left="1134" w:hanging="425"/>
      </w:pPr>
      <w:r w:rsidRPr="00CB618C">
        <w:t>(a)</w:t>
      </w:r>
      <w:r w:rsidRPr="00CB618C">
        <w:tab/>
        <w:t>held by another person (whether or not as trustee); or</w:t>
      </w:r>
    </w:p>
    <w:p w14:paraId="780B8D0B" w14:textId="599D12B6" w:rsidR="00AD7CF5" w:rsidRPr="00CB618C" w:rsidRDefault="00AD7CF5" w:rsidP="00281F03">
      <w:pPr>
        <w:pStyle w:val="QuoteTLRI"/>
        <w:ind w:left="1134" w:hanging="425"/>
      </w:pPr>
      <w:r w:rsidRPr="00CB618C">
        <w:t>(b)</w:t>
      </w:r>
      <w:r w:rsidRPr="00CB618C">
        <w:tab/>
        <w:t>subject to a trust,</w:t>
      </w:r>
    </w:p>
    <w:p w14:paraId="1DAC20BE" w14:textId="3B5F1D1F" w:rsidR="00AD7CF5" w:rsidRPr="00CB618C" w:rsidRDefault="00AD7CF5" w:rsidP="00C47D98">
      <w:pPr>
        <w:pStyle w:val="QuoteTLRI"/>
      </w:pPr>
      <w:r w:rsidRPr="00CB618C">
        <w:t xml:space="preserve">and full </w:t>
      </w:r>
      <w:r w:rsidR="002F6978" w:rsidRPr="00CB618C">
        <w:t>valuable consideration is not given to the person for doing or not doing the act.</w:t>
      </w:r>
      <w:r w:rsidR="005F2FFA" w:rsidRPr="00CB618C">
        <w:rPr>
          <w:rStyle w:val="FootnoteReference"/>
        </w:rPr>
        <w:footnoteReference w:id="110"/>
      </w:r>
    </w:p>
    <w:p w14:paraId="476E6915" w14:textId="5895A4CA" w:rsidR="00B63C0A" w:rsidRPr="002F0E6F" w:rsidRDefault="00B63C0A" w:rsidP="00CB618C">
      <w:pPr>
        <w:pStyle w:val="furhtersub-heading2"/>
        <w:keepNext/>
      </w:pPr>
      <w:r w:rsidRPr="002F0E6F">
        <w:lastRenderedPageBreak/>
        <w:t>Examples of ‘relevant property transactions’</w:t>
      </w:r>
    </w:p>
    <w:p w14:paraId="378FB12E" w14:textId="022FED03" w:rsidR="00B63C0A" w:rsidRPr="002F0E6F" w:rsidRDefault="00B63C0A" w:rsidP="002C5732">
      <w:pPr>
        <w:pStyle w:val="NormalNumberedTextTLRI"/>
        <w:rPr>
          <w:lang w:val="en-AU"/>
        </w:rPr>
      </w:pPr>
      <w:r w:rsidRPr="002F0E6F">
        <w:rPr>
          <w:lang w:val="en-AU"/>
        </w:rPr>
        <w:t xml:space="preserve">The </w:t>
      </w:r>
      <w:r w:rsidRPr="002C5732">
        <w:t>legislation</w:t>
      </w:r>
      <w:r w:rsidRPr="002F0E6F">
        <w:rPr>
          <w:lang w:val="en-AU"/>
        </w:rPr>
        <w:t xml:space="preserve"> specifies a number of examples of ‘relevant property transactions’</w:t>
      </w:r>
      <w:r w:rsidR="00233102" w:rsidRPr="002F0E6F">
        <w:rPr>
          <w:lang w:val="en-AU"/>
        </w:rPr>
        <w:t>.</w:t>
      </w:r>
      <w:r w:rsidR="008978FA" w:rsidRPr="002C5732">
        <w:rPr>
          <w:rStyle w:val="FootnoteReference"/>
          <w:lang w:val="en-AU" w:eastAsia="ja-JP"/>
        </w:rPr>
        <w:footnoteReference w:id="111"/>
      </w:r>
      <w:r w:rsidR="0025424F" w:rsidRPr="002F0E6F">
        <w:rPr>
          <w:lang w:val="en-AU"/>
        </w:rPr>
        <w:t xml:space="preserve"> </w:t>
      </w:r>
      <w:r w:rsidRPr="002F0E6F">
        <w:rPr>
          <w:lang w:val="en-AU"/>
        </w:rPr>
        <w:t>These inclu</w:t>
      </w:r>
      <w:r w:rsidR="008B227D" w:rsidRPr="002F0E6F">
        <w:rPr>
          <w:lang w:val="en-AU"/>
        </w:rPr>
        <w:t>d</w:t>
      </w:r>
      <w:r w:rsidRPr="002F0E6F">
        <w:rPr>
          <w:lang w:val="en-AU"/>
        </w:rPr>
        <w:t>e:</w:t>
      </w:r>
    </w:p>
    <w:p w14:paraId="1E8CF5C0" w14:textId="60A4556F" w:rsidR="00B63C0A" w:rsidRPr="002F0E6F" w:rsidRDefault="00E003C2" w:rsidP="00CF09A0">
      <w:pPr>
        <w:pStyle w:val="DotPointTLRI"/>
      </w:pPr>
      <w:r w:rsidRPr="002F0E6F">
        <w:t>f</w:t>
      </w:r>
      <w:r w:rsidR="00B63C0A" w:rsidRPr="002F0E6F">
        <w:t>ailure to exercise a power of appointment</w:t>
      </w:r>
      <w:r w:rsidR="00166456" w:rsidRPr="002F0E6F">
        <w:t>;</w:t>
      </w:r>
    </w:p>
    <w:p w14:paraId="20BC7788" w14:textId="2CE68319" w:rsidR="00B63C0A" w:rsidRPr="002F0E6F" w:rsidRDefault="00E003C2" w:rsidP="00CF09A0">
      <w:pPr>
        <w:pStyle w:val="DotPointTLRI"/>
      </w:pPr>
      <w:r w:rsidRPr="002F0E6F">
        <w:t>f</w:t>
      </w:r>
      <w:r w:rsidR="00B63C0A" w:rsidRPr="002F0E6F">
        <w:t xml:space="preserve">ailure to prevent </w:t>
      </w:r>
      <w:r w:rsidR="008B227D" w:rsidRPr="002F0E6F">
        <w:t>property passing by survivorship by not severing</w:t>
      </w:r>
      <w:r w:rsidR="0025424F" w:rsidRPr="002F0E6F">
        <w:t xml:space="preserve"> a</w:t>
      </w:r>
      <w:r w:rsidR="008B227D" w:rsidRPr="002F0E6F">
        <w:t xml:space="preserve"> joint tenancy</w:t>
      </w:r>
      <w:r w:rsidR="00166456" w:rsidRPr="002F0E6F">
        <w:t>;</w:t>
      </w:r>
    </w:p>
    <w:p w14:paraId="79425965" w14:textId="7387D5EA" w:rsidR="008B227D" w:rsidRPr="002F0E6F" w:rsidRDefault="00E003C2" w:rsidP="00CF09A0">
      <w:pPr>
        <w:pStyle w:val="DotPointTLRI"/>
      </w:pPr>
      <w:r w:rsidRPr="002F0E6F">
        <w:t>f</w:t>
      </w:r>
      <w:r w:rsidR="008B227D" w:rsidRPr="002F0E6F">
        <w:t>ailure to exercise a power to extinguish a trust or a property interest held by another person over property</w:t>
      </w:r>
      <w:r w:rsidR="00166456" w:rsidRPr="002F0E6F">
        <w:t>;</w:t>
      </w:r>
    </w:p>
    <w:p w14:paraId="016C725A" w14:textId="5E96858D" w:rsidR="008B227D" w:rsidRPr="002F0E6F" w:rsidRDefault="00E003C2" w:rsidP="00CF09A0">
      <w:pPr>
        <w:pStyle w:val="DotPointTLRI"/>
      </w:pPr>
      <w:r w:rsidRPr="002F0E6F">
        <w:t>f</w:t>
      </w:r>
      <w:r w:rsidR="008B227D" w:rsidRPr="002F0E6F">
        <w:t xml:space="preserve">ailure to nominate </w:t>
      </w:r>
      <w:r w:rsidR="0025424F" w:rsidRPr="002F0E6F">
        <w:t xml:space="preserve">a </w:t>
      </w:r>
      <w:r w:rsidR="008B227D" w:rsidRPr="002F0E6F">
        <w:t>beneficiary under a life assurance policy</w:t>
      </w:r>
      <w:r w:rsidR="00166456" w:rsidRPr="002F0E6F">
        <w:t>;</w:t>
      </w:r>
    </w:p>
    <w:p w14:paraId="386BA782" w14:textId="140C2810" w:rsidR="008B227D" w:rsidRPr="002F0E6F" w:rsidRDefault="00E003C2" w:rsidP="00CF09A0">
      <w:pPr>
        <w:pStyle w:val="DotPointTLRI"/>
      </w:pPr>
      <w:r w:rsidRPr="002F0E6F">
        <w:t>f</w:t>
      </w:r>
      <w:r w:rsidR="008B227D" w:rsidRPr="002F0E6F">
        <w:t>ailure to nominate a beneficiary under a superannuation fund</w:t>
      </w:r>
      <w:r w:rsidR="00166456" w:rsidRPr="002F0E6F">
        <w:t>;</w:t>
      </w:r>
      <w:r w:rsidR="0025424F" w:rsidRPr="002F0E6F">
        <w:t xml:space="preserve"> or</w:t>
      </w:r>
    </w:p>
    <w:p w14:paraId="59E88037" w14:textId="4D27C65F" w:rsidR="0025424F" w:rsidRPr="002F0E6F" w:rsidRDefault="00E003C2" w:rsidP="00CF09A0">
      <w:pPr>
        <w:pStyle w:val="DotPointTLRI"/>
      </w:pPr>
      <w:r w:rsidRPr="002F0E6F">
        <w:t>e</w:t>
      </w:r>
      <w:r w:rsidR="008B227D" w:rsidRPr="002F0E6F">
        <w:t xml:space="preserve">ntering into a contract for the disposition of property out of the deceased’s </w:t>
      </w:r>
      <w:r w:rsidR="0025424F" w:rsidRPr="002F0E6F">
        <w:t>estate</w:t>
      </w:r>
      <w:r w:rsidR="00281F03">
        <w:t>;</w:t>
      </w:r>
    </w:p>
    <w:p w14:paraId="74BBF96D" w14:textId="5531FF8C" w:rsidR="0025424F" w:rsidRPr="002F0E6F" w:rsidRDefault="0025424F" w:rsidP="002C5732">
      <w:pPr>
        <w:pStyle w:val="DotPointTLRI"/>
        <w:numPr>
          <w:ilvl w:val="0"/>
          <w:numId w:val="0"/>
        </w:numPr>
        <w:ind w:left="284"/>
      </w:pPr>
      <w:r w:rsidRPr="002F0E6F">
        <w:t>in situations where valuable consideration was not given.</w:t>
      </w:r>
    </w:p>
    <w:p w14:paraId="6FC52EC3" w14:textId="5274B181" w:rsidR="008B227D" w:rsidRPr="002F0E6F" w:rsidRDefault="00235561" w:rsidP="002C5732">
      <w:pPr>
        <w:pStyle w:val="NormalNumberedTextTLRI"/>
        <w:rPr>
          <w:lang w:val="en-AU"/>
        </w:rPr>
      </w:pPr>
      <w:r w:rsidRPr="002F0E6F">
        <w:rPr>
          <w:lang w:val="en-AU"/>
        </w:rPr>
        <w:t xml:space="preserve">It is </w:t>
      </w:r>
      <w:r w:rsidRPr="002C5732">
        <w:t>explicitly</w:t>
      </w:r>
      <w:r w:rsidRPr="002F0E6F">
        <w:rPr>
          <w:lang w:val="en-AU"/>
        </w:rPr>
        <w:t xml:space="preserve"> stated that this</w:t>
      </w:r>
      <w:r w:rsidR="008B227D" w:rsidRPr="002F0E6F">
        <w:rPr>
          <w:lang w:val="en-AU"/>
        </w:rPr>
        <w:t xml:space="preserve"> list is not</w:t>
      </w:r>
      <w:r w:rsidRPr="002F0E6F">
        <w:rPr>
          <w:lang w:val="en-AU"/>
        </w:rPr>
        <w:t xml:space="preserve"> </w:t>
      </w:r>
      <w:r w:rsidR="008B227D" w:rsidRPr="002F0E6F">
        <w:rPr>
          <w:lang w:val="en-AU"/>
        </w:rPr>
        <w:t>exhaustive</w:t>
      </w:r>
      <w:r w:rsidR="0025424F" w:rsidRPr="002F0E6F">
        <w:rPr>
          <w:lang w:val="en-AU"/>
        </w:rPr>
        <w:t>.</w:t>
      </w:r>
      <w:r w:rsidR="0010004E" w:rsidRPr="002C5732">
        <w:rPr>
          <w:rStyle w:val="FootnoteReference"/>
          <w:lang w:val="en-AU" w:eastAsia="ja-JP"/>
        </w:rPr>
        <w:footnoteReference w:id="112"/>
      </w:r>
    </w:p>
    <w:p w14:paraId="70C5378D" w14:textId="0F4695DA" w:rsidR="005B500F" w:rsidRPr="002F0E6F" w:rsidRDefault="005B500F" w:rsidP="002C5732">
      <w:pPr>
        <w:pStyle w:val="NormalNumberedTextTLRI"/>
        <w:rPr>
          <w:lang w:val="en-AU"/>
        </w:rPr>
      </w:pPr>
      <w:r w:rsidRPr="002F0E6F">
        <w:rPr>
          <w:lang w:val="en-AU"/>
        </w:rPr>
        <w:t xml:space="preserve">The key case on the meaning of ‘prescribed transaction’ (applying the former </w:t>
      </w:r>
      <w:r w:rsidRPr="002F0E6F">
        <w:rPr>
          <w:i/>
          <w:lang w:val="en-AU"/>
        </w:rPr>
        <w:t>Family Provision Act</w:t>
      </w:r>
      <w:r w:rsidRPr="002F0E6F">
        <w:rPr>
          <w:lang w:val="en-AU"/>
        </w:rPr>
        <w:t xml:space="preserve">) remains </w:t>
      </w:r>
      <w:r w:rsidRPr="002F0E6F">
        <w:rPr>
          <w:i/>
          <w:lang w:val="en-AU"/>
        </w:rPr>
        <w:t>Kavalee v Burbidge and Ors</w:t>
      </w:r>
      <w:r w:rsidRPr="002F0E6F">
        <w:rPr>
          <w:lang w:val="en-AU"/>
        </w:rPr>
        <w:t>.</w:t>
      </w:r>
      <w:r w:rsidRPr="002C5732">
        <w:rPr>
          <w:rStyle w:val="FootnoteReference"/>
          <w:lang w:val="en-AU" w:eastAsia="ja-JP"/>
        </w:rPr>
        <w:footnoteReference w:id="113"/>
      </w:r>
      <w:r w:rsidRPr="002F0E6F">
        <w:rPr>
          <w:lang w:val="en-AU"/>
        </w:rPr>
        <w:t xml:space="preserve"> In deciding whether a prescribed transaction had occurred, Mason P observed that:</w:t>
      </w:r>
    </w:p>
    <w:p w14:paraId="58F11289" w14:textId="5B59D447" w:rsidR="005B500F" w:rsidRPr="002F0E6F" w:rsidRDefault="005B500F" w:rsidP="00C47D98">
      <w:pPr>
        <w:pStyle w:val="QuoteTLRI"/>
      </w:pPr>
      <w:r w:rsidRPr="002F0E6F">
        <w:t>It is obvious that the legislature has cast the net very wide, in pursuit of its goal of providing adequate provision in favour of eligible persons. As beneficial legislation, a liberal approach to construction is called for, notwithstanding the obvious impact of a designating order upon existing property rights.</w:t>
      </w:r>
      <w:r w:rsidRPr="002C5732">
        <w:rPr>
          <w:rStyle w:val="FootnoteReference"/>
        </w:rPr>
        <w:footnoteReference w:id="114"/>
      </w:r>
    </w:p>
    <w:p w14:paraId="07890A9C" w14:textId="31F58177" w:rsidR="005B500F" w:rsidRPr="002F0E6F" w:rsidRDefault="005B500F" w:rsidP="006E41FE">
      <w:pPr>
        <w:pStyle w:val="NormalNumberedTextTLRI"/>
        <w:numPr>
          <w:ilvl w:val="0"/>
          <w:numId w:val="0"/>
        </w:numPr>
        <w:rPr>
          <w:lang w:val="en-AU"/>
        </w:rPr>
      </w:pPr>
      <w:r w:rsidRPr="002F0E6F">
        <w:rPr>
          <w:lang w:val="en-AU"/>
        </w:rPr>
        <w:t>H</w:t>
      </w:r>
      <w:r w:rsidR="00AA3326" w:rsidRPr="002F0E6F">
        <w:rPr>
          <w:lang w:val="en-AU"/>
        </w:rPr>
        <w:t xml:space="preserve">is </w:t>
      </w:r>
      <w:r w:rsidR="00AA3326" w:rsidRPr="006E41FE">
        <w:t>Honour</w:t>
      </w:r>
      <w:r w:rsidRPr="002F0E6F">
        <w:rPr>
          <w:lang w:val="en-AU"/>
        </w:rPr>
        <w:t xml:space="preserve"> went on to conclude that: </w:t>
      </w:r>
    </w:p>
    <w:p w14:paraId="3360E46B" w14:textId="03DE4659" w:rsidR="005B500F" w:rsidRPr="002F0E6F" w:rsidRDefault="005B500F" w:rsidP="00C47D98">
      <w:pPr>
        <w:pStyle w:val="QuoteTLRI"/>
      </w:pPr>
      <w:r w:rsidRPr="002F0E6F">
        <w:t>I do not see s</w:t>
      </w:r>
      <w:r w:rsidR="002E3144">
        <w:t xml:space="preserve"> </w:t>
      </w:r>
      <w:r w:rsidRPr="002F0E6F">
        <w:t>22(1)(a) as confined to acts or omissions that are the operative cause of property becoming held by the deceased</w:t>
      </w:r>
      <w:r w:rsidR="00681502">
        <w:t>’</w:t>
      </w:r>
      <w:r w:rsidRPr="002F0E6F">
        <w:t xml:space="preserve">s intended disponee. To do so would ignore the thrust of this liberal enactment which emphasises its scope with the words </w:t>
      </w:r>
      <w:r w:rsidR="00681502">
        <w:t>‘</w:t>
      </w:r>
      <w:r w:rsidRPr="002F0E6F">
        <w:t>directly or indirectly</w:t>
      </w:r>
      <w:r w:rsidR="00681502">
        <w:t>’</w:t>
      </w:r>
      <w:r w:rsidRPr="002F0E6F">
        <w:t xml:space="preserve">, </w:t>
      </w:r>
      <w:r w:rsidR="00681502">
        <w:t>‘</w:t>
      </w:r>
      <w:r w:rsidRPr="002F0E6F">
        <w:t xml:space="preserve">as </w:t>
      </w:r>
      <w:r w:rsidRPr="00507F89">
        <w:rPr>
          <w:i/>
        </w:rPr>
        <w:t>a</w:t>
      </w:r>
      <w:r w:rsidRPr="002F0E6F">
        <w:t xml:space="preserve"> result of which</w:t>
      </w:r>
      <w:r w:rsidR="00681502">
        <w:t>’</w:t>
      </w:r>
      <w:r w:rsidRPr="002F0E6F">
        <w:t xml:space="preserve"> (emphasis added) and </w:t>
      </w:r>
      <w:r w:rsidR="00681502">
        <w:t>‘</w:t>
      </w:r>
      <w:r w:rsidRPr="002F0E6F">
        <w:t>whether or not the property becomes ... so held immediately</w:t>
      </w:r>
      <w:r w:rsidR="00681502">
        <w:t>’</w:t>
      </w:r>
      <w:r w:rsidRPr="002F0E6F">
        <w:t xml:space="preserve"> ... The legislation is clearly intended to operate in a </w:t>
      </w:r>
      <w:r w:rsidRPr="002F0E6F">
        <w:lastRenderedPageBreak/>
        <w:t xml:space="preserve">context of human agents where several may have to act in concert and where there is the possibility that one may not co-operate. To paraphrase Mason J in </w:t>
      </w:r>
      <w:r w:rsidRPr="007C2736">
        <w:rPr>
          <w:i/>
        </w:rPr>
        <w:t>Fagan v Crimes Compensation Tribunal</w:t>
      </w:r>
      <w:r w:rsidRPr="002F0E6F">
        <w:t xml:space="preserve"> (at 673) </w:t>
      </w:r>
      <w:r w:rsidR="007C2736">
        <w:t>–</w:t>
      </w:r>
      <w:r w:rsidRPr="002F0E6F">
        <w:t xml:space="preserve"> </w:t>
      </w:r>
      <w:r w:rsidR="007C2736">
        <w:t>‘</w:t>
      </w:r>
      <w:r w:rsidRPr="002F0E6F">
        <w:t>the fact that other unconnected events may also have had some relationship to the occurrence is not material if the ... act was a cause, even if not the sole cause’.</w:t>
      </w:r>
      <w:r w:rsidRPr="00C048B6">
        <w:rPr>
          <w:rStyle w:val="FootnoteReference"/>
        </w:rPr>
        <w:footnoteReference w:id="115"/>
      </w:r>
    </w:p>
    <w:p w14:paraId="61CA8225" w14:textId="7CDDA992" w:rsidR="005B500F" w:rsidRPr="002F0E6F" w:rsidRDefault="005B500F" w:rsidP="00C048B6">
      <w:pPr>
        <w:pStyle w:val="NormalNumberedTextTLRI"/>
        <w:rPr>
          <w:lang w:val="en-AU"/>
        </w:rPr>
      </w:pPr>
      <w:r w:rsidRPr="002F0E6F">
        <w:rPr>
          <w:lang w:val="en-AU"/>
        </w:rPr>
        <w:t xml:space="preserve">In </w:t>
      </w:r>
      <w:r w:rsidRPr="00C048B6">
        <w:t>other</w:t>
      </w:r>
      <w:r w:rsidRPr="002F0E6F">
        <w:rPr>
          <w:lang w:val="en-AU"/>
        </w:rPr>
        <w:t xml:space="preserve"> words, despite any complicated legal relationships that may obscure the transactions made, the court should look at the practical reality of whether the deceased had taken actions (or failed to take actions) that indirectly resulted in claimants being prevented from accessing the estate. </w:t>
      </w:r>
    </w:p>
    <w:p w14:paraId="2FFF374E" w14:textId="29C1DEC4" w:rsidR="005B500F" w:rsidRPr="002F0E6F" w:rsidRDefault="005B500F" w:rsidP="00AA3326">
      <w:pPr>
        <w:pStyle w:val="Sub-HeadingTLRI"/>
        <w:rPr>
          <w:lang w:val="en-AU"/>
        </w:rPr>
      </w:pPr>
      <w:r w:rsidRPr="002F0E6F">
        <w:rPr>
          <w:lang w:val="en-AU"/>
        </w:rPr>
        <w:t>Where valuable consideration given</w:t>
      </w:r>
    </w:p>
    <w:p w14:paraId="3EF67C6F" w14:textId="7D338A39" w:rsidR="007650C8" w:rsidRPr="002F0E6F" w:rsidRDefault="005B500F" w:rsidP="00C048B6">
      <w:pPr>
        <w:pStyle w:val="NormalNumberedTextTLRI"/>
        <w:rPr>
          <w:lang w:val="en-AU"/>
        </w:rPr>
      </w:pPr>
      <w:r w:rsidRPr="002F0E6F">
        <w:rPr>
          <w:lang w:val="en-AU"/>
        </w:rPr>
        <w:t xml:space="preserve">Providing full valuable consideration for a particular act or omission </w:t>
      </w:r>
      <w:r w:rsidR="00385B32" w:rsidRPr="002F0E6F">
        <w:rPr>
          <w:lang w:val="en-AU"/>
        </w:rPr>
        <w:t>excludes that</w:t>
      </w:r>
      <w:r w:rsidRPr="002F0E6F">
        <w:rPr>
          <w:lang w:val="en-AU"/>
        </w:rPr>
        <w:t xml:space="preserve"> transaction </w:t>
      </w:r>
      <w:r w:rsidR="00385B32" w:rsidRPr="002F0E6F">
        <w:rPr>
          <w:lang w:val="en-AU"/>
        </w:rPr>
        <w:t>from being</w:t>
      </w:r>
      <w:r w:rsidRPr="002F0E6F">
        <w:rPr>
          <w:lang w:val="en-AU"/>
        </w:rPr>
        <w:t xml:space="preserve"> a </w:t>
      </w:r>
      <w:r w:rsidR="007650C8" w:rsidRPr="002F0E6F">
        <w:rPr>
          <w:lang w:val="en-AU"/>
        </w:rPr>
        <w:t>‘</w:t>
      </w:r>
      <w:r w:rsidR="004476DE" w:rsidRPr="002F0E6F">
        <w:rPr>
          <w:lang w:val="en-AU"/>
        </w:rPr>
        <w:t>relevant property transaction</w:t>
      </w:r>
      <w:r w:rsidR="007650C8" w:rsidRPr="002F0E6F">
        <w:rPr>
          <w:lang w:val="en-AU"/>
        </w:rPr>
        <w:t>’</w:t>
      </w:r>
      <w:r w:rsidR="00C048B6" w:rsidRPr="002F0E6F">
        <w:rPr>
          <w:lang w:val="en-AU"/>
        </w:rPr>
        <w:t>.</w:t>
      </w:r>
      <w:r w:rsidR="007650C8" w:rsidRPr="002F0E6F">
        <w:rPr>
          <w:lang w:val="en-AU"/>
        </w:rPr>
        <w:t xml:space="preserve"> ‘Full valuable consideration’</w:t>
      </w:r>
      <w:r w:rsidR="00C048B6" w:rsidRPr="002F0E6F">
        <w:rPr>
          <w:lang w:val="en-AU"/>
        </w:rPr>
        <w:t>,</w:t>
      </w:r>
      <w:r w:rsidR="007650C8" w:rsidRPr="002F0E6F">
        <w:rPr>
          <w:lang w:val="en-AU"/>
        </w:rPr>
        <w:t xml:space="preserve"> broadly speaking, means that the person receiving an item has paid full value for the item. For example, if a property is worth $300,000 and the person receiving the property pays $300,000 for it, this is full valuable consideration. </w:t>
      </w:r>
    </w:p>
    <w:p w14:paraId="496CC0AF" w14:textId="6F8A1441" w:rsidR="005B500F" w:rsidRPr="002F0E6F" w:rsidRDefault="00CC23FF" w:rsidP="00C048B6">
      <w:pPr>
        <w:pStyle w:val="NormalNumberedTextTLRI"/>
        <w:rPr>
          <w:lang w:val="en-AU"/>
        </w:rPr>
      </w:pPr>
      <w:r>
        <w:rPr>
          <w:lang w:val="en-AU"/>
        </w:rPr>
        <w:t>I</w:t>
      </w:r>
      <w:r w:rsidR="005B500F" w:rsidRPr="002F0E6F">
        <w:rPr>
          <w:lang w:val="en-AU"/>
        </w:rPr>
        <w:t xml:space="preserve">n </w:t>
      </w:r>
      <w:r w:rsidR="005B500F" w:rsidRPr="002F0E6F">
        <w:rPr>
          <w:i/>
          <w:lang w:val="en-AU"/>
        </w:rPr>
        <w:t>Wade v Harding</w:t>
      </w:r>
      <w:r w:rsidR="005B500F" w:rsidRPr="002F0E6F">
        <w:rPr>
          <w:lang w:val="en-AU"/>
        </w:rPr>
        <w:t>,</w:t>
      </w:r>
      <w:r w:rsidR="005B500F" w:rsidRPr="00C048B6">
        <w:rPr>
          <w:rStyle w:val="FootnoteReference"/>
          <w:lang w:val="en-AU" w:eastAsia="ja-JP"/>
        </w:rPr>
        <w:footnoteReference w:id="116"/>
      </w:r>
      <w:r w:rsidR="005B500F" w:rsidRPr="002F0E6F">
        <w:rPr>
          <w:lang w:val="en-AU"/>
        </w:rPr>
        <w:t xml:space="preserve"> </w:t>
      </w:r>
      <w:r w:rsidR="007650C8" w:rsidRPr="002F0E6F">
        <w:rPr>
          <w:lang w:val="en-AU"/>
        </w:rPr>
        <w:t xml:space="preserve">it was </w:t>
      </w:r>
      <w:r w:rsidR="00AA3326" w:rsidRPr="002F0E6F">
        <w:rPr>
          <w:lang w:val="en-AU"/>
        </w:rPr>
        <w:t>not</w:t>
      </w:r>
      <w:r w:rsidR="007650C8" w:rsidRPr="002F0E6F">
        <w:rPr>
          <w:lang w:val="en-AU"/>
        </w:rPr>
        <w:t>ed</w:t>
      </w:r>
      <w:r w:rsidR="005B500F" w:rsidRPr="002F0E6F">
        <w:rPr>
          <w:lang w:val="en-AU"/>
        </w:rPr>
        <w:t xml:space="preserve"> that owner</w:t>
      </w:r>
      <w:r w:rsidR="007650C8" w:rsidRPr="002F0E6F">
        <w:rPr>
          <w:lang w:val="en-AU"/>
        </w:rPr>
        <w:t>s</w:t>
      </w:r>
      <w:r w:rsidR="005B500F" w:rsidRPr="002F0E6F">
        <w:rPr>
          <w:lang w:val="en-AU"/>
        </w:rPr>
        <w:t xml:space="preserve"> of </w:t>
      </w:r>
      <w:r w:rsidR="00AA3326" w:rsidRPr="002F0E6F">
        <w:rPr>
          <w:lang w:val="en-AU"/>
        </w:rPr>
        <w:t>assets</w:t>
      </w:r>
      <w:r w:rsidR="005B500F" w:rsidRPr="002F0E6F">
        <w:rPr>
          <w:lang w:val="en-AU"/>
        </w:rPr>
        <w:t xml:space="preserve"> should still be able to deal </w:t>
      </w:r>
      <w:r w:rsidR="005B500F" w:rsidRPr="00C048B6">
        <w:t>with</w:t>
      </w:r>
      <w:r w:rsidR="005B500F" w:rsidRPr="002F0E6F">
        <w:rPr>
          <w:lang w:val="en-AU"/>
        </w:rPr>
        <w:t xml:space="preserve"> assets while alive and </w:t>
      </w:r>
      <w:r w:rsidR="00AA3326" w:rsidRPr="002F0E6F">
        <w:rPr>
          <w:lang w:val="en-AU"/>
        </w:rPr>
        <w:t xml:space="preserve">that </w:t>
      </w:r>
      <w:r w:rsidR="005B500F" w:rsidRPr="002F0E6F">
        <w:rPr>
          <w:lang w:val="en-AU"/>
        </w:rPr>
        <w:t>the consideration received will form part of the estate.</w:t>
      </w:r>
      <w:r w:rsidR="007650C8" w:rsidRPr="002F0E6F">
        <w:rPr>
          <w:lang w:val="en-AU"/>
        </w:rPr>
        <w:t xml:space="preserve"> </w:t>
      </w:r>
      <w:r w:rsidR="00850EF0" w:rsidRPr="002F0E6F">
        <w:rPr>
          <w:lang w:val="en-AU"/>
        </w:rPr>
        <w:t>Th</w:t>
      </w:r>
      <w:r w:rsidR="00850EF0">
        <w:rPr>
          <w:lang w:val="en-AU"/>
        </w:rPr>
        <w:t>is</w:t>
      </w:r>
      <w:r w:rsidR="00850EF0" w:rsidRPr="002F0E6F">
        <w:rPr>
          <w:lang w:val="en-AU"/>
        </w:rPr>
        <w:t xml:space="preserve"> </w:t>
      </w:r>
      <w:r w:rsidR="00AA3326" w:rsidRPr="002F0E6F">
        <w:rPr>
          <w:lang w:val="en-AU"/>
        </w:rPr>
        <w:t>decision</w:t>
      </w:r>
      <w:r w:rsidR="005B500F" w:rsidRPr="002F0E6F">
        <w:rPr>
          <w:lang w:val="en-AU"/>
        </w:rPr>
        <w:t xml:space="preserve"> followed a long line of common law authority on the nature of valuable consideration and agreed that the notion of ‘fair equivalent’ should be applied. This was later approved in the case of </w:t>
      </w:r>
      <w:r w:rsidR="005B500F" w:rsidRPr="002F0E6F">
        <w:rPr>
          <w:i/>
          <w:iCs/>
          <w:lang w:val="en-AU"/>
        </w:rPr>
        <w:t>Vaughan v Duncan; Vogt v Duncan</w:t>
      </w:r>
      <w:r w:rsidR="00AA3326" w:rsidRPr="00C048B6">
        <w:rPr>
          <w:rStyle w:val="FootnoteReference"/>
          <w:lang w:val="en-AU" w:eastAsia="ja-JP"/>
        </w:rPr>
        <w:footnoteReference w:id="117"/>
      </w:r>
      <w:r w:rsidR="005B500F" w:rsidRPr="002F0E6F">
        <w:rPr>
          <w:lang w:val="en-AU"/>
        </w:rPr>
        <w:t xml:space="preserve"> where the deceased agreed with her son to give him half her shares in the family company in order to entice him into the company. In that discussion she said that her intention was to allow her remaining shares to acquire no value after her death, which would cause the remaining shares in the company to rise in value. This part of the offer, apparently, convinced the son to join the business.</w:t>
      </w:r>
    </w:p>
    <w:p w14:paraId="74D0605A" w14:textId="1810AA7D" w:rsidR="005B500F" w:rsidRPr="002F0E6F" w:rsidRDefault="005B500F" w:rsidP="002908DC">
      <w:pPr>
        <w:pStyle w:val="NormalNumberedTextTLRI"/>
        <w:rPr>
          <w:lang w:val="en-AU"/>
        </w:rPr>
      </w:pPr>
      <w:r w:rsidRPr="002F0E6F">
        <w:rPr>
          <w:lang w:val="en-AU"/>
        </w:rPr>
        <w:t xml:space="preserve">The view of the court was </w:t>
      </w:r>
      <w:r w:rsidRPr="002908DC">
        <w:t>that</w:t>
      </w:r>
      <w:r w:rsidRPr="002F0E6F">
        <w:rPr>
          <w:lang w:val="en-AU"/>
        </w:rPr>
        <w:t xml:space="preserve"> the agreement that the deceased allow her shares to become valueless amounted to a transaction for valuable consideration, one that created an equitable interest.</w:t>
      </w:r>
      <w:r w:rsidR="00AA3326" w:rsidRPr="002F0E6F">
        <w:rPr>
          <w:lang w:val="en-AU"/>
        </w:rPr>
        <w:t xml:space="preserve"> </w:t>
      </w:r>
      <w:r w:rsidRPr="002F0E6F">
        <w:rPr>
          <w:lang w:val="en-AU"/>
        </w:rPr>
        <w:t xml:space="preserve">This particular transaction is significant because it was not completed before the deceased </w:t>
      </w:r>
      <w:r w:rsidR="00AA3326" w:rsidRPr="002F0E6F">
        <w:rPr>
          <w:lang w:val="en-AU"/>
        </w:rPr>
        <w:t>died</w:t>
      </w:r>
      <w:r w:rsidRPr="002F0E6F">
        <w:rPr>
          <w:lang w:val="en-AU"/>
        </w:rPr>
        <w:t xml:space="preserve">, indicating that the </w:t>
      </w:r>
      <w:r w:rsidR="009B63BC" w:rsidRPr="002F0E6F">
        <w:rPr>
          <w:lang w:val="en-AU"/>
        </w:rPr>
        <w:t xml:space="preserve">New South Wales </w:t>
      </w:r>
      <w:r w:rsidRPr="002F0E6F">
        <w:rPr>
          <w:lang w:val="en-AU"/>
        </w:rPr>
        <w:t>courts will take a liberal view of what constitutes valuable consideration even in respect of incomplete transactions.</w:t>
      </w:r>
    </w:p>
    <w:p w14:paraId="15F5840A" w14:textId="111797D0" w:rsidR="008B227D" w:rsidRPr="002F0E6F" w:rsidRDefault="008B227D" w:rsidP="00AA3326">
      <w:pPr>
        <w:pStyle w:val="NumberedHeadingTLRI"/>
        <w:rPr>
          <w:lang w:val="en-AU"/>
        </w:rPr>
      </w:pPr>
      <w:bookmarkStart w:id="61" w:name="_Toc2256869"/>
      <w:r w:rsidRPr="002F0E6F">
        <w:rPr>
          <w:lang w:val="en-AU"/>
        </w:rPr>
        <w:t>When notional estate order</w:t>
      </w:r>
      <w:r w:rsidR="00D145E2" w:rsidRPr="002F0E6F">
        <w:rPr>
          <w:lang w:val="en-AU"/>
        </w:rPr>
        <w:t>s</w:t>
      </w:r>
      <w:r w:rsidRPr="002F0E6F">
        <w:rPr>
          <w:lang w:val="en-AU"/>
        </w:rPr>
        <w:t xml:space="preserve"> may be made</w:t>
      </w:r>
      <w:bookmarkEnd w:id="61"/>
    </w:p>
    <w:p w14:paraId="0AE3E23B" w14:textId="53354AED" w:rsidR="008B227D" w:rsidRPr="002F0E6F" w:rsidRDefault="00235561" w:rsidP="002908DC">
      <w:pPr>
        <w:pStyle w:val="NormalNumberedTextTLRI"/>
        <w:rPr>
          <w:lang w:val="en-AU"/>
        </w:rPr>
      </w:pPr>
      <w:r w:rsidRPr="002F0E6F">
        <w:rPr>
          <w:lang w:val="en-AU"/>
        </w:rPr>
        <w:t>T</w:t>
      </w:r>
      <w:r w:rsidR="00CF3BD1" w:rsidRPr="002F0E6F">
        <w:rPr>
          <w:lang w:val="en-AU"/>
        </w:rPr>
        <w:t xml:space="preserve">he NSW </w:t>
      </w:r>
      <w:r w:rsidR="006D3DC4" w:rsidRPr="006D3DC4">
        <w:rPr>
          <w:i/>
          <w:lang w:val="en-AU"/>
        </w:rPr>
        <w:t xml:space="preserve">Succession </w:t>
      </w:r>
      <w:r w:rsidR="00CF3BD1" w:rsidRPr="006D3DC4">
        <w:rPr>
          <w:i/>
          <w:lang w:val="en-AU"/>
        </w:rPr>
        <w:t>Act</w:t>
      </w:r>
      <w:r w:rsidR="00CF3BD1" w:rsidRPr="002F0E6F">
        <w:rPr>
          <w:lang w:val="en-AU"/>
        </w:rPr>
        <w:t xml:space="preserve"> </w:t>
      </w:r>
      <w:r w:rsidR="008B227D" w:rsidRPr="002F0E6F">
        <w:rPr>
          <w:lang w:val="en-AU"/>
        </w:rPr>
        <w:t xml:space="preserve">provides that the </w:t>
      </w:r>
      <w:r w:rsidR="0084221F" w:rsidRPr="002F0E6F">
        <w:rPr>
          <w:lang w:val="en-AU"/>
        </w:rPr>
        <w:t>c</w:t>
      </w:r>
      <w:r w:rsidR="008B227D" w:rsidRPr="002F0E6F">
        <w:rPr>
          <w:lang w:val="en-AU"/>
        </w:rPr>
        <w:t xml:space="preserve">ourt may make </w:t>
      </w:r>
      <w:r w:rsidR="00CF3BD1" w:rsidRPr="002F0E6F">
        <w:rPr>
          <w:lang w:val="en-AU"/>
        </w:rPr>
        <w:t>an</w:t>
      </w:r>
      <w:r w:rsidR="008B227D" w:rsidRPr="002F0E6F">
        <w:rPr>
          <w:lang w:val="en-AU"/>
        </w:rPr>
        <w:t xml:space="preserve"> order designating property as notional estate if it is satisfied that a person entered into a relevant property transaction before his or her death </w:t>
      </w:r>
      <w:r w:rsidR="00A42C75" w:rsidRPr="002F0E6F">
        <w:rPr>
          <w:lang w:val="en-AU"/>
        </w:rPr>
        <w:t xml:space="preserve">and </w:t>
      </w:r>
      <w:r w:rsidR="008B227D" w:rsidRPr="002F0E6F">
        <w:rPr>
          <w:lang w:val="en-AU"/>
        </w:rPr>
        <w:t>that the transaction</w:t>
      </w:r>
      <w:r w:rsidR="00B77C85" w:rsidRPr="002F0E6F">
        <w:rPr>
          <w:lang w:val="en-AU"/>
        </w:rPr>
        <w:t>:</w:t>
      </w:r>
    </w:p>
    <w:p w14:paraId="0CDAF51B" w14:textId="7A3B39E4" w:rsidR="008B227D" w:rsidRPr="002F0E6F" w:rsidRDefault="006E5C1F" w:rsidP="006D3DC4">
      <w:pPr>
        <w:pStyle w:val="DotPointTLRI"/>
        <w:spacing w:line="276" w:lineRule="auto"/>
      </w:pPr>
      <w:r w:rsidRPr="002F0E6F">
        <w:lastRenderedPageBreak/>
        <w:t>i</w:t>
      </w:r>
      <w:r w:rsidR="008B227D" w:rsidRPr="002F0E6F">
        <w:t xml:space="preserve">f taking effect </w:t>
      </w:r>
      <w:r w:rsidR="008B227D" w:rsidRPr="002F0E6F">
        <w:rPr>
          <w:b/>
        </w:rPr>
        <w:t>within three years</w:t>
      </w:r>
      <w:r w:rsidR="008B227D" w:rsidRPr="002F0E6F">
        <w:t xml:space="preserve"> before the deceased’s death </w:t>
      </w:r>
      <w:r w:rsidR="002908DC">
        <w:t>—</w:t>
      </w:r>
      <w:r w:rsidR="0056691C" w:rsidRPr="002F0E6F">
        <w:t xml:space="preserve"> </w:t>
      </w:r>
      <w:r w:rsidR="008B227D" w:rsidRPr="002F0E6F">
        <w:t>was entered into with the intention of wholly or partly defeating or limiting a claim for family provision</w:t>
      </w:r>
      <w:r w:rsidR="00166456" w:rsidRPr="002F0E6F">
        <w:t>;</w:t>
      </w:r>
    </w:p>
    <w:p w14:paraId="46F9BEDC" w14:textId="61380B8C" w:rsidR="008B227D" w:rsidRPr="002F0E6F" w:rsidRDefault="006E5C1F" w:rsidP="006D3DC4">
      <w:pPr>
        <w:pStyle w:val="DotPointTLRI"/>
        <w:spacing w:line="276" w:lineRule="auto"/>
      </w:pPr>
      <w:r w:rsidRPr="002F0E6F">
        <w:t>i</w:t>
      </w:r>
      <w:r w:rsidR="00AF429A" w:rsidRPr="002F0E6F">
        <w:t>f</w:t>
      </w:r>
      <w:r w:rsidR="008B227D" w:rsidRPr="002F0E6F">
        <w:t xml:space="preserve"> </w:t>
      </w:r>
      <w:r w:rsidR="00EC7BCA" w:rsidRPr="002F0E6F">
        <w:t xml:space="preserve">taking </w:t>
      </w:r>
      <w:r w:rsidR="008B227D" w:rsidRPr="002F0E6F">
        <w:t xml:space="preserve">effect </w:t>
      </w:r>
      <w:r w:rsidR="008B227D" w:rsidRPr="002F0E6F">
        <w:rPr>
          <w:b/>
        </w:rPr>
        <w:t>within one year</w:t>
      </w:r>
      <w:r w:rsidR="008B227D" w:rsidRPr="002F0E6F">
        <w:t xml:space="preserve"> before the deceased’s death </w:t>
      </w:r>
      <w:r w:rsidR="002908DC">
        <w:t>—</w:t>
      </w:r>
      <w:r w:rsidR="0056691C" w:rsidRPr="002F0E6F">
        <w:t xml:space="preserve"> </w:t>
      </w:r>
      <w:r w:rsidR="008B227D" w:rsidRPr="002F0E6F">
        <w:t>was entered into at a time when the deceased had a moral obligation to make adequate provision that was substantially greater than any moral obligation to enter into th</w:t>
      </w:r>
      <w:r w:rsidR="00571318" w:rsidRPr="002F0E6F">
        <w:t>e</w:t>
      </w:r>
      <w:r w:rsidR="008B227D" w:rsidRPr="002F0E6F">
        <w:t xml:space="preserve"> transaction. </w:t>
      </w:r>
      <w:r w:rsidR="00571318" w:rsidRPr="002F0E6F">
        <w:t>I</w:t>
      </w:r>
      <w:r w:rsidR="008B227D" w:rsidRPr="002F0E6F">
        <w:t>n these circumstances the deceased’s intention is irrelevant</w:t>
      </w:r>
      <w:r w:rsidR="00166456" w:rsidRPr="002F0E6F">
        <w:t>;</w:t>
      </w:r>
      <w:r w:rsidR="00571318" w:rsidRPr="002F0E6F">
        <w:t xml:space="preserve"> or</w:t>
      </w:r>
    </w:p>
    <w:p w14:paraId="761BE4A5" w14:textId="4334413E" w:rsidR="008B227D" w:rsidRPr="002F0E6F" w:rsidRDefault="006E5C1F" w:rsidP="00CF09A0">
      <w:pPr>
        <w:pStyle w:val="DotPointTLRI"/>
      </w:pPr>
      <w:r w:rsidRPr="002F0E6F">
        <w:t>t</w:t>
      </w:r>
      <w:r w:rsidR="008B227D" w:rsidRPr="002F0E6F">
        <w:t xml:space="preserve">ook effect or </w:t>
      </w:r>
      <w:r w:rsidR="00EC7BCA" w:rsidRPr="002F0E6F">
        <w:t xml:space="preserve">is </w:t>
      </w:r>
      <w:r w:rsidR="008B227D" w:rsidRPr="002F0E6F">
        <w:t>to take effect on or after the deceased’s death</w:t>
      </w:r>
      <w:r w:rsidR="00166456" w:rsidRPr="002F0E6F">
        <w:t>.</w:t>
      </w:r>
      <w:r w:rsidR="00235561" w:rsidRPr="002908DC">
        <w:rPr>
          <w:rStyle w:val="FootnoteReference"/>
          <w:rFonts w:eastAsia="Times"/>
          <w:szCs w:val="20"/>
          <w:lang w:val="en-AU" w:eastAsia="ja-JP"/>
        </w:rPr>
        <w:footnoteReference w:id="118"/>
      </w:r>
    </w:p>
    <w:p w14:paraId="6D90827B" w14:textId="2DF1B8EA" w:rsidR="00CF3BD1" w:rsidRPr="002F0E6F" w:rsidRDefault="00CF3BD1" w:rsidP="002908DC">
      <w:pPr>
        <w:pStyle w:val="NormalNumberedTextTLRI"/>
        <w:rPr>
          <w:lang w:val="en-AU"/>
        </w:rPr>
      </w:pPr>
      <w:r w:rsidRPr="002F0E6F">
        <w:rPr>
          <w:lang w:val="en-AU"/>
        </w:rPr>
        <w:t xml:space="preserve">Section 79 explains when a relevant property transaction takes effect. It provides that </w:t>
      </w:r>
      <w:r w:rsidR="002908DC">
        <w:rPr>
          <w:lang w:val="en-AU"/>
        </w:rPr>
        <w:t>‘</w:t>
      </w:r>
      <w:r w:rsidRPr="002F0E6F">
        <w:rPr>
          <w:lang w:val="en-AU"/>
        </w:rPr>
        <w:t xml:space="preserve">a relevant property transaction is taken to have effect when the property concerned becomes held by another person or </w:t>
      </w:r>
      <w:r w:rsidRPr="002908DC">
        <w:t>subject</w:t>
      </w:r>
      <w:r w:rsidRPr="002F0E6F">
        <w:rPr>
          <w:lang w:val="en-AU"/>
        </w:rPr>
        <w:t xml:space="preserve"> to a trust or as otherwise provided by this section.</w:t>
      </w:r>
      <w:r w:rsidR="002908DC">
        <w:rPr>
          <w:lang w:val="en-AU"/>
        </w:rPr>
        <w:t>’</w:t>
      </w:r>
      <w:r w:rsidRPr="002F0E6F">
        <w:rPr>
          <w:lang w:val="en-AU"/>
        </w:rPr>
        <w:t xml:space="preserve"> The section goes on to confirm that a relevant property transaction can take effect upon the deceased’s death. </w:t>
      </w:r>
    </w:p>
    <w:p w14:paraId="0FDFF56D" w14:textId="013D6DEC" w:rsidR="00EB766F" w:rsidRPr="002F0E6F" w:rsidRDefault="008B227D" w:rsidP="002908DC">
      <w:pPr>
        <w:pStyle w:val="NormalNumberedTextTLRI"/>
        <w:rPr>
          <w:lang w:val="en-AU"/>
        </w:rPr>
      </w:pPr>
      <w:r w:rsidRPr="002F0E6F">
        <w:rPr>
          <w:lang w:val="en-AU"/>
        </w:rPr>
        <w:t xml:space="preserve">When </w:t>
      </w:r>
      <w:r w:rsidR="00195871" w:rsidRPr="002F0E6F">
        <w:rPr>
          <w:lang w:val="en-AU"/>
        </w:rPr>
        <w:t xml:space="preserve">a transferee </w:t>
      </w:r>
      <w:r w:rsidR="0084221F" w:rsidRPr="002F0E6F">
        <w:rPr>
          <w:lang w:val="en-AU"/>
        </w:rPr>
        <w:t>enters</w:t>
      </w:r>
      <w:r w:rsidR="00195871" w:rsidRPr="002F0E6F">
        <w:rPr>
          <w:lang w:val="en-AU"/>
        </w:rPr>
        <w:t xml:space="preserve"> into</w:t>
      </w:r>
      <w:r w:rsidRPr="002F0E6F">
        <w:rPr>
          <w:lang w:val="en-AU"/>
        </w:rPr>
        <w:t xml:space="preserve"> </w:t>
      </w:r>
      <w:r w:rsidR="00CD2C53" w:rsidRPr="002F0E6F">
        <w:rPr>
          <w:lang w:val="en-AU"/>
        </w:rPr>
        <w:t xml:space="preserve">a </w:t>
      </w:r>
      <w:r w:rsidRPr="002F0E6F">
        <w:rPr>
          <w:lang w:val="en-AU"/>
        </w:rPr>
        <w:t>subsequent relevant property transaction</w:t>
      </w:r>
      <w:r w:rsidR="00577B27" w:rsidRPr="002F0E6F">
        <w:rPr>
          <w:lang w:val="en-AU"/>
        </w:rPr>
        <w:t>,</w:t>
      </w:r>
      <w:r w:rsidRPr="002F0E6F">
        <w:rPr>
          <w:lang w:val="en-AU"/>
        </w:rPr>
        <w:t xml:space="preserve"> the </w:t>
      </w:r>
      <w:r w:rsidR="0084221F" w:rsidRPr="002F0E6F">
        <w:rPr>
          <w:lang w:val="en-AU"/>
        </w:rPr>
        <w:t>c</w:t>
      </w:r>
      <w:r w:rsidRPr="002F0E6F">
        <w:rPr>
          <w:lang w:val="en-AU"/>
        </w:rPr>
        <w:t xml:space="preserve">ourt </w:t>
      </w:r>
      <w:r w:rsidR="00195871" w:rsidRPr="002F0E6F">
        <w:rPr>
          <w:lang w:val="en-AU"/>
        </w:rPr>
        <w:t xml:space="preserve">continues to hold </w:t>
      </w:r>
      <w:r w:rsidRPr="002908DC">
        <w:t>power</w:t>
      </w:r>
      <w:r w:rsidRPr="002F0E6F">
        <w:rPr>
          <w:lang w:val="en-AU"/>
        </w:rPr>
        <w:t xml:space="preserve"> to make an order</w:t>
      </w:r>
      <w:r w:rsidR="00A36BB3" w:rsidRPr="002F0E6F">
        <w:rPr>
          <w:lang w:val="en-AU"/>
        </w:rPr>
        <w:t xml:space="preserve"> designating property as notional estate</w:t>
      </w:r>
      <w:r w:rsidRPr="002F0E6F">
        <w:rPr>
          <w:lang w:val="en-AU"/>
        </w:rPr>
        <w:t xml:space="preserve"> </w:t>
      </w:r>
      <w:r w:rsidR="00A36BB3" w:rsidRPr="002F0E6F">
        <w:rPr>
          <w:lang w:val="en-AU"/>
        </w:rPr>
        <w:t>if it finds there are special</w:t>
      </w:r>
      <w:r w:rsidR="00EC7BCA" w:rsidRPr="002F0E6F">
        <w:rPr>
          <w:lang w:val="en-AU"/>
        </w:rPr>
        <w:t xml:space="preserve"> </w:t>
      </w:r>
      <w:r w:rsidRPr="002F0E6F">
        <w:rPr>
          <w:lang w:val="en-AU"/>
        </w:rPr>
        <w:t>circumstances</w:t>
      </w:r>
      <w:r w:rsidR="00577B27" w:rsidRPr="002F0E6F">
        <w:rPr>
          <w:lang w:val="en-AU"/>
        </w:rPr>
        <w:t>.</w:t>
      </w:r>
      <w:r w:rsidR="00195871" w:rsidRPr="002908DC">
        <w:rPr>
          <w:rStyle w:val="FootnoteReference"/>
          <w:lang w:val="en-AU" w:eastAsia="ja-JP"/>
        </w:rPr>
        <w:footnoteReference w:id="119"/>
      </w:r>
      <w:r w:rsidR="00577B27" w:rsidRPr="002F0E6F">
        <w:rPr>
          <w:lang w:val="en-AU"/>
        </w:rPr>
        <w:t xml:space="preserve"> </w:t>
      </w:r>
      <w:r w:rsidR="00195871" w:rsidRPr="002F0E6F">
        <w:rPr>
          <w:lang w:val="en-AU"/>
        </w:rPr>
        <w:t xml:space="preserve">The </w:t>
      </w:r>
      <w:r w:rsidR="0084221F" w:rsidRPr="002F0E6F">
        <w:rPr>
          <w:lang w:val="en-AU"/>
        </w:rPr>
        <w:t xml:space="preserve">NSW </w:t>
      </w:r>
      <w:r w:rsidR="001B6D05" w:rsidRPr="001B6D05">
        <w:rPr>
          <w:i/>
          <w:lang w:val="en-AU"/>
        </w:rPr>
        <w:t xml:space="preserve">Succession </w:t>
      </w:r>
      <w:r w:rsidR="00195871" w:rsidRPr="001B6D05">
        <w:rPr>
          <w:i/>
          <w:lang w:val="en-AU"/>
        </w:rPr>
        <w:t>Act</w:t>
      </w:r>
      <w:r w:rsidR="00195871" w:rsidRPr="002F0E6F">
        <w:rPr>
          <w:lang w:val="en-AU"/>
        </w:rPr>
        <w:t xml:space="preserve"> also deals with circumstances where a transferee </w:t>
      </w:r>
      <w:r w:rsidR="002D4ED1" w:rsidRPr="002F0E6F">
        <w:rPr>
          <w:lang w:val="en-AU"/>
        </w:rPr>
        <w:t>dies</w:t>
      </w:r>
      <w:r w:rsidR="00195871" w:rsidRPr="002F0E6F">
        <w:rPr>
          <w:lang w:val="en-AU"/>
        </w:rPr>
        <w:t xml:space="preserve"> and the property becomes held by either their legal personal representative or is distributed from their estate.</w:t>
      </w:r>
      <w:r w:rsidR="00195871" w:rsidRPr="002908DC">
        <w:rPr>
          <w:rStyle w:val="FootnoteReference"/>
          <w:lang w:val="en-AU" w:eastAsia="ja-JP"/>
        </w:rPr>
        <w:footnoteReference w:id="120"/>
      </w:r>
      <w:r w:rsidR="00195871" w:rsidRPr="002F0E6F">
        <w:rPr>
          <w:lang w:val="en-AU"/>
        </w:rPr>
        <w:t xml:space="preserve"> </w:t>
      </w:r>
    </w:p>
    <w:p w14:paraId="0EC8FA06" w14:textId="1EFEC122" w:rsidR="002B7DC9" w:rsidRPr="002F0E6F" w:rsidRDefault="002B7DC9" w:rsidP="007314E7">
      <w:pPr>
        <w:pStyle w:val="Sub-HeadingTLRI"/>
        <w:spacing w:before="240" w:after="120"/>
        <w:rPr>
          <w:lang w:val="en-AU"/>
        </w:rPr>
      </w:pPr>
      <w:r w:rsidRPr="002F0E6F">
        <w:rPr>
          <w:lang w:val="en-AU"/>
        </w:rPr>
        <w:t>Test that is applied</w:t>
      </w:r>
    </w:p>
    <w:p w14:paraId="0268EFE6" w14:textId="6D75A037" w:rsidR="003D2A2A" w:rsidRPr="002F0E6F" w:rsidRDefault="003D2A2A" w:rsidP="002D4ED1">
      <w:pPr>
        <w:pStyle w:val="NormalNumberedTextTLRI"/>
        <w:rPr>
          <w:lang w:val="en-AU"/>
        </w:rPr>
      </w:pPr>
      <w:r w:rsidRPr="002F0E6F">
        <w:rPr>
          <w:lang w:val="en-AU"/>
        </w:rPr>
        <w:t xml:space="preserve">Broadly, for the </w:t>
      </w:r>
      <w:r w:rsidR="0084221F" w:rsidRPr="002F0E6F">
        <w:rPr>
          <w:lang w:val="en-AU"/>
        </w:rPr>
        <w:t>c</w:t>
      </w:r>
      <w:r w:rsidRPr="002F0E6F">
        <w:rPr>
          <w:lang w:val="en-AU"/>
        </w:rPr>
        <w:t>ourt to make an order designating property as notional estate, it must find that there has been disadvantage, or lack of benefit, to the estate, or a person entitled to apply for a family provision order.</w:t>
      </w:r>
    </w:p>
    <w:p w14:paraId="7F4D72EA" w14:textId="2CAEA2F2" w:rsidR="002B7DC9" w:rsidRPr="002F0E6F" w:rsidRDefault="002B7DC9" w:rsidP="002D4ED1">
      <w:pPr>
        <w:pStyle w:val="NormalNumberedTextTLRI"/>
        <w:rPr>
          <w:lang w:val="en-AU"/>
        </w:rPr>
      </w:pPr>
      <w:r w:rsidRPr="002F0E6F">
        <w:rPr>
          <w:lang w:val="en-AU"/>
        </w:rPr>
        <w:tab/>
      </w:r>
      <w:r w:rsidR="003D2A2A" w:rsidRPr="002D4ED1">
        <w:t>Specifically</w:t>
      </w:r>
      <w:r w:rsidR="003D2A2A" w:rsidRPr="002F0E6F">
        <w:rPr>
          <w:lang w:val="en-AU"/>
        </w:rPr>
        <w:t>, t</w:t>
      </w:r>
      <w:r w:rsidRPr="002F0E6F">
        <w:rPr>
          <w:lang w:val="en-AU"/>
        </w:rPr>
        <w:t xml:space="preserve">he </w:t>
      </w:r>
      <w:r w:rsidR="0084221F" w:rsidRPr="002F0E6F">
        <w:rPr>
          <w:lang w:val="en-AU"/>
        </w:rPr>
        <w:t>c</w:t>
      </w:r>
      <w:r w:rsidRPr="002F0E6F">
        <w:rPr>
          <w:lang w:val="en-AU"/>
        </w:rPr>
        <w:t>ourt must be satisfied that a relevant property transaction</w:t>
      </w:r>
      <w:r w:rsidR="00E20DF4">
        <w:rPr>
          <w:lang w:val="en-AU"/>
        </w:rPr>
        <w:t>:</w:t>
      </w:r>
    </w:p>
    <w:p w14:paraId="593E8360" w14:textId="77777777" w:rsidR="002B7DC9" w:rsidRPr="002F0E6F" w:rsidRDefault="002B7DC9" w:rsidP="00CF09A0">
      <w:pPr>
        <w:pStyle w:val="DotPointTLRI"/>
        <w:rPr>
          <w:lang w:eastAsia="en-AU"/>
        </w:rPr>
      </w:pPr>
      <w:r w:rsidRPr="002F0E6F">
        <w:rPr>
          <w:lang w:eastAsia="en-AU"/>
        </w:rPr>
        <w:t>directly or indirectly disadvantaged:</w:t>
      </w:r>
    </w:p>
    <w:p w14:paraId="4E42EA31" w14:textId="77777777" w:rsidR="002B7DC9" w:rsidRPr="002F0E6F" w:rsidRDefault="002B7DC9" w:rsidP="002D4ED1">
      <w:pPr>
        <w:pStyle w:val="DotPointTLRI"/>
        <w:numPr>
          <w:ilvl w:val="1"/>
          <w:numId w:val="4"/>
        </w:numPr>
        <w:ind w:left="1134" w:hanging="425"/>
        <w:rPr>
          <w:lang w:eastAsia="en-AU"/>
        </w:rPr>
      </w:pPr>
      <w:r w:rsidRPr="002F0E6F">
        <w:rPr>
          <w:lang w:eastAsia="en-AU"/>
        </w:rPr>
        <w:t>the estate of the principal party to the transaction;</w:t>
      </w:r>
      <w:r w:rsidRPr="002908DC">
        <w:rPr>
          <w:rStyle w:val="FootnoteReference"/>
          <w:rFonts w:eastAsia="Times"/>
          <w:szCs w:val="20"/>
          <w:lang w:val="en-AU" w:eastAsia="ja-JP"/>
        </w:rPr>
        <w:footnoteReference w:id="121"/>
      </w:r>
      <w:r w:rsidRPr="002F0E6F">
        <w:rPr>
          <w:lang w:eastAsia="en-AU"/>
        </w:rPr>
        <w:t xml:space="preserve"> or </w:t>
      </w:r>
    </w:p>
    <w:p w14:paraId="781F3E5A" w14:textId="77777777" w:rsidR="002B7DC9" w:rsidRPr="002F0E6F" w:rsidRDefault="002B7DC9" w:rsidP="002D4ED1">
      <w:pPr>
        <w:pStyle w:val="DotPointTLRI"/>
        <w:numPr>
          <w:ilvl w:val="1"/>
          <w:numId w:val="4"/>
        </w:numPr>
        <w:ind w:left="1134" w:hanging="425"/>
        <w:rPr>
          <w:lang w:eastAsia="en-AU"/>
        </w:rPr>
      </w:pPr>
      <w:r w:rsidRPr="002F0E6F">
        <w:rPr>
          <w:lang w:eastAsia="en-AU"/>
        </w:rPr>
        <w:t>a person entitled to apply for a family provision order; or</w:t>
      </w:r>
    </w:p>
    <w:p w14:paraId="61A7F9C1" w14:textId="77777777" w:rsidR="002B7DC9" w:rsidRPr="002F0E6F" w:rsidRDefault="002B7DC9" w:rsidP="002D4ED1">
      <w:pPr>
        <w:pStyle w:val="DotPointTLRI"/>
        <w:numPr>
          <w:ilvl w:val="1"/>
          <w:numId w:val="4"/>
        </w:numPr>
        <w:ind w:left="1134" w:hanging="425"/>
        <w:rPr>
          <w:lang w:eastAsia="en-AU"/>
        </w:rPr>
      </w:pPr>
      <w:r w:rsidRPr="002F0E6F">
        <w:rPr>
          <w:lang w:eastAsia="en-AU"/>
        </w:rPr>
        <w:t>if the deceased person was not the principal party to the transaction, the deceased person; or</w:t>
      </w:r>
    </w:p>
    <w:p w14:paraId="04255315" w14:textId="09F23742" w:rsidR="002B7DC9" w:rsidRPr="002F0E6F" w:rsidRDefault="002B7DC9" w:rsidP="00CF09A0">
      <w:pPr>
        <w:pStyle w:val="DotPointTLRI"/>
        <w:rPr>
          <w:lang w:eastAsia="en-AU"/>
        </w:rPr>
      </w:pPr>
      <w:r w:rsidRPr="002F0E6F">
        <w:rPr>
          <w:lang w:eastAsia="en-AU"/>
        </w:rPr>
        <w:t xml:space="preserve">involved the exercise </w:t>
      </w:r>
      <w:r w:rsidR="003D2A2A" w:rsidRPr="002F0E6F">
        <w:rPr>
          <w:lang w:eastAsia="en-AU"/>
        </w:rPr>
        <w:t>(</w:t>
      </w:r>
      <w:r w:rsidR="00BA605F" w:rsidRPr="002F0E6F">
        <w:rPr>
          <w:lang w:eastAsia="en-AU"/>
        </w:rPr>
        <w:t xml:space="preserve">or failure to exercise) </w:t>
      </w:r>
      <w:r w:rsidRPr="002F0E6F">
        <w:rPr>
          <w:lang w:eastAsia="en-AU"/>
        </w:rPr>
        <w:t>by the principal party to the transaction or any other person</w:t>
      </w:r>
      <w:r w:rsidRPr="002908DC">
        <w:rPr>
          <w:rStyle w:val="FootnoteReference"/>
          <w:rFonts w:eastAsia="Times"/>
          <w:szCs w:val="20"/>
          <w:lang w:val="en-AU" w:eastAsia="ja-JP"/>
        </w:rPr>
        <w:footnoteReference w:id="122"/>
      </w:r>
      <w:r w:rsidRPr="002F0E6F">
        <w:rPr>
          <w:lang w:eastAsia="en-AU"/>
        </w:rPr>
        <w:t xml:space="preserve"> of a right, a discretion or a power of appointment, disposition, nomination or direction that, if not exercised</w:t>
      </w:r>
      <w:r w:rsidR="003D2A2A" w:rsidRPr="002F0E6F">
        <w:rPr>
          <w:lang w:eastAsia="en-AU"/>
        </w:rPr>
        <w:t xml:space="preserve"> (or exercised)</w:t>
      </w:r>
      <w:r w:rsidRPr="002F0E6F">
        <w:rPr>
          <w:lang w:eastAsia="en-AU"/>
        </w:rPr>
        <w:t>, could have resulted in a benefit to:</w:t>
      </w:r>
    </w:p>
    <w:p w14:paraId="26F10AAC" w14:textId="77777777" w:rsidR="002B7DC9" w:rsidRPr="002F0E6F" w:rsidRDefault="002B7DC9" w:rsidP="002D4ED1">
      <w:pPr>
        <w:pStyle w:val="DotPointTLRI"/>
        <w:numPr>
          <w:ilvl w:val="1"/>
          <w:numId w:val="4"/>
        </w:numPr>
        <w:ind w:left="1134" w:hanging="425"/>
        <w:rPr>
          <w:lang w:eastAsia="en-AU"/>
        </w:rPr>
      </w:pPr>
      <w:r w:rsidRPr="002F0E6F">
        <w:rPr>
          <w:lang w:eastAsia="en-AU"/>
        </w:rPr>
        <w:t xml:space="preserve">the estate of the principal party to the transaction; or </w:t>
      </w:r>
    </w:p>
    <w:p w14:paraId="08332B40" w14:textId="77777777" w:rsidR="002B7DC9" w:rsidRPr="002F0E6F" w:rsidRDefault="002B7DC9" w:rsidP="002D4ED1">
      <w:pPr>
        <w:pStyle w:val="DotPointTLRI"/>
        <w:numPr>
          <w:ilvl w:val="1"/>
          <w:numId w:val="4"/>
        </w:numPr>
        <w:ind w:left="1134" w:hanging="425"/>
        <w:rPr>
          <w:lang w:eastAsia="en-AU"/>
        </w:rPr>
      </w:pPr>
      <w:r w:rsidRPr="002F0E6F">
        <w:rPr>
          <w:lang w:eastAsia="en-AU"/>
        </w:rPr>
        <w:t>a person entitled to apply for a family provision order from the estate; or</w:t>
      </w:r>
    </w:p>
    <w:p w14:paraId="0CE5FCDB" w14:textId="0375A90D" w:rsidR="002B7DC9" w:rsidRPr="002F0E6F" w:rsidRDefault="002B7DC9" w:rsidP="002D4ED1">
      <w:pPr>
        <w:pStyle w:val="DotPointTLRI"/>
        <w:numPr>
          <w:ilvl w:val="1"/>
          <w:numId w:val="4"/>
        </w:numPr>
        <w:ind w:left="1134" w:hanging="425"/>
        <w:rPr>
          <w:lang w:eastAsia="en-AU"/>
        </w:rPr>
      </w:pPr>
      <w:r w:rsidRPr="002F0E6F">
        <w:rPr>
          <w:lang w:eastAsia="en-AU"/>
        </w:rPr>
        <w:lastRenderedPageBreak/>
        <w:t>if the deceased person was not the principal party to the transaction, the deceased person.</w:t>
      </w:r>
      <w:r w:rsidRPr="007314E7">
        <w:rPr>
          <w:rStyle w:val="FootnoteReference"/>
          <w:rFonts w:eastAsia="Times"/>
          <w:szCs w:val="20"/>
          <w:lang w:val="en-AU" w:eastAsia="ja-JP"/>
        </w:rPr>
        <w:footnoteReference w:id="123"/>
      </w:r>
    </w:p>
    <w:p w14:paraId="7C6D8858" w14:textId="5D408206" w:rsidR="00F25567" w:rsidRPr="002F0E6F" w:rsidRDefault="00F25567" w:rsidP="00265FFB">
      <w:pPr>
        <w:pStyle w:val="NumberedHeadingTLRI"/>
        <w:keepNext/>
        <w:rPr>
          <w:lang w:val="en-AU"/>
        </w:rPr>
      </w:pPr>
      <w:bookmarkStart w:id="62" w:name="_Toc2256870"/>
      <w:r w:rsidRPr="002F0E6F">
        <w:rPr>
          <w:lang w:val="en-AU"/>
        </w:rPr>
        <w:t>Restrictions on power</w:t>
      </w:r>
      <w:bookmarkEnd w:id="62"/>
    </w:p>
    <w:p w14:paraId="5CDB4051" w14:textId="6BA306B8" w:rsidR="00F25567" w:rsidRPr="002F0E6F" w:rsidRDefault="00852F10" w:rsidP="00F53623">
      <w:pPr>
        <w:pStyle w:val="NormalNumberedTextTLRI"/>
        <w:rPr>
          <w:lang w:val="en-AU"/>
        </w:rPr>
      </w:pPr>
      <w:r w:rsidRPr="002F0E6F">
        <w:rPr>
          <w:lang w:val="en-AU"/>
        </w:rPr>
        <w:tab/>
      </w:r>
      <w:r w:rsidR="00CD2C53" w:rsidRPr="00F53623">
        <w:t>There</w:t>
      </w:r>
      <w:r w:rsidR="00CD2C53" w:rsidRPr="002F0E6F">
        <w:rPr>
          <w:lang w:val="en-AU"/>
        </w:rPr>
        <w:t xml:space="preserve"> are a</w:t>
      </w:r>
      <w:r w:rsidR="00F25567" w:rsidRPr="002F0E6F">
        <w:rPr>
          <w:lang w:val="en-AU"/>
        </w:rPr>
        <w:t xml:space="preserve"> number of restrictions on the power of the </w:t>
      </w:r>
      <w:r w:rsidR="0084221F" w:rsidRPr="002F0E6F">
        <w:rPr>
          <w:lang w:val="en-AU"/>
        </w:rPr>
        <w:t>c</w:t>
      </w:r>
      <w:r w:rsidR="00F25567" w:rsidRPr="002F0E6F">
        <w:rPr>
          <w:lang w:val="en-AU"/>
        </w:rPr>
        <w:t>ourt to designate property as notional estate.</w:t>
      </w:r>
      <w:r w:rsidR="00FC75AB" w:rsidRPr="00F53623">
        <w:rPr>
          <w:rStyle w:val="FootnoteReference"/>
          <w:lang w:val="en-US"/>
        </w:rPr>
        <w:footnoteReference w:id="124"/>
      </w:r>
    </w:p>
    <w:p w14:paraId="722211E9" w14:textId="5761F73A" w:rsidR="0071101B" w:rsidRPr="002F0E6F" w:rsidRDefault="002B7DC9" w:rsidP="00F53623">
      <w:pPr>
        <w:pStyle w:val="NormalNumberedTextTLRI"/>
        <w:rPr>
          <w:lang w:val="en-AU"/>
        </w:rPr>
      </w:pPr>
      <w:r w:rsidRPr="00F53623">
        <w:t>First</w:t>
      </w:r>
      <w:r w:rsidR="00EB766F" w:rsidRPr="002F0E6F">
        <w:rPr>
          <w:lang w:val="en-AU"/>
        </w:rPr>
        <w:t xml:space="preserve">, </w:t>
      </w:r>
      <w:r w:rsidR="00F25567" w:rsidRPr="002F0E6F">
        <w:rPr>
          <w:lang w:val="en-AU"/>
        </w:rPr>
        <w:t>the</w:t>
      </w:r>
      <w:r w:rsidR="0071101B" w:rsidRPr="002F0E6F">
        <w:rPr>
          <w:lang w:val="en-AU"/>
        </w:rPr>
        <w:t xml:space="preserve"> </w:t>
      </w:r>
      <w:r w:rsidR="0084221F" w:rsidRPr="002F0E6F">
        <w:rPr>
          <w:lang w:val="en-AU"/>
        </w:rPr>
        <w:t>c</w:t>
      </w:r>
      <w:r w:rsidR="0071101B" w:rsidRPr="002F0E6F">
        <w:rPr>
          <w:lang w:val="en-AU"/>
        </w:rPr>
        <w:t xml:space="preserve">ourt can only make </w:t>
      </w:r>
      <w:r w:rsidR="00F25567" w:rsidRPr="002F0E6F">
        <w:rPr>
          <w:lang w:val="en-AU"/>
        </w:rPr>
        <w:t xml:space="preserve">a notional estate order </w:t>
      </w:r>
      <w:r w:rsidR="0071101B" w:rsidRPr="002F0E6F">
        <w:rPr>
          <w:lang w:val="en-AU"/>
        </w:rPr>
        <w:t xml:space="preserve">if </w:t>
      </w:r>
      <w:r w:rsidR="00F25567" w:rsidRPr="002F0E6F">
        <w:rPr>
          <w:lang w:val="en-AU"/>
        </w:rPr>
        <w:t>it is satisfied that</w:t>
      </w:r>
      <w:r w:rsidR="0071101B" w:rsidRPr="002F0E6F">
        <w:rPr>
          <w:lang w:val="en-AU"/>
        </w:rPr>
        <w:t>:</w:t>
      </w:r>
    </w:p>
    <w:p w14:paraId="0750979B" w14:textId="1AB59018" w:rsidR="0071101B" w:rsidRPr="002F0E6F" w:rsidRDefault="0071101B" w:rsidP="00CF09A0">
      <w:pPr>
        <w:pStyle w:val="DotPointTLRI"/>
      </w:pPr>
      <w:r w:rsidRPr="002F0E6F">
        <w:t>the deceased left no es</w:t>
      </w:r>
      <w:r w:rsidR="00B77C85" w:rsidRPr="002F0E6F">
        <w:t>tate</w:t>
      </w:r>
      <w:r w:rsidR="00577B27" w:rsidRPr="002F0E6F">
        <w:t>;</w:t>
      </w:r>
      <w:r w:rsidR="00D77E84" w:rsidRPr="002F0E6F">
        <w:t xml:space="preserve"> </w:t>
      </w:r>
      <w:r w:rsidRPr="002F0E6F">
        <w:t>or</w:t>
      </w:r>
    </w:p>
    <w:p w14:paraId="31BA891E" w14:textId="001408D1" w:rsidR="0071101B" w:rsidRPr="002F0E6F" w:rsidRDefault="0071101B" w:rsidP="00CF09A0">
      <w:pPr>
        <w:pStyle w:val="DotPointTLRI"/>
      </w:pPr>
      <w:r w:rsidRPr="002F0E6F">
        <w:t>the deceased’s estate is insufficient for the making of the family provision order or costs orders that the court thinks should be made</w:t>
      </w:r>
      <w:r w:rsidR="00577B27" w:rsidRPr="002F0E6F">
        <w:t xml:space="preserve">; </w:t>
      </w:r>
      <w:r w:rsidRPr="002F0E6F">
        <w:t xml:space="preserve">or </w:t>
      </w:r>
    </w:p>
    <w:p w14:paraId="7B0165C5" w14:textId="645643E2" w:rsidR="0071101B" w:rsidRPr="002F0E6F" w:rsidRDefault="0071101B" w:rsidP="00CF09A0">
      <w:pPr>
        <w:pStyle w:val="DotPointTLRI"/>
      </w:pPr>
      <w:r w:rsidRPr="002F0E6F">
        <w:t>orders should not be made wholly out of the deceased’s estate because there are other persons who could apply for family provision orders, or there are special circumstances</w:t>
      </w:r>
      <w:r w:rsidR="00577B27" w:rsidRPr="002F0E6F">
        <w:t>;</w:t>
      </w:r>
      <w:r w:rsidR="00577B27" w:rsidRPr="00F53623">
        <w:rPr>
          <w:rStyle w:val="FootnoteReference"/>
        </w:rPr>
        <w:footnoteReference w:id="125"/>
      </w:r>
      <w:r w:rsidR="00577B27" w:rsidRPr="002F0E6F">
        <w:t xml:space="preserve"> </w:t>
      </w:r>
      <w:r w:rsidRPr="002F0E6F">
        <w:t>or</w:t>
      </w:r>
    </w:p>
    <w:p w14:paraId="7FAA41EE" w14:textId="5C7730CF" w:rsidR="0071101B" w:rsidRPr="002F0E6F" w:rsidRDefault="0071101B" w:rsidP="00CF09A0">
      <w:pPr>
        <w:pStyle w:val="DotPointTLRI"/>
      </w:pPr>
      <w:r w:rsidRPr="002F0E6F">
        <w:t>the deceased’s estate has been distributed and no estate remains, or the remainder is insufficient for the court making family provision orders or costs orders.</w:t>
      </w:r>
      <w:r w:rsidR="00577B27" w:rsidRPr="00F53623">
        <w:rPr>
          <w:rStyle w:val="FootnoteReference"/>
        </w:rPr>
        <w:footnoteReference w:id="126"/>
      </w:r>
    </w:p>
    <w:p w14:paraId="53580C66" w14:textId="64792BAD" w:rsidR="00B77C85" w:rsidRPr="002F0E6F" w:rsidRDefault="00F25567" w:rsidP="00F53623">
      <w:pPr>
        <w:pStyle w:val="NormalNumberedTextTLRI"/>
        <w:rPr>
          <w:lang w:val="en-AU"/>
        </w:rPr>
      </w:pPr>
      <w:r w:rsidRPr="002F0E6F">
        <w:rPr>
          <w:lang w:val="en-AU"/>
        </w:rPr>
        <w:t xml:space="preserve">Secondly, the </w:t>
      </w:r>
      <w:r w:rsidR="0084221F" w:rsidRPr="00F53623">
        <w:t>c</w:t>
      </w:r>
      <w:r w:rsidRPr="00F53623">
        <w:t>ourt</w:t>
      </w:r>
      <w:r w:rsidRPr="002F0E6F">
        <w:rPr>
          <w:lang w:val="en-AU"/>
        </w:rPr>
        <w:t xml:space="preserve"> may not exercise </w:t>
      </w:r>
      <w:r w:rsidR="00577B27" w:rsidRPr="002F0E6F">
        <w:rPr>
          <w:lang w:val="en-AU"/>
        </w:rPr>
        <w:t>its</w:t>
      </w:r>
      <w:r w:rsidRPr="002F0E6F">
        <w:rPr>
          <w:lang w:val="en-AU"/>
        </w:rPr>
        <w:t xml:space="preserve"> power unless it has considered the importance of not interfering with </w:t>
      </w:r>
      <w:r w:rsidR="00FC75AB" w:rsidRPr="002F0E6F">
        <w:rPr>
          <w:lang w:val="en-AU"/>
        </w:rPr>
        <w:t xml:space="preserve">reasonable </w:t>
      </w:r>
      <w:r w:rsidRPr="002F0E6F">
        <w:rPr>
          <w:lang w:val="en-AU"/>
        </w:rPr>
        <w:t>expectation</w:t>
      </w:r>
      <w:r w:rsidR="00577B27" w:rsidRPr="002F0E6F">
        <w:rPr>
          <w:lang w:val="en-AU"/>
        </w:rPr>
        <w:t>s</w:t>
      </w:r>
      <w:r w:rsidRPr="002F0E6F">
        <w:rPr>
          <w:lang w:val="en-AU"/>
        </w:rPr>
        <w:t xml:space="preserve"> in relation to property, </w:t>
      </w:r>
      <w:r w:rsidR="00FC75AB" w:rsidRPr="002F0E6F">
        <w:rPr>
          <w:lang w:val="en-AU"/>
        </w:rPr>
        <w:t xml:space="preserve">the </w:t>
      </w:r>
      <w:r w:rsidR="00021999" w:rsidRPr="002F0E6F">
        <w:rPr>
          <w:lang w:val="en-AU"/>
        </w:rPr>
        <w:t xml:space="preserve">substantial </w:t>
      </w:r>
      <w:r w:rsidRPr="002F0E6F">
        <w:rPr>
          <w:lang w:val="en-AU"/>
        </w:rPr>
        <w:t xml:space="preserve">justice and </w:t>
      </w:r>
      <w:r w:rsidR="00577B27" w:rsidRPr="002F0E6F">
        <w:rPr>
          <w:lang w:val="en-AU"/>
        </w:rPr>
        <w:t xml:space="preserve">the </w:t>
      </w:r>
      <w:r w:rsidRPr="002F0E6F">
        <w:rPr>
          <w:lang w:val="en-AU"/>
        </w:rPr>
        <w:t>merits involved in making or refusing to make an order and any other matter it considers relevant.</w:t>
      </w:r>
      <w:r w:rsidR="00577B27" w:rsidRPr="00F53623">
        <w:rPr>
          <w:rStyle w:val="FootnoteReference"/>
          <w:lang w:val="en-US"/>
        </w:rPr>
        <w:footnoteReference w:id="127"/>
      </w:r>
    </w:p>
    <w:p w14:paraId="0911EE45" w14:textId="13E9E7D5" w:rsidR="00611582" w:rsidRPr="002F0E6F" w:rsidRDefault="00611582" w:rsidP="00577B27">
      <w:pPr>
        <w:pStyle w:val="Sub-HeadingTLRI"/>
        <w:rPr>
          <w:lang w:val="en-AU"/>
        </w:rPr>
      </w:pPr>
      <w:r w:rsidRPr="002F0E6F">
        <w:rPr>
          <w:lang w:val="en-AU"/>
        </w:rPr>
        <w:t xml:space="preserve">Factors considered when deciding what property </w:t>
      </w:r>
      <w:r w:rsidR="0084221F" w:rsidRPr="002F0E6F">
        <w:rPr>
          <w:lang w:val="en-AU"/>
        </w:rPr>
        <w:t xml:space="preserve">is </w:t>
      </w:r>
      <w:r w:rsidRPr="002F0E6F">
        <w:rPr>
          <w:lang w:val="en-AU"/>
        </w:rPr>
        <w:t>to be designated as notional estate</w:t>
      </w:r>
    </w:p>
    <w:p w14:paraId="3D7F47F4" w14:textId="0D898CBC" w:rsidR="00611582" w:rsidRPr="002F0E6F" w:rsidRDefault="00611582" w:rsidP="00F53623">
      <w:pPr>
        <w:pStyle w:val="NormalNumberedTextTLRI"/>
        <w:rPr>
          <w:lang w:val="en-AU"/>
        </w:rPr>
      </w:pPr>
      <w:r w:rsidRPr="002F0E6F">
        <w:rPr>
          <w:lang w:val="en-AU"/>
        </w:rPr>
        <w:t xml:space="preserve">The </w:t>
      </w:r>
      <w:r w:rsidR="00D1452E" w:rsidRPr="002F0E6F">
        <w:rPr>
          <w:lang w:val="en-AU"/>
        </w:rPr>
        <w:t>c</w:t>
      </w:r>
      <w:r w:rsidRPr="002F0E6F">
        <w:rPr>
          <w:lang w:val="en-AU"/>
        </w:rPr>
        <w:t xml:space="preserve">ourt </w:t>
      </w:r>
      <w:r w:rsidR="00D1452E" w:rsidRPr="002F0E6F">
        <w:rPr>
          <w:lang w:val="en-AU"/>
        </w:rPr>
        <w:t>must</w:t>
      </w:r>
      <w:r w:rsidRPr="002F0E6F">
        <w:rPr>
          <w:lang w:val="en-AU"/>
        </w:rPr>
        <w:t xml:space="preserve"> consider the following matters when deciding what </w:t>
      </w:r>
      <w:r w:rsidR="00F53623" w:rsidRPr="002F0E6F">
        <w:rPr>
          <w:lang w:val="en-AU"/>
        </w:rPr>
        <w:t>property</w:t>
      </w:r>
      <w:r w:rsidRPr="002F0E6F">
        <w:rPr>
          <w:lang w:val="en-AU"/>
        </w:rPr>
        <w:t xml:space="preserve"> should be designated as notional estate: </w:t>
      </w:r>
    </w:p>
    <w:p w14:paraId="563F96F1" w14:textId="4E61E33D" w:rsidR="00611582" w:rsidRPr="002F0E6F" w:rsidRDefault="00611582" w:rsidP="00CF09A0">
      <w:pPr>
        <w:pStyle w:val="DotPointTLRI"/>
        <w:rPr>
          <w:lang w:eastAsia="en-AU"/>
        </w:rPr>
      </w:pPr>
      <w:r w:rsidRPr="002F0E6F">
        <w:rPr>
          <w:lang w:eastAsia="en-AU"/>
        </w:rPr>
        <w:t>the value and nature of any property the subject of a relevant property transaction, or subject to a subsequent transaction;</w:t>
      </w:r>
    </w:p>
    <w:p w14:paraId="3DBA97EF" w14:textId="478EDDB9" w:rsidR="00611582" w:rsidRPr="002F0E6F" w:rsidRDefault="00611582" w:rsidP="00CF09A0">
      <w:pPr>
        <w:pStyle w:val="DotPointTLRI"/>
        <w:rPr>
          <w:lang w:eastAsia="en-AU"/>
        </w:rPr>
      </w:pPr>
      <w:r w:rsidRPr="002F0E6F">
        <w:rPr>
          <w:lang w:eastAsia="en-AU"/>
        </w:rPr>
        <w:t>any consideration given in a relevant property transaction;</w:t>
      </w:r>
    </w:p>
    <w:p w14:paraId="3A639194" w14:textId="41A4E620" w:rsidR="00611582" w:rsidRPr="002F0E6F" w:rsidRDefault="00611582" w:rsidP="00CF09A0">
      <w:pPr>
        <w:pStyle w:val="DotPointTLRI"/>
        <w:rPr>
          <w:lang w:eastAsia="en-AU"/>
        </w:rPr>
      </w:pPr>
      <w:r w:rsidRPr="002F0E6F">
        <w:rPr>
          <w:lang w:eastAsia="en-AU"/>
        </w:rPr>
        <w:t>any changes in the value of property or the consideration since the relevant property transaction was entered into, distribution made, or consideration given;</w:t>
      </w:r>
    </w:p>
    <w:p w14:paraId="18D4A7DF" w14:textId="2532FD62" w:rsidR="00611582" w:rsidRPr="002F0E6F" w:rsidRDefault="00611582" w:rsidP="00CF09A0">
      <w:pPr>
        <w:pStyle w:val="DotPointTLRI"/>
        <w:rPr>
          <w:lang w:eastAsia="en-AU"/>
        </w:rPr>
      </w:pPr>
      <w:r w:rsidRPr="002F0E6F">
        <w:rPr>
          <w:lang w:eastAsia="en-AU"/>
        </w:rPr>
        <w:t xml:space="preserve">whether </w:t>
      </w:r>
      <w:r w:rsidR="00F1193B" w:rsidRPr="002F0E6F">
        <w:rPr>
          <w:lang w:eastAsia="en-AU"/>
        </w:rPr>
        <w:t xml:space="preserve">the </w:t>
      </w:r>
      <w:r w:rsidRPr="002F0E6F">
        <w:rPr>
          <w:lang w:eastAsia="en-AU"/>
        </w:rPr>
        <w:t>property or consideration could have been used to obtain income</w:t>
      </w:r>
      <w:r w:rsidR="00F1193B" w:rsidRPr="002F0E6F">
        <w:rPr>
          <w:lang w:eastAsia="en-AU"/>
        </w:rPr>
        <w:t>; or</w:t>
      </w:r>
    </w:p>
    <w:p w14:paraId="3138C5F8" w14:textId="71200CF9" w:rsidR="00611582" w:rsidRPr="002F0E6F" w:rsidRDefault="00611582" w:rsidP="00CF09A0">
      <w:pPr>
        <w:pStyle w:val="DotPointTLRI"/>
        <w:rPr>
          <w:lang w:eastAsia="en-AU"/>
        </w:rPr>
      </w:pPr>
      <w:r w:rsidRPr="002F0E6F">
        <w:rPr>
          <w:lang w:eastAsia="en-AU"/>
        </w:rPr>
        <w:t>any other matter it considers relevant in the circumstances.</w:t>
      </w:r>
      <w:r w:rsidR="00D1452E" w:rsidRPr="00F53623">
        <w:rPr>
          <w:rStyle w:val="FootnoteReference"/>
        </w:rPr>
        <w:footnoteReference w:id="128"/>
      </w:r>
    </w:p>
    <w:p w14:paraId="6A0F7828" w14:textId="6E553E9B" w:rsidR="00611582" w:rsidRPr="002F0E6F" w:rsidRDefault="00611582" w:rsidP="00F53623">
      <w:pPr>
        <w:pStyle w:val="NormalNumberedTextTLRI"/>
        <w:rPr>
          <w:lang w:val="en-AU" w:eastAsia="en-AU"/>
        </w:rPr>
      </w:pPr>
      <w:r w:rsidRPr="002F0E6F">
        <w:rPr>
          <w:lang w:val="en-AU" w:eastAsia="en-AU"/>
        </w:rPr>
        <w:lastRenderedPageBreak/>
        <w:t xml:space="preserve">The </w:t>
      </w:r>
      <w:r w:rsidR="0084221F" w:rsidRPr="002F0E6F">
        <w:rPr>
          <w:lang w:val="en-AU" w:eastAsia="en-AU"/>
        </w:rPr>
        <w:t>c</w:t>
      </w:r>
      <w:r w:rsidRPr="002F0E6F">
        <w:rPr>
          <w:lang w:val="en-AU" w:eastAsia="en-AU"/>
        </w:rPr>
        <w:t xml:space="preserve">ourt </w:t>
      </w:r>
      <w:r w:rsidR="00F1193B" w:rsidRPr="002F0E6F">
        <w:rPr>
          <w:lang w:val="en-AU" w:eastAsia="en-AU"/>
        </w:rPr>
        <w:t>may only</w:t>
      </w:r>
      <w:r w:rsidRPr="002F0E6F">
        <w:rPr>
          <w:lang w:val="en-AU" w:eastAsia="en-AU"/>
        </w:rPr>
        <w:t xml:space="preserve"> designate </w:t>
      </w:r>
      <w:r w:rsidR="00F1193B" w:rsidRPr="002F0E6F">
        <w:rPr>
          <w:lang w:val="en-AU" w:eastAsia="en-AU"/>
        </w:rPr>
        <w:t xml:space="preserve">property as </w:t>
      </w:r>
      <w:r w:rsidRPr="002F0E6F">
        <w:rPr>
          <w:lang w:val="en-AU" w:eastAsia="en-AU"/>
        </w:rPr>
        <w:t xml:space="preserve">notional estate </w:t>
      </w:r>
      <w:r w:rsidR="00F1193B" w:rsidRPr="002F0E6F">
        <w:rPr>
          <w:lang w:val="en-AU" w:eastAsia="en-AU"/>
        </w:rPr>
        <w:t>to the extent it considers</w:t>
      </w:r>
      <w:r w:rsidRPr="002F0E6F">
        <w:rPr>
          <w:lang w:val="en-AU" w:eastAsia="en-AU"/>
        </w:rPr>
        <w:t xml:space="preserve"> necessary to </w:t>
      </w:r>
      <w:r w:rsidR="00F1193B" w:rsidRPr="002F0E6F">
        <w:rPr>
          <w:lang w:val="en-AU" w:eastAsia="en-AU"/>
        </w:rPr>
        <w:t>make</w:t>
      </w:r>
      <w:r w:rsidRPr="002F0E6F">
        <w:rPr>
          <w:lang w:val="en-AU" w:eastAsia="en-AU"/>
        </w:rPr>
        <w:t xml:space="preserve"> the provision that </w:t>
      </w:r>
      <w:r w:rsidR="00F1193B" w:rsidRPr="002F0E6F">
        <w:rPr>
          <w:lang w:val="en-AU" w:eastAsia="en-AU"/>
        </w:rPr>
        <w:t xml:space="preserve">it determines </w:t>
      </w:r>
      <w:r w:rsidRPr="002F0E6F">
        <w:rPr>
          <w:lang w:val="en-AU" w:eastAsia="en-AU"/>
        </w:rPr>
        <w:t>should be made</w:t>
      </w:r>
      <w:r w:rsidR="00F1193B" w:rsidRPr="002F0E6F">
        <w:rPr>
          <w:lang w:val="en-AU" w:eastAsia="en-AU"/>
        </w:rPr>
        <w:t xml:space="preserve"> (or for costs to be paid)</w:t>
      </w:r>
      <w:r w:rsidRPr="002F0E6F">
        <w:rPr>
          <w:lang w:val="en-AU" w:eastAsia="en-AU"/>
        </w:rPr>
        <w:t>.</w:t>
      </w:r>
      <w:r w:rsidR="00F1193B" w:rsidRPr="00F53623">
        <w:rPr>
          <w:rStyle w:val="FootnoteReference"/>
          <w:lang w:val="en-US"/>
        </w:rPr>
        <w:footnoteReference w:id="129"/>
      </w:r>
    </w:p>
    <w:p w14:paraId="483A7691" w14:textId="652EA1E6" w:rsidR="00D1452E" w:rsidRPr="002F0E6F" w:rsidRDefault="00D1452E" w:rsidP="0076572E">
      <w:pPr>
        <w:pStyle w:val="NormalNumberedTextTLRI"/>
        <w:rPr>
          <w:lang w:val="en-AU" w:eastAsia="en-AU"/>
        </w:rPr>
      </w:pPr>
      <w:r w:rsidRPr="002F0E6F">
        <w:rPr>
          <w:lang w:val="en-AU" w:eastAsia="en-AU"/>
        </w:rPr>
        <w:t xml:space="preserve">The </w:t>
      </w:r>
      <w:r w:rsidR="009541F0" w:rsidRPr="002F0E6F">
        <w:rPr>
          <w:lang w:val="en-AU" w:eastAsia="en-AU"/>
        </w:rPr>
        <w:t xml:space="preserve">NSW </w:t>
      </w:r>
      <w:r w:rsidR="00EE29FF" w:rsidRPr="00EE29FF">
        <w:rPr>
          <w:i/>
          <w:lang w:val="en-AU" w:eastAsia="en-AU"/>
        </w:rPr>
        <w:t xml:space="preserve">Succession </w:t>
      </w:r>
      <w:r w:rsidRPr="00EE29FF">
        <w:rPr>
          <w:i/>
          <w:lang w:val="en-AU" w:eastAsia="en-AU"/>
        </w:rPr>
        <w:t>Act</w:t>
      </w:r>
      <w:r w:rsidRPr="002F0E6F">
        <w:rPr>
          <w:lang w:val="en-AU" w:eastAsia="en-AU"/>
        </w:rPr>
        <w:t xml:space="preserve"> also clarifies that, where property becomes held by a person as a trustee only, the court may not designate any property held by that person as notional estate apart from the property held by them as a trustee as a </w:t>
      </w:r>
      <w:r w:rsidR="0076572E" w:rsidRPr="002F0E6F">
        <w:rPr>
          <w:lang w:val="en-AU" w:eastAsia="en-AU"/>
        </w:rPr>
        <w:t>consequence</w:t>
      </w:r>
      <w:r w:rsidRPr="002F0E6F">
        <w:rPr>
          <w:lang w:val="en-AU" w:eastAsia="en-AU"/>
        </w:rPr>
        <w:t xml:space="preserve"> of a relevant property transaction or distribution.</w:t>
      </w:r>
      <w:r w:rsidRPr="003A07D1">
        <w:rPr>
          <w:rStyle w:val="FootnoteReference"/>
          <w:rFonts w:eastAsiaTheme="minorHAnsi"/>
          <w:szCs w:val="24"/>
          <w:lang w:val="en-US"/>
        </w:rPr>
        <w:footnoteReference w:id="130"/>
      </w:r>
    </w:p>
    <w:p w14:paraId="30696EA3" w14:textId="67EA62C7" w:rsidR="00790BE9" w:rsidRPr="002F0E6F" w:rsidRDefault="00790BE9" w:rsidP="003A07D1">
      <w:pPr>
        <w:pStyle w:val="NormalNumberedTextTLRI"/>
        <w:rPr>
          <w:lang w:val="en-AU" w:eastAsia="en-AU"/>
        </w:rPr>
      </w:pPr>
      <w:r w:rsidRPr="002F0E6F">
        <w:rPr>
          <w:lang w:val="en-AU" w:eastAsia="en-AU"/>
        </w:rPr>
        <w:t xml:space="preserve">It is possible to apply to the court to vary </w:t>
      </w:r>
      <w:r w:rsidR="00E00348" w:rsidRPr="002F0E6F">
        <w:rPr>
          <w:lang w:val="en-AU" w:eastAsia="en-AU"/>
        </w:rPr>
        <w:t>a notional</w:t>
      </w:r>
      <w:r w:rsidRPr="002F0E6F">
        <w:rPr>
          <w:lang w:val="en-AU" w:eastAsia="en-AU"/>
        </w:rPr>
        <w:t xml:space="preserve"> </w:t>
      </w:r>
      <w:r w:rsidR="009541F0" w:rsidRPr="002F0E6F">
        <w:rPr>
          <w:lang w:val="en-AU" w:eastAsia="en-AU"/>
        </w:rPr>
        <w:t xml:space="preserve">estate </w:t>
      </w:r>
      <w:r w:rsidRPr="002F0E6F">
        <w:rPr>
          <w:lang w:val="en-AU" w:eastAsia="en-AU"/>
        </w:rPr>
        <w:t>order</w:t>
      </w:r>
      <w:r w:rsidR="00E00348" w:rsidRPr="002F0E6F">
        <w:rPr>
          <w:lang w:val="en-AU" w:eastAsia="en-AU"/>
        </w:rPr>
        <w:t xml:space="preserve"> to change the property affected</w:t>
      </w:r>
      <w:r w:rsidRPr="002F0E6F">
        <w:rPr>
          <w:lang w:val="en-AU" w:eastAsia="en-AU"/>
        </w:rPr>
        <w:t>.</w:t>
      </w:r>
      <w:r w:rsidRPr="003A07D1">
        <w:rPr>
          <w:rStyle w:val="FootnoteReference"/>
          <w:rFonts w:eastAsiaTheme="minorHAnsi"/>
          <w:szCs w:val="24"/>
          <w:lang w:val="en-US"/>
        </w:rPr>
        <w:footnoteReference w:id="131"/>
      </w:r>
      <w:r w:rsidRPr="002F0E6F">
        <w:rPr>
          <w:lang w:val="en-AU" w:eastAsia="en-AU"/>
        </w:rPr>
        <w:t xml:space="preserve"> This enables property affected </w:t>
      </w:r>
      <w:r w:rsidR="00E00348" w:rsidRPr="002F0E6F">
        <w:rPr>
          <w:lang w:val="en-AU" w:eastAsia="en-AU"/>
        </w:rPr>
        <w:t xml:space="preserve">to be substituted for </w:t>
      </w:r>
      <w:r w:rsidR="003A07D1">
        <w:rPr>
          <w:lang w:val="en-AU" w:eastAsia="en-AU"/>
        </w:rPr>
        <w:t>alternative</w:t>
      </w:r>
      <w:r w:rsidR="003A07D1" w:rsidRPr="002F0E6F">
        <w:rPr>
          <w:lang w:val="en-AU" w:eastAsia="en-AU"/>
        </w:rPr>
        <w:t xml:space="preserve"> </w:t>
      </w:r>
      <w:r w:rsidR="00E00348" w:rsidRPr="002F0E6F">
        <w:rPr>
          <w:lang w:val="en-AU" w:eastAsia="en-AU"/>
        </w:rPr>
        <w:t>property</w:t>
      </w:r>
      <w:r w:rsidRPr="002F0E6F">
        <w:rPr>
          <w:lang w:val="en-AU" w:eastAsia="en-AU"/>
        </w:rPr>
        <w:t>.</w:t>
      </w:r>
    </w:p>
    <w:p w14:paraId="57C6C477" w14:textId="77777777" w:rsidR="00D8626A" w:rsidRPr="002F0E6F" w:rsidRDefault="00D8626A" w:rsidP="00F91D81">
      <w:pPr>
        <w:pStyle w:val="NormalNumberedTextTLRI"/>
        <w:rPr>
          <w:lang w:val="en-AU"/>
        </w:rPr>
      </w:pPr>
      <w:r w:rsidRPr="002F0E6F">
        <w:rPr>
          <w:lang w:val="en-AU"/>
        </w:rPr>
        <w:t xml:space="preserve">In </w:t>
      </w:r>
      <w:r w:rsidRPr="002F0E6F">
        <w:rPr>
          <w:i/>
          <w:lang w:val="en-AU"/>
        </w:rPr>
        <w:t>Charnock v Handley</w:t>
      </w:r>
      <w:r w:rsidRPr="003A07D1">
        <w:rPr>
          <w:rStyle w:val="FootnoteReference"/>
          <w:rFonts w:eastAsiaTheme="minorHAnsi"/>
          <w:szCs w:val="24"/>
          <w:lang w:val="en-US"/>
        </w:rPr>
        <w:footnoteReference w:id="132"/>
      </w:r>
      <w:r w:rsidRPr="002F0E6F">
        <w:rPr>
          <w:lang w:val="en-AU"/>
        </w:rPr>
        <w:t xml:space="preserve"> the </w:t>
      </w:r>
      <w:r w:rsidRPr="00F91D81">
        <w:t>defendant</w:t>
      </w:r>
      <w:r w:rsidRPr="002F0E6F">
        <w:rPr>
          <w:lang w:val="en-AU"/>
        </w:rPr>
        <w:t xml:space="preserve"> was a friend of the deceased and the plaintiffs, the deceased’s adult children. The entire estate, amounting to almost $63,000, had been distributed to the defendant to the exclusion of the plaintiffs.</w:t>
      </w:r>
    </w:p>
    <w:p w14:paraId="7F6BEB02" w14:textId="4DD13175" w:rsidR="00D8626A" w:rsidRPr="002F0E6F" w:rsidRDefault="00D8626A" w:rsidP="00F91D81">
      <w:pPr>
        <w:pStyle w:val="NormalNumberedTextTLRI"/>
        <w:rPr>
          <w:lang w:val="en-AU"/>
        </w:rPr>
      </w:pPr>
      <w:r w:rsidRPr="002F0E6F">
        <w:rPr>
          <w:lang w:val="en-AU"/>
        </w:rPr>
        <w:t xml:space="preserve">The case considered whether the court can designate property of the defendant as notional estate even in circumstances where that property has not been acquired with monies received from the deceased’s estate. Hallen AsJ held that the </w:t>
      </w:r>
      <w:r w:rsidR="0084221F" w:rsidRPr="002F0E6F">
        <w:rPr>
          <w:lang w:val="en-AU"/>
        </w:rPr>
        <w:t xml:space="preserve">NSW </w:t>
      </w:r>
      <w:r w:rsidR="00EE29FF" w:rsidRPr="00EE29FF">
        <w:rPr>
          <w:i/>
          <w:lang w:val="en-AU"/>
        </w:rPr>
        <w:t xml:space="preserve">Succession </w:t>
      </w:r>
      <w:r w:rsidRPr="00EE29FF">
        <w:rPr>
          <w:i/>
          <w:lang w:val="en-AU"/>
        </w:rPr>
        <w:t>Act</w:t>
      </w:r>
      <w:r w:rsidRPr="002F0E6F">
        <w:rPr>
          <w:lang w:val="en-AU"/>
        </w:rPr>
        <w:t xml:space="preserve"> does not require that the property designated as notional estate has to be the same as the property distributed or property into which the distributed property can be traced. His Honour said:</w:t>
      </w:r>
    </w:p>
    <w:p w14:paraId="6A23AD80" w14:textId="532F0334" w:rsidR="00D8626A" w:rsidRPr="002F0E6F" w:rsidRDefault="00D8626A" w:rsidP="00C47D98">
      <w:pPr>
        <w:pStyle w:val="QuoteTLRI"/>
      </w:pPr>
      <w:r w:rsidRPr="002F0E6F">
        <w:t>It follows, then, that if the court is satisfied that someone (the Defendant) has received a distribution from the deceased</w:t>
      </w:r>
      <w:r w:rsidR="00F91D81">
        <w:t>’</w:t>
      </w:r>
      <w:r w:rsidRPr="002F0E6F">
        <w:t>s estate (the distributed property), it is possible to designate as notional estate, property of that person (moneys in the Navigator Personal Retirement Fund), even if that property is not something into which it would be possible to trace any specific property of the deceased.</w:t>
      </w:r>
      <w:r w:rsidRPr="003A07D1">
        <w:rPr>
          <w:rStyle w:val="FootnoteReference"/>
          <w:szCs w:val="24"/>
          <w:lang w:val="en-US"/>
        </w:rPr>
        <w:footnoteReference w:id="133"/>
      </w:r>
    </w:p>
    <w:p w14:paraId="3C5303D5" w14:textId="52E39DC0" w:rsidR="00D8626A" w:rsidRPr="002F0E6F" w:rsidRDefault="00D8626A" w:rsidP="00F91D81">
      <w:pPr>
        <w:pStyle w:val="NormalNumberedTextTLRI"/>
        <w:rPr>
          <w:lang w:val="en-AU"/>
        </w:rPr>
      </w:pPr>
      <w:r w:rsidRPr="002F0E6F">
        <w:rPr>
          <w:lang w:val="en-AU"/>
        </w:rPr>
        <w:t>Property of the defendant was designated as notional estate and provision for the plaintiffs was made out of that estate.</w:t>
      </w:r>
    </w:p>
    <w:p w14:paraId="0A001FDF" w14:textId="305A0DC7" w:rsidR="00852F10" w:rsidRPr="002F0E6F" w:rsidRDefault="00D1452E" w:rsidP="009E1D64">
      <w:pPr>
        <w:pStyle w:val="NumberedHeadingTLRI"/>
        <w:spacing w:before="360"/>
        <w:rPr>
          <w:lang w:val="en-AU"/>
        </w:rPr>
      </w:pPr>
      <w:bookmarkStart w:id="63" w:name="_Toc2256871"/>
      <w:r w:rsidRPr="002F0E6F">
        <w:rPr>
          <w:lang w:val="en-AU"/>
        </w:rPr>
        <w:t>Effect of notional estate</w:t>
      </w:r>
      <w:r w:rsidR="00F25567" w:rsidRPr="002F0E6F">
        <w:rPr>
          <w:lang w:val="en-AU"/>
        </w:rPr>
        <w:t xml:space="preserve"> order</w:t>
      </w:r>
      <w:bookmarkEnd w:id="63"/>
    </w:p>
    <w:p w14:paraId="41D35F17" w14:textId="27E4F84D" w:rsidR="00F25567" w:rsidRPr="002F0E6F" w:rsidRDefault="00611582" w:rsidP="006143EF">
      <w:pPr>
        <w:pStyle w:val="NormalNumberedTextTLRI"/>
        <w:rPr>
          <w:lang w:val="en-AU"/>
        </w:rPr>
      </w:pPr>
      <w:r w:rsidRPr="002F0E6F">
        <w:rPr>
          <w:lang w:val="en-AU"/>
        </w:rPr>
        <w:t>A</w:t>
      </w:r>
      <w:r w:rsidR="00F25567" w:rsidRPr="002F0E6F">
        <w:rPr>
          <w:lang w:val="en-AU"/>
        </w:rPr>
        <w:t>n order designat</w:t>
      </w:r>
      <w:r w:rsidRPr="002F0E6F">
        <w:rPr>
          <w:lang w:val="en-AU"/>
        </w:rPr>
        <w:t>ing property</w:t>
      </w:r>
      <w:r w:rsidR="00F25567" w:rsidRPr="002F0E6F">
        <w:rPr>
          <w:lang w:val="en-AU"/>
        </w:rPr>
        <w:t xml:space="preserve"> as notional estate</w:t>
      </w:r>
      <w:r w:rsidRPr="002F0E6F">
        <w:rPr>
          <w:lang w:val="en-AU"/>
        </w:rPr>
        <w:t xml:space="preserve"> </w:t>
      </w:r>
      <w:r w:rsidR="006143EF" w:rsidRPr="002F0E6F">
        <w:rPr>
          <w:lang w:val="en-AU"/>
        </w:rPr>
        <w:t>extinguishes</w:t>
      </w:r>
      <w:r w:rsidRPr="002F0E6F">
        <w:rPr>
          <w:lang w:val="en-AU"/>
        </w:rPr>
        <w:t xml:space="preserve"> </w:t>
      </w:r>
      <w:r w:rsidR="00F25567" w:rsidRPr="002F0E6F">
        <w:rPr>
          <w:lang w:val="en-AU"/>
        </w:rPr>
        <w:t xml:space="preserve">rights </w:t>
      </w:r>
      <w:r w:rsidRPr="002F0E6F">
        <w:rPr>
          <w:lang w:val="en-AU"/>
        </w:rPr>
        <w:t>to</w:t>
      </w:r>
      <w:r w:rsidR="00F25567" w:rsidRPr="002F0E6F">
        <w:rPr>
          <w:lang w:val="en-AU"/>
        </w:rPr>
        <w:t xml:space="preserve"> </w:t>
      </w:r>
      <w:r w:rsidR="002A1416" w:rsidRPr="002F0E6F">
        <w:rPr>
          <w:lang w:val="en-AU"/>
        </w:rPr>
        <w:t xml:space="preserve">that </w:t>
      </w:r>
      <w:r w:rsidR="00F25567" w:rsidRPr="002F0E6F">
        <w:rPr>
          <w:lang w:val="en-AU"/>
        </w:rPr>
        <w:t>property to the extent of the order.</w:t>
      </w:r>
      <w:r w:rsidRPr="003A07D1">
        <w:rPr>
          <w:rStyle w:val="FootnoteReference"/>
          <w:rFonts w:eastAsiaTheme="minorHAnsi"/>
          <w:szCs w:val="24"/>
          <w:lang w:val="en-US"/>
        </w:rPr>
        <w:footnoteReference w:id="134"/>
      </w:r>
    </w:p>
    <w:p w14:paraId="000F3D5D" w14:textId="4B82083A" w:rsidR="00311900" w:rsidRPr="002F0E6F" w:rsidRDefault="00852F10" w:rsidP="009E1D64">
      <w:pPr>
        <w:pStyle w:val="NumberedHeadingTLRI"/>
        <w:spacing w:before="360"/>
        <w:rPr>
          <w:lang w:val="en-AU"/>
        </w:rPr>
      </w:pPr>
      <w:bookmarkStart w:id="64" w:name="_Toc2256872"/>
      <w:r w:rsidRPr="002F0E6F">
        <w:rPr>
          <w:lang w:val="en-AU"/>
        </w:rPr>
        <w:t xml:space="preserve">Case </w:t>
      </w:r>
      <w:r w:rsidR="0084221F" w:rsidRPr="002F0E6F">
        <w:rPr>
          <w:lang w:val="en-AU"/>
        </w:rPr>
        <w:t>e</w:t>
      </w:r>
      <w:r w:rsidR="00D8626A" w:rsidRPr="002F0E6F">
        <w:rPr>
          <w:lang w:val="en-AU"/>
        </w:rPr>
        <w:t>xamples</w:t>
      </w:r>
      <w:bookmarkEnd w:id="64"/>
    </w:p>
    <w:p w14:paraId="777C268C" w14:textId="3E093AE7" w:rsidR="003B3E57" w:rsidRPr="002F0E6F" w:rsidRDefault="003B3E57" w:rsidP="006143EF">
      <w:pPr>
        <w:pStyle w:val="NormalNumberedTextTLRI"/>
        <w:rPr>
          <w:lang w:val="en-AU"/>
        </w:rPr>
      </w:pPr>
      <w:r w:rsidRPr="002F0E6F">
        <w:rPr>
          <w:lang w:val="en-AU"/>
        </w:rPr>
        <w:t xml:space="preserve">This </w:t>
      </w:r>
      <w:r w:rsidRPr="006143EF">
        <w:t>next</w:t>
      </w:r>
      <w:r w:rsidRPr="002F0E6F">
        <w:rPr>
          <w:lang w:val="en-AU"/>
        </w:rPr>
        <w:t xml:space="preserve"> section summarises </w:t>
      </w:r>
      <w:r w:rsidR="0084221F" w:rsidRPr="002F0E6F">
        <w:rPr>
          <w:lang w:val="en-AU"/>
        </w:rPr>
        <w:t xml:space="preserve">some </w:t>
      </w:r>
      <w:r w:rsidRPr="002F0E6F">
        <w:rPr>
          <w:lang w:val="en-AU"/>
        </w:rPr>
        <w:t xml:space="preserve">decisions in New South Wales where notional estate orders have been considered or made. These cases demonstrate the way that notional estate orders </w:t>
      </w:r>
      <w:r w:rsidRPr="002F0E6F">
        <w:rPr>
          <w:lang w:val="en-AU"/>
        </w:rPr>
        <w:lastRenderedPageBreak/>
        <w:t>may be used to enlarge an estate for the purpose of making an order for further provision for a successful TFM applicant.</w:t>
      </w:r>
    </w:p>
    <w:p w14:paraId="7A9CF516" w14:textId="5D7F4B64" w:rsidR="00DD7D09" w:rsidRPr="002F0E6F" w:rsidRDefault="00DD7D09" w:rsidP="009E1D64">
      <w:pPr>
        <w:pStyle w:val="Sub-HeadingTLRI"/>
        <w:spacing w:before="240"/>
        <w:rPr>
          <w:lang w:val="en-AU"/>
        </w:rPr>
      </w:pPr>
      <w:r w:rsidRPr="002F0E6F">
        <w:rPr>
          <w:lang w:val="en-AU"/>
        </w:rPr>
        <w:t>Superannuation Transactions</w:t>
      </w:r>
    </w:p>
    <w:p w14:paraId="49268E5C" w14:textId="68953401" w:rsidR="00A73373" w:rsidRPr="002F0E6F" w:rsidRDefault="00DD7D09" w:rsidP="009E1D64">
      <w:pPr>
        <w:pStyle w:val="NormalNumberedTextTLRI"/>
        <w:rPr>
          <w:lang w:val="en-AU"/>
        </w:rPr>
      </w:pPr>
      <w:r w:rsidRPr="002F0E6F">
        <w:rPr>
          <w:lang w:val="en-AU"/>
        </w:rPr>
        <w:t>S</w:t>
      </w:r>
      <w:r w:rsidR="003B3E57" w:rsidRPr="002F0E6F">
        <w:rPr>
          <w:lang w:val="en-AU"/>
        </w:rPr>
        <w:t>e</w:t>
      </w:r>
      <w:r w:rsidR="00AA3326" w:rsidRPr="002F0E6F">
        <w:rPr>
          <w:lang w:val="en-AU"/>
        </w:rPr>
        <w:t>ction</w:t>
      </w:r>
      <w:r w:rsidRPr="002F0E6F">
        <w:rPr>
          <w:lang w:val="en-AU"/>
        </w:rPr>
        <w:t xml:space="preserve"> 76(2)(e) of the </w:t>
      </w:r>
      <w:r w:rsidR="003B3E57" w:rsidRPr="002F0E6F">
        <w:rPr>
          <w:lang w:val="en-AU"/>
        </w:rPr>
        <w:t xml:space="preserve">NSW </w:t>
      </w:r>
      <w:r w:rsidR="00EE29FF" w:rsidRPr="00EE29FF">
        <w:rPr>
          <w:i/>
          <w:lang w:val="en-AU"/>
        </w:rPr>
        <w:t>Succession Act</w:t>
      </w:r>
      <w:r w:rsidR="003B3E57" w:rsidRPr="002F0E6F">
        <w:rPr>
          <w:i/>
          <w:lang w:val="en-AU"/>
        </w:rPr>
        <w:t xml:space="preserve"> </w:t>
      </w:r>
      <w:r w:rsidRPr="009E1D64">
        <w:t>expressly</w:t>
      </w:r>
      <w:r w:rsidR="00644AF6" w:rsidRPr="002F0E6F">
        <w:rPr>
          <w:lang w:val="en-AU"/>
        </w:rPr>
        <w:t xml:space="preserve"> provides that </w:t>
      </w:r>
      <w:r w:rsidR="00B01775" w:rsidRPr="002F0E6F">
        <w:rPr>
          <w:lang w:val="en-AU"/>
        </w:rPr>
        <w:t xml:space="preserve">where property becomes held by another person because of the deceased’s membership of a </w:t>
      </w:r>
      <w:r w:rsidR="00644AF6" w:rsidRPr="002F0E6F">
        <w:rPr>
          <w:lang w:val="en-AU"/>
        </w:rPr>
        <w:t>superannuation</w:t>
      </w:r>
      <w:r w:rsidR="00B01775" w:rsidRPr="002F0E6F">
        <w:rPr>
          <w:lang w:val="en-AU"/>
        </w:rPr>
        <w:t xml:space="preserve"> </w:t>
      </w:r>
      <w:r w:rsidR="00B36505" w:rsidRPr="002F0E6F">
        <w:rPr>
          <w:lang w:val="en-AU"/>
        </w:rPr>
        <w:t>fund</w:t>
      </w:r>
      <w:r w:rsidR="00B01775" w:rsidRPr="002F0E6F">
        <w:rPr>
          <w:lang w:val="en-AU"/>
        </w:rPr>
        <w:t>, that can form</w:t>
      </w:r>
      <w:r w:rsidR="00644AF6" w:rsidRPr="002F0E6F">
        <w:rPr>
          <w:lang w:val="en-AU"/>
        </w:rPr>
        <w:t xml:space="preserve"> the basis of</w:t>
      </w:r>
      <w:r w:rsidRPr="002F0E6F">
        <w:rPr>
          <w:lang w:val="en-AU"/>
        </w:rPr>
        <w:t xml:space="preserve"> a relevant property transaction.</w:t>
      </w:r>
      <w:r w:rsidR="00A73373" w:rsidRPr="002F0E6F">
        <w:rPr>
          <w:lang w:val="en-AU"/>
        </w:rPr>
        <w:t xml:space="preserve"> In addition, the making, not making or changing of binding death benefit nominations fall</w:t>
      </w:r>
      <w:r w:rsidR="00EE3CBA" w:rsidRPr="002F0E6F">
        <w:rPr>
          <w:lang w:val="en-AU"/>
        </w:rPr>
        <w:t>s</w:t>
      </w:r>
      <w:r w:rsidR="00A73373" w:rsidRPr="002F0E6F">
        <w:rPr>
          <w:lang w:val="en-AU"/>
        </w:rPr>
        <w:t xml:space="preserve"> within the definition of a relevant property transaction.</w:t>
      </w:r>
    </w:p>
    <w:p w14:paraId="6730488B" w14:textId="536D4C54" w:rsidR="00A73373" w:rsidRPr="002F0E6F" w:rsidRDefault="00045660" w:rsidP="001861F4">
      <w:pPr>
        <w:pStyle w:val="NormalNumberedTextTLRI"/>
        <w:rPr>
          <w:lang w:val="en-AU"/>
        </w:rPr>
      </w:pPr>
      <w:r w:rsidRPr="001861F4">
        <w:t>Problems</w:t>
      </w:r>
      <w:r w:rsidRPr="002F0E6F">
        <w:rPr>
          <w:lang w:val="en-AU"/>
        </w:rPr>
        <w:t xml:space="preserve"> in this area </w:t>
      </w:r>
      <w:r w:rsidR="00A72496" w:rsidRPr="002F0E6F">
        <w:rPr>
          <w:lang w:val="en-AU"/>
        </w:rPr>
        <w:t xml:space="preserve">often </w:t>
      </w:r>
      <w:r w:rsidRPr="002F0E6F">
        <w:rPr>
          <w:lang w:val="en-AU"/>
        </w:rPr>
        <w:t xml:space="preserve">arise in the context of self-managed superannuation funds as </w:t>
      </w:r>
      <w:r w:rsidR="00A72496" w:rsidRPr="002F0E6F">
        <w:rPr>
          <w:lang w:val="en-AU"/>
        </w:rPr>
        <w:t>was</w:t>
      </w:r>
      <w:r w:rsidRPr="002F0E6F">
        <w:rPr>
          <w:lang w:val="en-AU"/>
        </w:rPr>
        <w:t xml:space="preserve"> the case </w:t>
      </w:r>
      <w:r w:rsidR="00A72496" w:rsidRPr="002F0E6F">
        <w:rPr>
          <w:lang w:val="en-AU"/>
        </w:rPr>
        <w:t>in</w:t>
      </w:r>
      <w:r w:rsidRPr="002F0E6F">
        <w:rPr>
          <w:lang w:val="en-AU"/>
        </w:rPr>
        <w:t xml:space="preserve"> </w:t>
      </w:r>
      <w:r w:rsidRPr="002F0E6F">
        <w:rPr>
          <w:i/>
          <w:lang w:val="en-AU"/>
        </w:rPr>
        <w:t>Kelly v Deluc</w:t>
      </w:r>
      <w:r w:rsidR="00A73373" w:rsidRPr="002F0E6F">
        <w:rPr>
          <w:i/>
          <w:lang w:val="en-AU"/>
        </w:rPr>
        <w:t>c</w:t>
      </w:r>
      <w:r w:rsidRPr="002F0E6F">
        <w:rPr>
          <w:i/>
          <w:lang w:val="en-AU"/>
        </w:rPr>
        <w:t>hi</w:t>
      </w:r>
      <w:r w:rsidR="00C1054F">
        <w:rPr>
          <w:lang w:val="en-AU"/>
        </w:rPr>
        <w:t xml:space="preserve"> (‘</w:t>
      </w:r>
      <w:r w:rsidR="00C1054F">
        <w:rPr>
          <w:i/>
          <w:lang w:val="en-AU"/>
        </w:rPr>
        <w:t>Kelly</w:t>
      </w:r>
      <w:r w:rsidR="00C1054F">
        <w:rPr>
          <w:lang w:val="en-AU"/>
        </w:rPr>
        <w:t>’)</w:t>
      </w:r>
      <w:r w:rsidRPr="002F0E6F">
        <w:rPr>
          <w:lang w:val="en-AU"/>
        </w:rPr>
        <w:t>.</w:t>
      </w:r>
      <w:r w:rsidR="00D8626A" w:rsidRPr="001861F4">
        <w:rPr>
          <w:rStyle w:val="FootnoteReference"/>
          <w:rFonts w:eastAsiaTheme="minorHAnsi"/>
          <w:szCs w:val="24"/>
          <w:lang w:val="en-US"/>
        </w:rPr>
        <w:footnoteReference w:id="135"/>
      </w:r>
      <w:r w:rsidR="001861F4">
        <w:rPr>
          <w:lang w:val="en-AU"/>
        </w:rPr>
        <w:t xml:space="preserve"> </w:t>
      </w:r>
    </w:p>
    <w:p w14:paraId="425BF6A1" w14:textId="1C54A165" w:rsidR="00D260F8" w:rsidRPr="002F0E6F" w:rsidRDefault="00C1054F" w:rsidP="001861F4">
      <w:pPr>
        <w:pStyle w:val="NormalNumberedTextTLRI"/>
        <w:rPr>
          <w:b/>
          <w:lang w:val="en-AU"/>
        </w:rPr>
      </w:pPr>
      <w:r>
        <w:rPr>
          <w:lang w:val="en-AU"/>
        </w:rPr>
        <w:t xml:space="preserve">In </w:t>
      </w:r>
      <w:r>
        <w:rPr>
          <w:i/>
          <w:lang w:val="en-AU"/>
        </w:rPr>
        <w:t>Kelly</w:t>
      </w:r>
      <w:r>
        <w:rPr>
          <w:lang w:val="en-AU"/>
        </w:rPr>
        <w:t>,</w:t>
      </w:r>
      <w:r w:rsidRPr="002F0E6F">
        <w:rPr>
          <w:lang w:val="en-AU"/>
        </w:rPr>
        <w:t xml:space="preserve"> </w:t>
      </w:r>
      <w:r w:rsidR="00045660" w:rsidRPr="002F0E6F">
        <w:rPr>
          <w:lang w:val="en-AU"/>
        </w:rPr>
        <w:t>the deceased made a will leaving</w:t>
      </w:r>
      <w:r w:rsidR="00A73373" w:rsidRPr="002F0E6F">
        <w:rPr>
          <w:lang w:val="en-AU"/>
        </w:rPr>
        <w:t xml:space="preserve"> various </w:t>
      </w:r>
      <w:r w:rsidR="00AA3326" w:rsidRPr="002F0E6F">
        <w:rPr>
          <w:lang w:val="en-AU"/>
        </w:rPr>
        <w:t>cash gifts</w:t>
      </w:r>
      <w:r w:rsidR="00A73373" w:rsidRPr="002F0E6F">
        <w:rPr>
          <w:lang w:val="en-AU"/>
        </w:rPr>
        <w:t xml:space="preserve"> to his three children</w:t>
      </w:r>
      <w:r w:rsidR="00045660" w:rsidRPr="002F0E6F">
        <w:rPr>
          <w:lang w:val="en-AU"/>
        </w:rPr>
        <w:t xml:space="preserve">. </w:t>
      </w:r>
      <w:r w:rsidR="00EE3CBA" w:rsidRPr="002F0E6F">
        <w:rPr>
          <w:lang w:val="en-AU"/>
        </w:rPr>
        <w:t>His</w:t>
      </w:r>
      <w:r w:rsidR="00045660" w:rsidRPr="002F0E6F">
        <w:rPr>
          <w:lang w:val="en-AU"/>
        </w:rPr>
        <w:t xml:space="preserve"> will </w:t>
      </w:r>
      <w:r w:rsidR="00AA3326" w:rsidRPr="002F0E6F">
        <w:rPr>
          <w:lang w:val="en-AU"/>
        </w:rPr>
        <w:t>made</w:t>
      </w:r>
      <w:r w:rsidR="00045660" w:rsidRPr="002F0E6F">
        <w:rPr>
          <w:lang w:val="en-AU"/>
        </w:rPr>
        <w:t xml:space="preserve"> a further </w:t>
      </w:r>
      <w:r w:rsidR="00AA3326" w:rsidRPr="002F0E6F">
        <w:rPr>
          <w:lang w:val="en-AU"/>
        </w:rPr>
        <w:t>gift</w:t>
      </w:r>
      <w:r w:rsidR="00045660" w:rsidRPr="002F0E6F">
        <w:rPr>
          <w:lang w:val="en-AU"/>
        </w:rPr>
        <w:t xml:space="preserve"> </w:t>
      </w:r>
      <w:r w:rsidR="00045660" w:rsidRPr="001861F4">
        <w:t>to</w:t>
      </w:r>
      <w:r w:rsidR="00045660" w:rsidRPr="002F0E6F">
        <w:rPr>
          <w:lang w:val="en-AU"/>
        </w:rPr>
        <w:t xml:space="preserve"> a friend, </w:t>
      </w:r>
      <w:r w:rsidR="00884999" w:rsidRPr="002F0E6F">
        <w:rPr>
          <w:lang w:val="en-AU"/>
        </w:rPr>
        <w:t xml:space="preserve">left </w:t>
      </w:r>
      <w:r w:rsidR="00045660" w:rsidRPr="002F0E6F">
        <w:rPr>
          <w:lang w:val="en-AU"/>
        </w:rPr>
        <w:t xml:space="preserve">the proceeds of a life </w:t>
      </w:r>
      <w:r w:rsidR="00AA3326" w:rsidRPr="002F0E6F">
        <w:rPr>
          <w:lang w:val="en-AU"/>
        </w:rPr>
        <w:t xml:space="preserve">insurance </w:t>
      </w:r>
      <w:r w:rsidR="00045660" w:rsidRPr="002F0E6F">
        <w:rPr>
          <w:lang w:val="en-AU"/>
        </w:rPr>
        <w:t xml:space="preserve">policy to his grandchildren and the residue of his estate to his wife </w:t>
      </w:r>
      <w:r w:rsidR="00A73373" w:rsidRPr="002F0E6F">
        <w:rPr>
          <w:lang w:val="en-AU"/>
        </w:rPr>
        <w:t>(</w:t>
      </w:r>
      <w:r w:rsidR="00045660" w:rsidRPr="002F0E6F">
        <w:rPr>
          <w:lang w:val="en-AU"/>
        </w:rPr>
        <w:t>who was not the mother of his children</w:t>
      </w:r>
      <w:r w:rsidR="00A73373" w:rsidRPr="002F0E6F">
        <w:rPr>
          <w:lang w:val="en-AU"/>
        </w:rPr>
        <w:t>)</w:t>
      </w:r>
      <w:r w:rsidR="00045660" w:rsidRPr="002F0E6F">
        <w:rPr>
          <w:lang w:val="en-AU"/>
        </w:rPr>
        <w:t xml:space="preserve">. This distribution was frustrated by the size of the estate: it was not possible to pay the </w:t>
      </w:r>
      <w:r w:rsidR="00AA3326" w:rsidRPr="002F0E6F">
        <w:rPr>
          <w:lang w:val="en-AU"/>
        </w:rPr>
        <w:t>gifts</w:t>
      </w:r>
      <w:r w:rsidR="00045660" w:rsidRPr="002F0E6F">
        <w:rPr>
          <w:lang w:val="en-AU"/>
        </w:rPr>
        <w:t xml:space="preserve"> in full and as a result they abated rateably.</w:t>
      </w:r>
    </w:p>
    <w:p w14:paraId="5D115B2C" w14:textId="70D2CCCE" w:rsidR="00045660" w:rsidRPr="002F0E6F" w:rsidRDefault="00045660" w:rsidP="00C1054F">
      <w:pPr>
        <w:pStyle w:val="NormalNumberedTextTLRI"/>
      </w:pPr>
      <w:r w:rsidRPr="002F0E6F">
        <w:t xml:space="preserve">The deceased </w:t>
      </w:r>
      <w:r w:rsidR="00184FAE" w:rsidRPr="002F0E6F">
        <w:t xml:space="preserve">was </w:t>
      </w:r>
      <w:r w:rsidRPr="002F0E6F">
        <w:t>a member of a self-managed superannuation fund. Following the deceased’s death, his wife</w:t>
      </w:r>
      <w:r w:rsidR="00184FAE" w:rsidRPr="002F0E6F">
        <w:t>,</w:t>
      </w:r>
      <w:r w:rsidRPr="002F0E6F">
        <w:t xml:space="preserve"> in her capacity as sole director of the trustee company</w:t>
      </w:r>
      <w:r w:rsidR="00184FAE" w:rsidRPr="002F0E6F">
        <w:t>,</w:t>
      </w:r>
      <w:r w:rsidRPr="002F0E6F">
        <w:t xml:space="preserve"> presided at a general meeting where it was resolved to allocate the deceased’s death benefit to her. This resulted in the deceased’s children</w:t>
      </w:r>
      <w:r w:rsidR="004918E1" w:rsidRPr="002F0E6F">
        <w:t xml:space="preserve"> not receiving any of the death benefits</w:t>
      </w:r>
      <w:r w:rsidRPr="002F0E6F">
        <w:t>. The children made applications to the court as a result, and two of these, Peter and Michelle, went to hearing.</w:t>
      </w:r>
    </w:p>
    <w:p w14:paraId="1FC8A2AD" w14:textId="053C6CC7" w:rsidR="005F6AE9" w:rsidRPr="002F0E6F" w:rsidRDefault="005F6AE9" w:rsidP="00C1054F">
      <w:pPr>
        <w:pStyle w:val="NormalNumberedTextTLRI"/>
      </w:pPr>
      <w:r w:rsidRPr="002F0E6F">
        <w:t>Hallen AsJ had no difficulty in holding that the resolution was a relevant property transaction falling within s</w:t>
      </w:r>
      <w:r w:rsidR="002A4CA2" w:rsidRPr="002F0E6F">
        <w:t xml:space="preserve"> </w:t>
      </w:r>
      <w:r w:rsidRPr="002F0E6F">
        <w:t xml:space="preserve">75 of the </w:t>
      </w:r>
      <w:r w:rsidR="00AA3326" w:rsidRPr="002F0E6F">
        <w:t xml:space="preserve">NSW </w:t>
      </w:r>
      <w:r w:rsidR="00EE29FF" w:rsidRPr="00EE29FF">
        <w:rPr>
          <w:i/>
          <w:lang w:val="en-AU"/>
        </w:rPr>
        <w:t>Succession Act</w:t>
      </w:r>
      <w:r w:rsidRPr="002F0E6F">
        <w:t>. H</w:t>
      </w:r>
      <w:r w:rsidR="002A4CA2" w:rsidRPr="002F0E6F">
        <w:t>is Honour</w:t>
      </w:r>
      <w:r w:rsidRPr="002F0E6F">
        <w:t xml:space="preserve"> also held that s</w:t>
      </w:r>
      <w:r w:rsidR="002A4CA2" w:rsidRPr="002F0E6F">
        <w:t xml:space="preserve"> </w:t>
      </w:r>
      <w:r w:rsidRPr="002F0E6F">
        <w:t xml:space="preserve">83(1)(a) of the </w:t>
      </w:r>
      <w:r w:rsidR="00AA3326" w:rsidRPr="002F0E6F">
        <w:t xml:space="preserve">NSW </w:t>
      </w:r>
      <w:r w:rsidRPr="002F0E6F">
        <w:t xml:space="preserve">Act was satisfied in that the relevant property transaction directly disadvantaged each of the plaintiffs, each of whom were persons entitled to apply for a family provision order. Particularly, Hallen AsJ designated the property of the superannuation fund as notional estate to the extent that the actual estate was insufficient to meet the order for provision and costs. </w:t>
      </w:r>
    </w:p>
    <w:p w14:paraId="76537E42" w14:textId="0A89A94E" w:rsidR="005F6AE9" w:rsidRPr="002F0E6F" w:rsidRDefault="005F6AE9" w:rsidP="00A72496">
      <w:pPr>
        <w:pStyle w:val="Sub-HeadingTLRI"/>
        <w:rPr>
          <w:lang w:val="en-AU"/>
        </w:rPr>
      </w:pPr>
      <w:r w:rsidRPr="002F0E6F">
        <w:rPr>
          <w:lang w:val="en-AU"/>
        </w:rPr>
        <w:t xml:space="preserve">Joint </w:t>
      </w:r>
      <w:r w:rsidR="00BD6143">
        <w:rPr>
          <w:lang w:val="en-AU"/>
        </w:rPr>
        <w:t>t</w:t>
      </w:r>
      <w:r w:rsidRPr="002F0E6F">
        <w:rPr>
          <w:lang w:val="en-AU"/>
        </w:rPr>
        <w:t>enancies</w:t>
      </w:r>
    </w:p>
    <w:p w14:paraId="667730F4" w14:textId="69A210AC" w:rsidR="005F6AE9" w:rsidRPr="002F0E6F" w:rsidRDefault="00EF5F4F" w:rsidP="00897016">
      <w:pPr>
        <w:pStyle w:val="NormalNumberedTextTLRI"/>
        <w:rPr>
          <w:lang w:val="en-AU"/>
        </w:rPr>
      </w:pPr>
      <w:r w:rsidRPr="00897016">
        <w:t>Where</w:t>
      </w:r>
      <w:r w:rsidRPr="002F0E6F">
        <w:rPr>
          <w:lang w:val="en-AU"/>
        </w:rPr>
        <w:t xml:space="preserve"> the deceased is a joint tenant and does not sever the joint tenancy before death so that the right of survivorship operates to transmit their property to the other joint tenant</w:t>
      </w:r>
      <w:r w:rsidR="003B3E57" w:rsidRPr="002F0E6F">
        <w:rPr>
          <w:lang w:val="en-AU"/>
        </w:rPr>
        <w:t>(s)</w:t>
      </w:r>
      <w:r w:rsidRPr="002F0E6F">
        <w:rPr>
          <w:lang w:val="en-AU"/>
        </w:rPr>
        <w:t>, that can constitute the basis of a relevant property transaction.</w:t>
      </w:r>
      <w:r w:rsidR="003B3E57" w:rsidRPr="001861F4">
        <w:rPr>
          <w:rStyle w:val="FootnoteReference"/>
          <w:rFonts w:eastAsiaTheme="minorHAnsi"/>
          <w:szCs w:val="24"/>
          <w:lang w:val="en-US"/>
        </w:rPr>
        <w:footnoteReference w:id="136"/>
      </w:r>
    </w:p>
    <w:p w14:paraId="059DFE99" w14:textId="1CCEB5BD" w:rsidR="00D260F8" w:rsidRPr="002F0E6F" w:rsidRDefault="00EF5F4F" w:rsidP="003C4781">
      <w:pPr>
        <w:pStyle w:val="NormalNumberedTextTLRI"/>
        <w:rPr>
          <w:lang w:val="en-AU"/>
        </w:rPr>
      </w:pPr>
      <w:r w:rsidRPr="002F0E6F">
        <w:rPr>
          <w:lang w:val="en-AU"/>
        </w:rPr>
        <w:t xml:space="preserve">In </w:t>
      </w:r>
      <w:r w:rsidRPr="002F0E6F">
        <w:rPr>
          <w:i/>
          <w:lang w:val="en-AU"/>
        </w:rPr>
        <w:t>Cetojevic v Cetojevic</w:t>
      </w:r>
      <w:r w:rsidR="003B3E57" w:rsidRPr="001861F4">
        <w:rPr>
          <w:rStyle w:val="FootnoteReference"/>
          <w:rFonts w:eastAsiaTheme="minorHAnsi"/>
          <w:szCs w:val="24"/>
          <w:lang w:val="en-US"/>
        </w:rPr>
        <w:footnoteReference w:id="137"/>
      </w:r>
      <w:r w:rsidRPr="002F0E6F">
        <w:rPr>
          <w:lang w:val="en-AU"/>
        </w:rPr>
        <w:t xml:space="preserve"> (decided under the </w:t>
      </w:r>
      <w:r w:rsidR="00EE3CBA" w:rsidRPr="002F0E6F">
        <w:rPr>
          <w:lang w:val="en-AU"/>
        </w:rPr>
        <w:t xml:space="preserve">former </w:t>
      </w:r>
      <w:r w:rsidRPr="002F0E6F">
        <w:rPr>
          <w:i/>
          <w:lang w:val="en-AU"/>
        </w:rPr>
        <w:t>Family Provision Act</w:t>
      </w:r>
      <w:r w:rsidRPr="002F0E6F">
        <w:rPr>
          <w:lang w:val="en-AU"/>
        </w:rPr>
        <w:t>)</w:t>
      </w:r>
      <w:r w:rsidR="003B3E57" w:rsidRPr="002F0E6F">
        <w:rPr>
          <w:lang w:val="en-AU"/>
        </w:rPr>
        <w:t>,</w:t>
      </w:r>
      <w:r w:rsidRPr="002F0E6F">
        <w:rPr>
          <w:lang w:val="en-AU"/>
        </w:rPr>
        <w:t xml:space="preserve"> the deceased owned </w:t>
      </w:r>
      <w:r w:rsidRPr="003C4781">
        <w:t>property</w:t>
      </w:r>
      <w:r w:rsidRPr="002F0E6F">
        <w:rPr>
          <w:lang w:val="en-AU"/>
        </w:rPr>
        <w:t xml:space="preserve"> as a joint tenant with his parents. Following his death, his wife claimed</w:t>
      </w:r>
      <w:r w:rsidR="00FD7C9B" w:rsidRPr="002F0E6F">
        <w:rPr>
          <w:lang w:val="en-AU"/>
        </w:rPr>
        <w:t xml:space="preserve"> </w:t>
      </w:r>
      <w:r w:rsidRPr="002F0E6F">
        <w:rPr>
          <w:lang w:val="en-AU"/>
        </w:rPr>
        <w:t>provision</w:t>
      </w:r>
      <w:r w:rsidR="00FD7C9B" w:rsidRPr="002F0E6F">
        <w:rPr>
          <w:lang w:val="en-AU"/>
        </w:rPr>
        <w:t xml:space="preserve"> from his estate</w:t>
      </w:r>
      <w:r w:rsidRPr="002F0E6F">
        <w:rPr>
          <w:lang w:val="en-AU"/>
        </w:rPr>
        <w:t>. The question was whether the deceased’s interest as a joint tenant could be designated as notional estate.</w:t>
      </w:r>
    </w:p>
    <w:p w14:paraId="520299BC" w14:textId="149C010E" w:rsidR="00EF5F4F" w:rsidRPr="002F0E6F" w:rsidRDefault="00EF5F4F" w:rsidP="003C4781">
      <w:pPr>
        <w:pStyle w:val="NormalNumberedTextTLRI"/>
        <w:rPr>
          <w:lang w:val="en-AU"/>
        </w:rPr>
      </w:pPr>
      <w:r w:rsidRPr="002F0E6F">
        <w:rPr>
          <w:lang w:val="en-AU"/>
        </w:rPr>
        <w:lastRenderedPageBreak/>
        <w:t xml:space="preserve">The </w:t>
      </w:r>
      <w:r w:rsidR="009B63BC" w:rsidRPr="002F0E6F">
        <w:rPr>
          <w:lang w:val="en-AU"/>
        </w:rPr>
        <w:t xml:space="preserve">New South Wales </w:t>
      </w:r>
      <w:r w:rsidRPr="002F0E6F">
        <w:rPr>
          <w:lang w:val="en-AU"/>
        </w:rPr>
        <w:t xml:space="preserve">Court of Appeal upheld the original decision that the parents held one third of the proceeds of the </w:t>
      </w:r>
      <w:r w:rsidRPr="003C4781">
        <w:t>property</w:t>
      </w:r>
      <w:r w:rsidRPr="002F0E6F">
        <w:rPr>
          <w:lang w:val="en-AU"/>
        </w:rPr>
        <w:t xml:space="preserve"> on a constructive trust for the wife </w:t>
      </w:r>
      <w:r w:rsidR="00EE3CBA" w:rsidRPr="002F0E6F">
        <w:rPr>
          <w:lang w:val="en-AU"/>
        </w:rPr>
        <w:t>but</w:t>
      </w:r>
      <w:r w:rsidRPr="002F0E6F">
        <w:rPr>
          <w:lang w:val="en-AU"/>
        </w:rPr>
        <w:t xml:space="preserve"> went on to consider the notional estate question (although not strictly necessary following the c</w:t>
      </w:r>
      <w:r w:rsidR="002E23EC" w:rsidRPr="002F0E6F">
        <w:rPr>
          <w:lang w:val="en-AU"/>
        </w:rPr>
        <w:t xml:space="preserve">onstructive trust decision) because there had been conflicting decisions in </w:t>
      </w:r>
      <w:r w:rsidR="002E23EC" w:rsidRPr="002F0E6F">
        <w:rPr>
          <w:i/>
          <w:lang w:val="en-AU"/>
        </w:rPr>
        <w:t>Wade v Harding</w:t>
      </w:r>
      <w:r w:rsidR="00FD7C9B" w:rsidRPr="001861F4">
        <w:rPr>
          <w:rStyle w:val="FootnoteReference"/>
          <w:rFonts w:eastAsiaTheme="minorHAnsi"/>
          <w:szCs w:val="24"/>
          <w:lang w:val="en-US"/>
        </w:rPr>
        <w:footnoteReference w:id="138"/>
      </w:r>
      <w:r w:rsidR="002E23EC" w:rsidRPr="002F0E6F">
        <w:rPr>
          <w:lang w:val="en-AU"/>
        </w:rPr>
        <w:t xml:space="preserve"> and </w:t>
      </w:r>
      <w:r w:rsidR="002E23EC" w:rsidRPr="002F0E6F">
        <w:rPr>
          <w:i/>
          <w:lang w:val="en-AU"/>
        </w:rPr>
        <w:t>Cameron v Hills</w:t>
      </w:r>
      <w:r w:rsidR="002E23EC" w:rsidRPr="002F0E6F">
        <w:rPr>
          <w:lang w:val="en-AU"/>
        </w:rPr>
        <w:t>.</w:t>
      </w:r>
      <w:r w:rsidR="007B59A5" w:rsidRPr="001861F4">
        <w:rPr>
          <w:rStyle w:val="FootnoteReference"/>
          <w:rFonts w:eastAsiaTheme="minorHAnsi"/>
          <w:szCs w:val="24"/>
          <w:lang w:val="en-US"/>
        </w:rPr>
        <w:footnoteReference w:id="139"/>
      </w:r>
    </w:p>
    <w:p w14:paraId="48D0A9F9" w14:textId="46AE8645" w:rsidR="002E23EC" w:rsidRPr="002F0E6F" w:rsidRDefault="002E23EC" w:rsidP="00594730">
      <w:pPr>
        <w:pStyle w:val="NormalNumberedTextTLRI"/>
        <w:rPr>
          <w:lang w:val="en-AU"/>
        </w:rPr>
      </w:pPr>
      <w:r w:rsidRPr="00594730">
        <w:t>On</w:t>
      </w:r>
      <w:r w:rsidRPr="002F0E6F">
        <w:rPr>
          <w:lang w:val="en-AU"/>
        </w:rPr>
        <w:t xml:space="preserve"> the one hand, in</w:t>
      </w:r>
      <w:r w:rsidRPr="002F0E6F">
        <w:rPr>
          <w:i/>
          <w:lang w:val="en-AU"/>
        </w:rPr>
        <w:t xml:space="preserve"> Wade v Harding</w:t>
      </w:r>
      <w:r w:rsidRPr="002F0E6F">
        <w:rPr>
          <w:lang w:val="en-AU"/>
        </w:rPr>
        <w:t xml:space="preserve">, Young J had held that the failure by the deceased to sever a joint tenancy was not a prescribed transaction because, based on the evidence before him, there was an </w:t>
      </w:r>
      <w:r w:rsidR="00594730">
        <w:rPr>
          <w:lang w:val="en-AU"/>
        </w:rPr>
        <w:t>‘</w:t>
      </w:r>
      <w:r w:rsidRPr="002F0E6F">
        <w:rPr>
          <w:lang w:val="en-AU"/>
        </w:rPr>
        <w:t>even chance</w:t>
      </w:r>
      <w:r w:rsidR="00594730">
        <w:rPr>
          <w:lang w:val="en-AU"/>
        </w:rPr>
        <w:t>’</w:t>
      </w:r>
      <w:r w:rsidRPr="002F0E6F">
        <w:rPr>
          <w:lang w:val="en-AU"/>
        </w:rPr>
        <w:t xml:space="preserve"> that the other joint tenant might have died first. In that case the husband survived the wife by only 20 days. His Honour held that what was forgone in not severing the joint tenancy was received by continuing to be a joint tenant. In his view full valuable consideration was received.</w:t>
      </w:r>
    </w:p>
    <w:p w14:paraId="081585C9" w14:textId="3DFF4F81" w:rsidR="002E23EC" w:rsidRPr="002F0E6F" w:rsidRDefault="002E23EC" w:rsidP="00594730">
      <w:pPr>
        <w:pStyle w:val="NormalNumberedTextTLRI"/>
        <w:rPr>
          <w:lang w:val="en-AU"/>
        </w:rPr>
      </w:pPr>
      <w:r w:rsidRPr="002F0E6F">
        <w:rPr>
          <w:lang w:val="en-AU"/>
        </w:rPr>
        <w:t xml:space="preserve">In </w:t>
      </w:r>
      <w:r w:rsidRPr="002F0E6F">
        <w:rPr>
          <w:i/>
          <w:iCs/>
          <w:lang w:val="en-AU"/>
        </w:rPr>
        <w:t>Cameron v Hills</w:t>
      </w:r>
      <w:r w:rsidR="00FD7C9B" w:rsidRPr="002F0E6F">
        <w:rPr>
          <w:iCs/>
          <w:lang w:val="en-AU"/>
        </w:rPr>
        <w:t>,</w:t>
      </w:r>
      <w:r w:rsidRPr="002F0E6F">
        <w:rPr>
          <w:lang w:val="en-AU"/>
        </w:rPr>
        <w:t xml:space="preserve"> Needham J disagreed with the view expressed by Young J. In his </w:t>
      </w:r>
      <w:r w:rsidR="00FD7C9B" w:rsidRPr="002F0E6F">
        <w:rPr>
          <w:lang w:val="en-AU"/>
        </w:rPr>
        <w:t xml:space="preserve">Honour’s </w:t>
      </w:r>
      <w:r w:rsidRPr="002F0E6F">
        <w:rPr>
          <w:lang w:val="en-AU"/>
        </w:rPr>
        <w:t>view, because the court had to consider the matter immediately before the death of the deceased</w:t>
      </w:r>
      <w:r w:rsidR="00594730">
        <w:rPr>
          <w:lang w:val="en-AU"/>
        </w:rPr>
        <w:t>,</w:t>
      </w:r>
      <w:r w:rsidRPr="002F0E6F">
        <w:rPr>
          <w:lang w:val="en-AU"/>
        </w:rPr>
        <w:t xml:space="preserve"> he could not see how a joint tenant about to die immediately can be said to have an equal chance of surviving the joint tenant. The Court of Appeal in </w:t>
      </w:r>
      <w:r w:rsidRPr="002F0E6F">
        <w:rPr>
          <w:i/>
          <w:iCs/>
          <w:lang w:val="en-AU"/>
        </w:rPr>
        <w:t>Cetojevic</w:t>
      </w:r>
      <w:r w:rsidRPr="002F0E6F">
        <w:rPr>
          <w:lang w:val="en-AU"/>
        </w:rPr>
        <w:t xml:space="preserve"> unanimously preferred the approach of Needham J.</w:t>
      </w:r>
    </w:p>
    <w:p w14:paraId="45B145EA" w14:textId="2A0F69B5" w:rsidR="00A72496" w:rsidRPr="002F0E6F" w:rsidRDefault="002E23EC" w:rsidP="00594730">
      <w:pPr>
        <w:pStyle w:val="NormalNumberedTextTLRI"/>
        <w:rPr>
          <w:lang w:val="en-AU"/>
        </w:rPr>
      </w:pPr>
      <w:r w:rsidRPr="002F0E6F">
        <w:rPr>
          <w:lang w:val="en-AU"/>
        </w:rPr>
        <w:t xml:space="preserve">This being the case, the </w:t>
      </w:r>
      <w:r w:rsidRPr="00594730">
        <w:t>decision</w:t>
      </w:r>
      <w:r w:rsidRPr="002F0E6F">
        <w:rPr>
          <w:lang w:val="en-AU"/>
        </w:rPr>
        <w:t xml:space="preserve"> to remain a joint tenant cannot be said to be ‘valuable consideration’ for the purposes of determining that no prescribed transaction </w:t>
      </w:r>
      <w:r w:rsidR="00FD7C9B" w:rsidRPr="002F0E6F">
        <w:rPr>
          <w:lang w:val="en-AU"/>
        </w:rPr>
        <w:t xml:space="preserve">(or under the current wording of the NSW </w:t>
      </w:r>
      <w:r w:rsidR="00EE29FF" w:rsidRPr="00EE29FF">
        <w:rPr>
          <w:i/>
          <w:lang w:val="en-AU"/>
        </w:rPr>
        <w:t>Succession Act</w:t>
      </w:r>
      <w:r w:rsidR="00FD7C9B" w:rsidRPr="002F0E6F">
        <w:rPr>
          <w:lang w:val="en-AU"/>
        </w:rPr>
        <w:t xml:space="preserve">, a ‘relevant property transaction’) </w:t>
      </w:r>
      <w:r w:rsidRPr="002F0E6F">
        <w:rPr>
          <w:lang w:val="en-AU"/>
        </w:rPr>
        <w:t>has been made.</w:t>
      </w:r>
    </w:p>
    <w:p w14:paraId="4C9E8238" w14:textId="0178AA7A" w:rsidR="002E23EC" w:rsidRPr="002F0E6F" w:rsidRDefault="002E23EC"/>
    <w:p w14:paraId="77F68ECF" w14:textId="77777777" w:rsidR="002E23EC" w:rsidRPr="002F0E6F" w:rsidRDefault="002E23EC"/>
    <w:p w14:paraId="48D18DB0" w14:textId="77777777" w:rsidR="002E23EC" w:rsidRPr="002F0E6F" w:rsidRDefault="002E23EC"/>
    <w:p w14:paraId="4EDA25D1" w14:textId="77777777" w:rsidR="00594730" w:rsidRDefault="00594730">
      <w:pPr>
        <w:sectPr w:rsidR="00594730" w:rsidSect="000F2AEC">
          <w:headerReference w:type="even" r:id="rId57"/>
          <w:headerReference w:type="default" r:id="rId58"/>
          <w:headerReference w:type="first" r:id="rId59"/>
          <w:pgSz w:w="11906" w:h="16838" w:code="9"/>
          <w:pgMar w:top="1440" w:right="1440" w:bottom="1440" w:left="1440" w:header="709" w:footer="709" w:gutter="0"/>
          <w:cols w:space="708"/>
          <w:titlePg/>
          <w:docGrid w:linePitch="360"/>
        </w:sectPr>
      </w:pPr>
    </w:p>
    <w:p w14:paraId="37B3B1FA" w14:textId="77777777" w:rsidR="00331DDB" w:rsidRPr="002F0E6F" w:rsidRDefault="00331DDB" w:rsidP="000D0DD1">
      <w:pPr>
        <w:pStyle w:val="PartNoTLRI"/>
        <w:ind w:left="0" w:firstLine="0"/>
        <w:rPr>
          <w:lang w:val="en-AU"/>
        </w:rPr>
      </w:pPr>
      <w:bookmarkStart w:id="65" w:name="_Toc2256873"/>
      <w:bookmarkEnd w:id="65"/>
    </w:p>
    <w:p w14:paraId="0E85AB8B" w14:textId="3DE023D3" w:rsidR="002C3DFE" w:rsidRPr="002F0E6F" w:rsidRDefault="00103598" w:rsidP="00594730">
      <w:pPr>
        <w:pStyle w:val="PartHeadingTLRI"/>
      </w:pPr>
      <w:bookmarkStart w:id="66" w:name="_Toc2256874"/>
      <w:r w:rsidRPr="002F0E6F">
        <w:t>Options for Reform</w:t>
      </w:r>
      <w:bookmarkEnd w:id="66"/>
    </w:p>
    <w:p w14:paraId="1D571C37" w14:textId="3991B44A" w:rsidR="002F108C" w:rsidRPr="002F0E6F" w:rsidRDefault="002F108C" w:rsidP="00E60B10">
      <w:pPr>
        <w:pStyle w:val="NumberedHeadingTLRI"/>
        <w:rPr>
          <w:lang w:val="en-AU"/>
        </w:rPr>
      </w:pPr>
      <w:bookmarkStart w:id="67" w:name="_Toc2256875"/>
      <w:r w:rsidRPr="002F0E6F">
        <w:rPr>
          <w:lang w:val="en-AU"/>
        </w:rPr>
        <w:t>Introduction</w:t>
      </w:r>
      <w:bookmarkEnd w:id="67"/>
    </w:p>
    <w:p w14:paraId="4D2045B0" w14:textId="749F3BC9" w:rsidR="00F2760A" w:rsidRPr="002F0E6F" w:rsidRDefault="00457120" w:rsidP="00B85A8A">
      <w:pPr>
        <w:pStyle w:val="NormalNumberedTextTLRI"/>
        <w:rPr>
          <w:lang w:val="en-AU"/>
        </w:rPr>
      </w:pPr>
      <w:r w:rsidRPr="00B85A8A">
        <w:t>Testamentary</w:t>
      </w:r>
      <w:r w:rsidRPr="002F0E6F">
        <w:rPr>
          <w:lang w:val="en-AU"/>
        </w:rPr>
        <w:t xml:space="preserve"> freedom is an issue close to </w:t>
      </w:r>
      <w:r w:rsidR="005A7B78" w:rsidRPr="002F0E6F">
        <w:rPr>
          <w:lang w:val="en-AU"/>
        </w:rPr>
        <w:t>many</w:t>
      </w:r>
      <w:r w:rsidR="00F2760A" w:rsidRPr="002F0E6F">
        <w:rPr>
          <w:lang w:val="en-AU"/>
        </w:rPr>
        <w:t xml:space="preserve">. </w:t>
      </w:r>
      <w:r w:rsidR="00581BCB" w:rsidRPr="002F0E6F">
        <w:rPr>
          <w:lang w:val="en-AU"/>
        </w:rPr>
        <w:t>Individuals</w:t>
      </w:r>
      <w:r w:rsidR="00F2760A" w:rsidRPr="002F0E6F">
        <w:rPr>
          <w:lang w:val="en-AU"/>
        </w:rPr>
        <w:t xml:space="preserve"> </w:t>
      </w:r>
      <w:r w:rsidR="00E72B64" w:rsidRPr="002F0E6F">
        <w:rPr>
          <w:lang w:val="en-AU"/>
        </w:rPr>
        <w:t>want</w:t>
      </w:r>
      <w:r w:rsidR="00F2760A" w:rsidRPr="002F0E6F">
        <w:rPr>
          <w:lang w:val="en-AU"/>
        </w:rPr>
        <w:t xml:space="preserve"> the freedom to direct </w:t>
      </w:r>
      <w:r w:rsidR="00E80384" w:rsidRPr="002F0E6F">
        <w:rPr>
          <w:lang w:val="en-AU"/>
        </w:rPr>
        <w:t>what happens to</w:t>
      </w:r>
      <w:r w:rsidR="00F2760A" w:rsidRPr="002F0E6F">
        <w:rPr>
          <w:lang w:val="en-AU"/>
        </w:rPr>
        <w:t xml:space="preserve"> their assets, and the reason for wanting this basic freedom is simply the essence of property: ‘if I own this thing I should have the freedom to dispose of it in the way I want’.</w:t>
      </w:r>
    </w:p>
    <w:p w14:paraId="4EECBCFD" w14:textId="6D048099" w:rsidR="002C3DFE" w:rsidRPr="002F0E6F" w:rsidRDefault="00E72B64" w:rsidP="00B85A8A">
      <w:pPr>
        <w:pStyle w:val="NormalNumberedTextTLRI"/>
        <w:rPr>
          <w:lang w:val="en-AU"/>
        </w:rPr>
      </w:pPr>
      <w:r w:rsidRPr="00B85A8A">
        <w:t>Australia</w:t>
      </w:r>
      <w:r w:rsidRPr="002F0E6F">
        <w:rPr>
          <w:lang w:val="en-AU"/>
        </w:rPr>
        <w:t xml:space="preserve"> has tried to find a balance</w:t>
      </w:r>
      <w:r w:rsidR="00F2760A" w:rsidRPr="002F0E6F">
        <w:rPr>
          <w:lang w:val="en-AU"/>
        </w:rPr>
        <w:t xml:space="preserve"> between allowing a certain amount of freedom of testation and denying total freedom of testati</w:t>
      </w:r>
      <w:r w:rsidR="00C90EFC" w:rsidRPr="002F0E6F">
        <w:rPr>
          <w:lang w:val="en-AU"/>
        </w:rPr>
        <w:t xml:space="preserve">on. One </w:t>
      </w:r>
      <w:r w:rsidR="00F2760A" w:rsidRPr="002F0E6F">
        <w:rPr>
          <w:lang w:val="en-AU"/>
        </w:rPr>
        <w:t>reason for this is that, in the ca</w:t>
      </w:r>
      <w:r w:rsidR="00C90EFC" w:rsidRPr="002F0E6F">
        <w:rPr>
          <w:lang w:val="en-AU"/>
        </w:rPr>
        <w:t xml:space="preserve">se of dependants of </w:t>
      </w:r>
      <w:r w:rsidRPr="002F0E6F">
        <w:rPr>
          <w:lang w:val="en-AU"/>
        </w:rPr>
        <w:t>a</w:t>
      </w:r>
      <w:r w:rsidR="00C90EFC" w:rsidRPr="002F0E6F">
        <w:rPr>
          <w:lang w:val="en-AU"/>
        </w:rPr>
        <w:t xml:space="preserve"> deceased</w:t>
      </w:r>
      <w:r w:rsidR="00F2760A" w:rsidRPr="002F0E6F">
        <w:rPr>
          <w:lang w:val="en-AU"/>
        </w:rPr>
        <w:t>, there is no good reason why the taxpayer should bear the burden of support when that support could have</w:t>
      </w:r>
      <w:r w:rsidR="00C90EFC" w:rsidRPr="002F0E6F">
        <w:rPr>
          <w:lang w:val="en-AU"/>
        </w:rPr>
        <w:t xml:space="preserve"> been provided from the deceased</w:t>
      </w:r>
      <w:r w:rsidR="00F2760A" w:rsidRPr="002F0E6F">
        <w:rPr>
          <w:lang w:val="en-AU"/>
        </w:rPr>
        <w:t>’s estate.</w:t>
      </w:r>
      <w:r w:rsidRPr="002F0E6F">
        <w:rPr>
          <w:lang w:val="en-AU"/>
        </w:rPr>
        <w:t xml:space="preserve"> </w:t>
      </w:r>
      <w:r w:rsidR="00F2760A" w:rsidRPr="002F0E6F">
        <w:rPr>
          <w:lang w:val="en-AU"/>
        </w:rPr>
        <w:t>As a result</w:t>
      </w:r>
      <w:r w:rsidRPr="002F0E6F">
        <w:rPr>
          <w:lang w:val="en-AU"/>
        </w:rPr>
        <w:t>,</w:t>
      </w:r>
      <w:r w:rsidR="00F2760A" w:rsidRPr="002F0E6F">
        <w:rPr>
          <w:lang w:val="en-AU"/>
        </w:rPr>
        <w:t xml:space="preserve"> </w:t>
      </w:r>
      <w:r w:rsidR="007F482D" w:rsidRPr="002F0E6F">
        <w:rPr>
          <w:lang w:val="en-AU"/>
        </w:rPr>
        <w:t>TFM</w:t>
      </w:r>
      <w:r w:rsidR="00F2760A" w:rsidRPr="002F0E6F">
        <w:rPr>
          <w:lang w:val="en-AU"/>
        </w:rPr>
        <w:t xml:space="preserve"> legislation has been introduced </w:t>
      </w:r>
      <w:r w:rsidRPr="002F0E6F">
        <w:rPr>
          <w:lang w:val="en-AU"/>
        </w:rPr>
        <w:t xml:space="preserve">to </w:t>
      </w:r>
      <w:r w:rsidR="00F2760A" w:rsidRPr="002F0E6F">
        <w:rPr>
          <w:lang w:val="en-AU"/>
        </w:rPr>
        <w:t>limit freedom of testation, but only in relation to</w:t>
      </w:r>
      <w:r w:rsidR="00DF7A43" w:rsidRPr="002F0E6F">
        <w:rPr>
          <w:lang w:val="en-AU"/>
        </w:rPr>
        <w:t xml:space="preserve"> defined</w:t>
      </w:r>
      <w:r w:rsidR="00F2760A" w:rsidRPr="002F0E6F">
        <w:rPr>
          <w:lang w:val="en-AU"/>
        </w:rPr>
        <w:t xml:space="preserve"> dependants of the </w:t>
      </w:r>
      <w:r w:rsidRPr="002F0E6F">
        <w:rPr>
          <w:lang w:val="en-AU"/>
        </w:rPr>
        <w:t>deceased</w:t>
      </w:r>
      <w:r w:rsidR="00F2760A" w:rsidRPr="002F0E6F">
        <w:rPr>
          <w:lang w:val="en-AU"/>
        </w:rPr>
        <w:t xml:space="preserve"> and </w:t>
      </w:r>
      <w:r w:rsidRPr="002F0E6F">
        <w:rPr>
          <w:lang w:val="en-AU"/>
        </w:rPr>
        <w:t xml:space="preserve">only if a court considers that an applicant has been left without adequate provision for their proper maintenance and support in the circumstances. </w:t>
      </w:r>
    </w:p>
    <w:p w14:paraId="3183ACEA" w14:textId="1583F756" w:rsidR="00E83D67" w:rsidRPr="002F0E6F" w:rsidRDefault="00864353" w:rsidP="00B85A8A">
      <w:pPr>
        <w:pStyle w:val="NormalNumberedTextTLRI"/>
        <w:rPr>
          <w:lang w:val="en-AU"/>
        </w:rPr>
      </w:pPr>
      <w:r w:rsidRPr="00B85A8A">
        <w:t>Notional</w:t>
      </w:r>
      <w:r w:rsidRPr="002F0E6F">
        <w:rPr>
          <w:lang w:val="en-AU"/>
        </w:rPr>
        <w:t xml:space="preserve"> estate legislation works with </w:t>
      </w:r>
      <w:r w:rsidR="007F482D" w:rsidRPr="002F0E6F">
        <w:rPr>
          <w:lang w:val="en-AU"/>
        </w:rPr>
        <w:t>TFM</w:t>
      </w:r>
      <w:r w:rsidRPr="002F0E6F">
        <w:rPr>
          <w:lang w:val="en-AU"/>
        </w:rPr>
        <w:t xml:space="preserve"> legislation </w:t>
      </w:r>
      <w:r w:rsidR="00B85A8A">
        <w:rPr>
          <w:lang w:val="en-AU"/>
        </w:rPr>
        <w:t>—</w:t>
      </w:r>
      <w:r w:rsidRPr="002F0E6F">
        <w:rPr>
          <w:lang w:val="en-AU"/>
        </w:rPr>
        <w:t xml:space="preserve"> that is, only </w:t>
      </w:r>
      <w:r w:rsidRPr="002F0E6F">
        <w:rPr>
          <w:i/>
          <w:lang w:val="en-AU"/>
        </w:rPr>
        <w:t xml:space="preserve">after </w:t>
      </w:r>
      <w:r w:rsidRPr="002F0E6F">
        <w:rPr>
          <w:lang w:val="en-AU"/>
        </w:rPr>
        <w:t xml:space="preserve">the courts have decided that </w:t>
      </w:r>
      <w:r w:rsidR="00D23AF8" w:rsidRPr="002F0E6F">
        <w:rPr>
          <w:lang w:val="en-AU"/>
        </w:rPr>
        <w:t xml:space="preserve">a TFM application should be allowed does the question of where </w:t>
      </w:r>
      <w:r w:rsidR="00E72B64" w:rsidRPr="002F0E6F">
        <w:rPr>
          <w:lang w:val="en-AU"/>
        </w:rPr>
        <w:t>provision</w:t>
      </w:r>
      <w:r w:rsidR="00D23AF8" w:rsidRPr="002F0E6F">
        <w:rPr>
          <w:lang w:val="en-AU"/>
        </w:rPr>
        <w:t xml:space="preserve"> should come from arise. In other words, </w:t>
      </w:r>
      <w:r w:rsidR="00E72B64" w:rsidRPr="002F0E6F">
        <w:rPr>
          <w:lang w:val="en-AU"/>
        </w:rPr>
        <w:t>Australia has</w:t>
      </w:r>
      <w:r w:rsidR="00D23AF8" w:rsidRPr="002F0E6F">
        <w:rPr>
          <w:lang w:val="en-AU"/>
        </w:rPr>
        <w:t xml:space="preserve"> already accepted limited freedom of testation with the </w:t>
      </w:r>
      <w:r w:rsidR="00E72B64" w:rsidRPr="002F0E6F">
        <w:rPr>
          <w:lang w:val="en-AU"/>
        </w:rPr>
        <w:t>introduction of</w:t>
      </w:r>
      <w:r w:rsidR="00D23AF8" w:rsidRPr="002F0E6F">
        <w:rPr>
          <w:lang w:val="en-AU"/>
        </w:rPr>
        <w:t xml:space="preserve"> TFM legislation. Notional estate legislation merely broadens the asset base available </w:t>
      </w:r>
      <w:r w:rsidR="00E72B64" w:rsidRPr="002F0E6F">
        <w:rPr>
          <w:lang w:val="en-AU"/>
        </w:rPr>
        <w:t>to</w:t>
      </w:r>
      <w:r w:rsidR="00D23AF8" w:rsidRPr="002F0E6F">
        <w:rPr>
          <w:lang w:val="en-AU"/>
        </w:rPr>
        <w:t xml:space="preserve"> satisf</w:t>
      </w:r>
      <w:r w:rsidR="00E72B64" w:rsidRPr="002F0E6F">
        <w:rPr>
          <w:lang w:val="en-AU"/>
        </w:rPr>
        <w:t xml:space="preserve">y an </w:t>
      </w:r>
      <w:r w:rsidR="00D23AF8" w:rsidRPr="002F0E6F">
        <w:rPr>
          <w:lang w:val="en-AU"/>
        </w:rPr>
        <w:t>or</w:t>
      </w:r>
      <w:r w:rsidR="00E83D67" w:rsidRPr="002F0E6F">
        <w:rPr>
          <w:lang w:val="en-AU"/>
        </w:rPr>
        <w:t>der. In that way</w:t>
      </w:r>
      <w:r w:rsidR="00E72B64" w:rsidRPr="002F0E6F">
        <w:rPr>
          <w:lang w:val="en-AU"/>
        </w:rPr>
        <w:t>,</w:t>
      </w:r>
      <w:r w:rsidR="00E83D67" w:rsidRPr="002F0E6F">
        <w:rPr>
          <w:lang w:val="en-AU"/>
        </w:rPr>
        <w:t xml:space="preserve"> </w:t>
      </w:r>
      <w:r w:rsidR="00E72B64" w:rsidRPr="002F0E6F">
        <w:rPr>
          <w:lang w:val="en-AU"/>
        </w:rPr>
        <w:t xml:space="preserve">notional estate </w:t>
      </w:r>
      <w:r w:rsidR="00DF3638" w:rsidRPr="002F0E6F">
        <w:rPr>
          <w:lang w:val="en-AU"/>
        </w:rPr>
        <w:t>laws</w:t>
      </w:r>
      <w:r w:rsidR="00E72B64" w:rsidRPr="002F0E6F">
        <w:rPr>
          <w:lang w:val="en-AU"/>
        </w:rPr>
        <w:t xml:space="preserve"> are effectively</w:t>
      </w:r>
      <w:r w:rsidR="00E83D67" w:rsidRPr="002F0E6F">
        <w:rPr>
          <w:lang w:val="en-AU"/>
        </w:rPr>
        <w:t xml:space="preserve"> ‘anti-avoidance</w:t>
      </w:r>
      <w:r w:rsidR="00E72B64" w:rsidRPr="002F0E6F">
        <w:rPr>
          <w:lang w:val="en-AU"/>
        </w:rPr>
        <w:t>’</w:t>
      </w:r>
      <w:r w:rsidR="00E83D67" w:rsidRPr="002F0E6F">
        <w:rPr>
          <w:lang w:val="en-AU"/>
        </w:rPr>
        <w:t xml:space="preserve"> </w:t>
      </w:r>
      <w:r w:rsidR="00E72B64" w:rsidRPr="002F0E6F">
        <w:rPr>
          <w:lang w:val="en-AU"/>
        </w:rPr>
        <w:t xml:space="preserve">provisions intended to complement </w:t>
      </w:r>
      <w:r w:rsidR="00E80384" w:rsidRPr="002F0E6F">
        <w:rPr>
          <w:lang w:val="en-AU"/>
        </w:rPr>
        <w:t>existing</w:t>
      </w:r>
      <w:r w:rsidR="00E72B64" w:rsidRPr="002F0E6F">
        <w:rPr>
          <w:lang w:val="en-AU"/>
        </w:rPr>
        <w:t xml:space="preserve"> legislation</w:t>
      </w:r>
      <w:r w:rsidR="00E83D67" w:rsidRPr="002F0E6F">
        <w:rPr>
          <w:lang w:val="en-AU"/>
        </w:rPr>
        <w:t>.</w:t>
      </w:r>
    </w:p>
    <w:p w14:paraId="238D4B33" w14:textId="7213B710" w:rsidR="00223346" w:rsidRPr="002F0E6F" w:rsidRDefault="007F482D" w:rsidP="00FC5CA9">
      <w:pPr>
        <w:pStyle w:val="NormalNumberedTextTLRI"/>
        <w:rPr>
          <w:lang w:val="en-AU"/>
        </w:rPr>
      </w:pPr>
      <w:r w:rsidRPr="002F0E6F">
        <w:rPr>
          <w:lang w:val="en-AU"/>
        </w:rPr>
        <w:t xml:space="preserve">The Institute has been asked to provide advice to the State Government about whether Tasmania should introduce notional estate provisions. </w:t>
      </w:r>
      <w:r w:rsidR="00FD7C9B" w:rsidRPr="002F0E6F">
        <w:rPr>
          <w:lang w:val="en-AU"/>
        </w:rPr>
        <w:t xml:space="preserve">Part 2 explained that </w:t>
      </w:r>
      <w:r w:rsidRPr="002F0E6F">
        <w:rPr>
          <w:lang w:val="en-AU"/>
        </w:rPr>
        <w:t xml:space="preserve">only assets in a person’s ‘estate’ can be claimed in an application under the </w:t>
      </w:r>
      <w:r w:rsidR="00F148E9" w:rsidRPr="00F148E9">
        <w:rPr>
          <w:i/>
          <w:lang w:val="en-AU"/>
        </w:rPr>
        <w:t xml:space="preserve">TFM </w:t>
      </w:r>
      <w:r w:rsidRPr="00F148E9">
        <w:rPr>
          <w:i/>
          <w:lang w:val="en-AU"/>
        </w:rPr>
        <w:t>Act</w:t>
      </w:r>
      <w:r w:rsidR="00FD7C9B" w:rsidRPr="002F0E6F">
        <w:rPr>
          <w:lang w:val="en-AU"/>
        </w:rPr>
        <w:t xml:space="preserve">. Part 3 </w:t>
      </w:r>
      <w:r w:rsidRPr="002F0E6F">
        <w:rPr>
          <w:lang w:val="en-AU"/>
        </w:rPr>
        <w:t>summarised</w:t>
      </w:r>
      <w:r w:rsidR="00FD7C9B" w:rsidRPr="002F0E6F">
        <w:rPr>
          <w:lang w:val="en-AU"/>
        </w:rPr>
        <w:t xml:space="preserve"> the development of notional estate laws and previous views expressed </w:t>
      </w:r>
      <w:r w:rsidRPr="002F0E6F">
        <w:rPr>
          <w:lang w:val="en-AU"/>
        </w:rPr>
        <w:t>about the</w:t>
      </w:r>
      <w:r w:rsidR="00FD7C9B" w:rsidRPr="002F0E6F">
        <w:rPr>
          <w:lang w:val="en-AU"/>
        </w:rPr>
        <w:t xml:space="preserve"> potential </w:t>
      </w:r>
      <w:r w:rsidRPr="002F0E6F">
        <w:rPr>
          <w:lang w:val="en-AU"/>
        </w:rPr>
        <w:t>expansion</w:t>
      </w:r>
      <w:r w:rsidR="00FD7C9B" w:rsidRPr="002F0E6F">
        <w:rPr>
          <w:lang w:val="en-AU"/>
        </w:rPr>
        <w:t xml:space="preserve"> of these laws to </w:t>
      </w:r>
      <w:r w:rsidRPr="002F0E6F">
        <w:rPr>
          <w:lang w:val="en-AU"/>
        </w:rPr>
        <w:t xml:space="preserve">other Australian </w:t>
      </w:r>
      <w:r w:rsidR="00FD7C9B" w:rsidRPr="002F0E6F">
        <w:rPr>
          <w:lang w:val="en-AU"/>
        </w:rPr>
        <w:t xml:space="preserve">jurisdictions </w:t>
      </w:r>
      <w:r w:rsidRPr="002F0E6F">
        <w:rPr>
          <w:lang w:val="en-AU"/>
        </w:rPr>
        <w:t>beyond</w:t>
      </w:r>
      <w:r w:rsidR="00FD7C9B" w:rsidRPr="002F0E6F">
        <w:rPr>
          <w:lang w:val="en-AU"/>
        </w:rPr>
        <w:t xml:space="preserve"> New South Wales. Part 4 </w:t>
      </w:r>
      <w:r w:rsidRPr="002F0E6F">
        <w:rPr>
          <w:lang w:val="en-AU"/>
        </w:rPr>
        <w:t>outlined</w:t>
      </w:r>
      <w:r w:rsidR="00FD7C9B" w:rsidRPr="002F0E6F">
        <w:rPr>
          <w:lang w:val="en-AU"/>
        </w:rPr>
        <w:t xml:space="preserve"> the notional estate provisions that apply in New South Wales</w:t>
      </w:r>
      <w:r w:rsidRPr="002F0E6F">
        <w:rPr>
          <w:lang w:val="en-AU"/>
        </w:rPr>
        <w:t xml:space="preserve"> to extend the notion of a person’s estate to assets that would otherwise not fall within an estate. </w:t>
      </w:r>
      <w:r w:rsidR="00E72B64" w:rsidRPr="002F0E6F">
        <w:rPr>
          <w:lang w:val="en-AU"/>
        </w:rPr>
        <w:t>T</w:t>
      </w:r>
      <w:r w:rsidR="00223346" w:rsidRPr="002F0E6F">
        <w:rPr>
          <w:lang w:val="en-AU"/>
        </w:rPr>
        <w:t xml:space="preserve">his </w:t>
      </w:r>
      <w:r w:rsidR="00FC5CA9">
        <w:rPr>
          <w:lang w:val="en-AU"/>
        </w:rPr>
        <w:t>P</w:t>
      </w:r>
      <w:r w:rsidR="00E72B64" w:rsidRPr="002F0E6F">
        <w:rPr>
          <w:lang w:val="en-AU"/>
        </w:rPr>
        <w:t>a</w:t>
      </w:r>
      <w:r w:rsidR="001E64E7" w:rsidRPr="002F0E6F">
        <w:rPr>
          <w:lang w:val="en-AU"/>
        </w:rPr>
        <w:t>rt</w:t>
      </w:r>
      <w:r w:rsidR="00EC138A" w:rsidRPr="002F0E6F">
        <w:rPr>
          <w:lang w:val="en-AU"/>
        </w:rPr>
        <w:t xml:space="preserve"> ask</w:t>
      </w:r>
      <w:r w:rsidR="001E64E7" w:rsidRPr="002F0E6F">
        <w:rPr>
          <w:lang w:val="en-AU"/>
        </w:rPr>
        <w:t>s</w:t>
      </w:r>
      <w:r w:rsidR="00EC138A" w:rsidRPr="002F0E6F">
        <w:rPr>
          <w:lang w:val="en-AU"/>
        </w:rPr>
        <w:t xml:space="preserve"> </w:t>
      </w:r>
      <w:r w:rsidR="001E64E7" w:rsidRPr="002F0E6F">
        <w:rPr>
          <w:lang w:val="en-AU"/>
        </w:rPr>
        <w:t>a series of questions to ascertain the degree of community support for introduction of</w:t>
      </w:r>
      <w:r w:rsidR="00EC138A" w:rsidRPr="002F0E6F">
        <w:rPr>
          <w:lang w:val="en-AU"/>
        </w:rPr>
        <w:t xml:space="preserve"> </w:t>
      </w:r>
      <w:r w:rsidR="001E64E7" w:rsidRPr="002F0E6F">
        <w:rPr>
          <w:lang w:val="en-AU"/>
        </w:rPr>
        <w:t>notional estate legislation in Tasmania</w:t>
      </w:r>
      <w:r w:rsidR="00EA55E9" w:rsidRPr="002F0E6F">
        <w:rPr>
          <w:lang w:val="en-AU"/>
        </w:rPr>
        <w:t xml:space="preserve"> and the perceived advantages and disadvantages of each option.</w:t>
      </w:r>
    </w:p>
    <w:p w14:paraId="632E5394" w14:textId="2E8A9EAA" w:rsidR="00477464" w:rsidRPr="002F0E6F" w:rsidRDefault="00477464" w:rsidP="001E64E7">
      <w:pPr>
        <w:pStyle w:val="NumberedHeadingTLRI"/>
        <w:rPr>
          <w:lang w:val="en-AU"/>
        </w:rPr>
      </w:pPr>
      <w:bookmarkStart w:id="68" w:name="_Toc2256876"/>
      <w:r w:rsidRPr="002F0E6F">
        <w:rPr>
          <w:lang w:val="en-AU"/>
        </w:rPr>
        <w:t>Is there a problem?</w:t>
      </w:r>
      <w:bookmarkEnd w:id="68"/>
    </w:p>
    <w:p w14:paraId="2E7E8914" w14:textId="0DEBEFE3" w:rsidR="00477464" w:rsidRPr="002F0E6F" w:rsidRDefault="00477464" w:rsidP="00FC5CA9">
      <w:pPr>
        <w:pStyle w:val="NormalNumberedTextTLRI"/>
        <w:rPr>
          <w:lang w:val="en-AU"/>
        </w:rPr>
      </w:pPr>
      <w:r w:rsidRPr="002F0E6F">
        <w:rPr>
          <w:lang w:val="en-AU"/>
        </w:rPr>
        <w:t xml:space="preserve">In </w:t>
      </w:r>
      <w:r w:rsidRPr="00FC5CA9">
        <w:t>deciding</w:t>
      </w:r>
      <w:r w:rsidRPr="002F0E6F">
        <w:rPr>
          <w:lang w:val="en-AU"/>
        </w:rPr>
        <w:t xml:space="preserve"> whether to introduce notional estate legislation</w:t>
      </w:r>
      <w:r w:rsidR="00EA55E9" w:rsidRPr="002F0E6F">
        <w:rPr>
          <w:lang w:val="en-AU"/>
        </w:rPr>
        <w:t>,</w:t>
      </w:r>
      <w:r w:rsidRPr="002F0E6F">
        <w:rPr>
          <w:lang w:val="en-AU"/>
        </w:rPr>
        <w:t xml:space="preserve"> the preliminary question </w:t>
      </w:r>
      <w:r w:rsidR="00EA55E9" w:rsidRPr="002F0E6F">
        <w:rPr>
          <w:lang w:val="en-AU"/>
        </w:rPr>
        <w:t>is</w:t>
      </w:r>
      <w:r w:rsidRPr="002F0E6F">
        <w:rPr>
          <w:lang w:val="en-AU"/>
        </w:rPr>
        <w:t xml:space="preserve"> ‘is it needed?’ </w:t>
      </w:r>
      <w:r w:rsidR="00E80384" w:rsidRPr="002F0E6F">
        <w:rPr>
          <w:lang w:val="en-AU"/>
        </w:rPr>
        <w:t xml:space="preserve">Certainly there are cases from </w:t>
      </w:r>
      <w:r w:rsidR="009B63BC" w:rsidRPr="002F0E6F">
        <w:rPr>
          <w:lang w:val="en-AU"/>
        </w:rPr>
        <w:t xml:space="preserve">New South Wales </w:t>
      </w:r>
      <w:r w:rsidR="00E80384" w:rsidRPr="002F0E6F">
        <w:rPr>
          <w:lang w:val="en-AU"/>
        </w:rPr>
        <w:t xml:space="preserve">that indicate that there is an amount of deliberate </w:t>
      </w:r>
      <w:r w:rsidR="00DF3638" w:rsidRPr="002F0E6F">
        <w:rPr>
          <w:lang w:val="en-AU"/>
        </w:rPr>
        <w:t xml:space="preserve">TFM </w:t>
      </w:r>
      <w:r w:rsidR="00E80384" w:rsidRPr="002F0E6F">
        <w:rPr>
          <w:lang w:val="en-AU"/>
        </w:rPr>
        <w:t xml:space="preserve">avoidance, but neither does there seem to be an avalanche of </w:t>
      </w:r>
      <w:r w:rsidR="00CC23FF">
        <w:rPr>
          <w:lang w:val="en-AU"/>
        </w:rPr>
        <w:t xml:space="preserve">instances of </w:t>
      </w:r>
      <w:r w:rsidR="003501BA">
        <w:rPr>
          <w:lang w:val="en-AU"/>
        </w:rPr>
        <w:t xml:space="preserve">such </w:t>
      </w:r>
      <w:r w:rsidR="00CC23FF">
        <w:rPr>
          <w:lang w:val="en-AU"/>
        </w:rPr>
        <w:t>avoidance</w:t>
      </w:r>
      <w:r w:rsidR="00E80384" w:rsidRPr="002F0E6F">
        <w:rPr>
          <w:lang w:val="en-AU"/>
        </w:rPr>
        <w:t xml:space="preserve">. </w:t>
      </w:r>
      <w:r w:rsidRPr="002F0E6F">
        <w:rPr>
          <w:lang w:val="en-AU"/>
        </w:rPr>
        <w:t>Is there so much avoidance of TFM legislation</w:t>
      </w:r>
      <w:r w:rsidR="00E80384" w:rsidRPr="002F0E6F">
        <w:rPr>
          <w:lang w:val="en-AU"/>
        </w:rPr>
        <w:t xml:space="preserve"> in Tasmania</w:t>
      </w:r>
      <w:r w:rsidRPr="002F0E6F">
        <w:rPr>
          <w:lang w:val="en-AU"/>
        </w:rPr>
        <w:t xml:space="preserve"> that i</w:t>
      </w:r>
      <w:r w:rsidR="00590630" w:rsidRPr="002F0E6F">
        <w:rPr>
          <w:lang w:val="en-AU"/>
        </w:rPr>
        <w:t>t is a problem in the community?</w:t>
      </w:r>
      <w:r w:rsidRPr="002F0E6F">
        <w:rPr>
          <w:lang w:val="en-AU"/>
        </w:rPr>
        <w:t xml:space="preserve"> </w:t>
      </w:r>
    </w:p>
    <w:p w14:paraId="5CE3E9EB" w14:textId="1FB20390" w:rsidR="001D197A" w:rsidRPr="002F0E6F" w:rsidRDefault="00A76549" w:rsidP="00FC5CA9">
      <w:pPr>
        <w:pStyle w:val="NormalNumberedTextTLRI"/>
        <w:rPr>
          <w:lang w:val="en-AU"/>
        </w:rPr>
      </w:pPr>
      <w:r w:rsidRPr="002F0E6F">
        <w:rPr>
          <w:lang w:val="en-AU"/>
        </w:rPr>
        <w:lastRenderedPageBreak/>
        <w:t>T</w:t>
      </w:r>
      <w:r w:rsidR="00477464" w:rsidRPr="002F0E6F">
        <w:rPr>
          <w:lang w:val="en-AU"/>
        </w:rPr>
        <w:t xml:space="preserve">his is </w:t>
      </w:r>
      <w:r w:rsidR="00477464" w:rsidRPr="00FC5CA9">
        <w:t>something</w:t>
      </w:r>
      <w:r w:rsidR="00477464" w:rsidRPr="002F0E6F">
        <w:rPr>
          <w:lang w:val="en-AU"/>
        </w:rPr>
        <w:t xml:space="preserve"> about which </w:t>
      </w:r>
      <w:r w:rsidR="00E80384" w:rsidRPr="002F0E6F">
        <w:rPr>
          <w:lang w:val="en-AU"/>
        </w:rPr>
        <w:t>there is</w:t>
      </w:r>
      <w:r w:rsidR="00477464" w:rsidRPr="002F0E6F">
        <w:rPr>
          <w:lang w:val="en-AU"/>
        </w:rPr>
        <w:t xml:space="preserve"> </w:t>
      </w:r>
      <w:r w:rsidRPr="002F0E6F">
        <w:rPr>
          <w:lang w:val="en-AU"/>
        </w:rPr>
        <w:t>little, if any, empirical evidence</w:t>
      </w:r>
      <w:r w:rsidR="00477464" w:rsidRPr="002F0E6F">
        <w:rPr>
          <w:lang w:val="en-AU"/>
        </w:rPr>
        <w:t>. For this reason</w:t>
      </w:r>
      <w:r w:rsidR="00EA55E9" w:rsidRPr="002F0E6F">
        <w:rPr>
          <w:lang w:val="en-AU"/>
        </w:rPr>
        <w:t>,</w:t>
      </w:r>
      <w:r w:rsidR="00477464" w:rsidRPr="002F0E6F">
        <w:rPr>
          <w:lang w:val="en-AU"/>
        </w:rPr>
        <w:t xml:space="preserve"> </w:t>
      </w:r>
      <w:r w:rsidR="00EE3CBA" w:rsidRPr="002F0E6F">
        <w:rPr>
          <w:lang w:val="en-AU"/>
        </w:rPr>
        <w:t xml:space="preserve">the Institute </w:t>
      </w:r>
      <w:r w:rsidR="00F87BF6" w:rsidRPr="002F0E6F">
        <w:rPr>
          <w:lang w:val="en-AU"/>
        </w:rPr>
        <w:t>seek</w:t>
      </w:r>
      <w:r w:rsidR="00EE3CBA" w:rsidRPr="002F0E6F">
        <w:rPr>
          <w:lang w:val="en-AU"/>
        </w:rPr>
        <w:t>s</w:t>
      </w:r>
      <w:r w:rsidR="00F87BF6" w:rsidRPr="002F0E6F">
        <w:rPr>
          <w:lang w:val="en-AU"/>
        </w:rPr>
        <w:t xml:space="preserve"> information about experiences</w:t>
      </w:r>
      <w:r w:rsidR="00477464" w:rsidRPr="002F0E6F">
        <w:rPr>
          <w:lang w:val="en-AU"/>
        </w:rPr>
        <w:t xml:space="preserve"> practitioners and other</w:t>
      </w:r>
      <w:r w:rsidR="00F87BF6" w:rsidRPr="002F0E6F">
        <w:rPr>
          <w:lang w:val="en-AU"/>
        </w:rPr>
        <w:t>s</w:t>
      </w:r>
      <w:r w:rsidR="00477464" w:rsidRPr="002F0E6F">
        <w:rPr>
          <w:lang w:val="en-AU"/>
        </w:rPr>
        <w:t xml:space="preserve"> </w:t>
      </w:r>
      <w:r w:rsidR="00F87BF6" w:rsidRPr="002F0E6F">
        <w:rPr>
          <w:lang w:val="en-AU"/>
        </w:rPr>
        <w:t>may have had in relation to</w:t>
      </w:r>
      <w:r w:rsidR="00477464" w:rsidRPr="002F0E6F">
        <w:rPr>
          <w:lang w:val="en-AU"/>
        </w:rPr>
        <w:t xml:space="preserve"> TFM avoidance or TFM implementation.</w:t>
      </w:r>
    </w:p>
    <w:p w14:paraId="5E2252CE" w14:textId="38F9724E" w:rsidR="00AC6D38" w:rsidRPr="00FC5CA9" w:rsidRDefault="00AC6D38" w:rsidP="00ED5795">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69" w:name="Question1"/>
      <w:r w:rsidRPr="00FC5CA9">
        <w:rPr>
          <w:b/>
        </w:rPr>
        <w:t>Question 1</w:t>
      </w:r>
    </w:p>
    <w:bookmarkEnd w:id="69"/>
    <w:p w14:paraId="65CF9D1F" w14:textId="5041E535" w:rsidR="00AC6D38" w:rsidRPr="002F0E6F" w:rsidRDefault="00AC6D38" w:rsidP="00ED5795">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i/>
          <w:szCs w:val="20"/>
        </w:rPr>
      </w:pPr>
      <w:r w:rsidRPr="002F0E6F">
        <w:t xml:space="preserve">In your experience, </w:t>
      </w:r>
      <w:r w:rsidRPr="002F0E6F">
        <w:rPr>
          <w:bCs/>
        </w:rPr>
        <w:t xml:space="preserve">do people deal with or structure their assets in order to reduce the property that is available to make provision for a successful applicant under the </w:t>
      </w:r>
      <w:r w:rsidRPr="002F0E6F">
        <w:rPr>
          <w:bCs/>
          <w:i/>
        </w:rPr>
        <w:t>Testator’s Family Maintenance Act 1912</w:t>
      </w:r>
      <w:r w:rsidRPr="002F0E6F">
        <w:rPr>
          <w:bCs/>
        </w:rPr>
        <w:t xml:space="preserve"> (Tas)? Please provide examples.</w:t>
      </w:r>
      <w:r w:rsidRPr="002F0E6F">
        <w:rPr>
          <w:rStyle w:val="FootnoteReference"/>
          <w:bCs/>
        </w:rPr>
        <w:footnoteReference w:id="140"/>
      </w:r>
    </w:p>
    <w:p w14:paraId="5B315252" w14:textId="56ECDFDB" w:rsidR="00477464" w:rsidRPr="002F0E6F" w:rsidRDefault="00DF3638" w:rsidP="00E80384">
      <w:pPr>
        <w:pStyle w:val="NumberedHeadingTLRI"/>
        <w:rPr>
          <w:lang w:val="en-AU"/>
        </w:rPr>
      </w:pPr>
      <w:bookmarkStart w:id="70" w:name="_Toc2256877"/>
      <w:r w:rsidRPr="002F0E6F">
        <w:rPr>
          <w:lang w:val="en-AU"/>
        </w:rPr>
        <w:t>Advantages and disadvantages</w:t>
      </w:r>
      <w:bookmarkEnd w:id="70"/>
    </w:p>
    <w:p w14:paraId="5FA50C31" w14:textId="48F3F37A" w:rsidR="00747461" w:rsidRPr="002F0E6F" w:rsidRDefault="00E80384" w:rsidP="00ED5795">
      <w:pPr>
        <w:pStyle w:val="NormalNumberedTextTLRI"/>
        <w:rPr>
          <w:lang w:val="en-AU"/>
        </w:rPr>
      </w:pPr>
      <w:r w:rsidRPr="00ED5795">
        <w:t>There</w:t>
      </w:r>
      <w:r w:rsidRPr="002F0E6F">
        <w:rPr>
          <w:lang w:val="en-AU"/>
        </w:rPr>
        <w:t xml:space="preserve"> are various </w:t>
      </w:r>
      <w:r w:rsidRPr="00ED5795">
        <w:rPr>
          <w:lang w:val="en-AU"/>
        </w:rPr>
        <w:t>arguments</w:t>
      </w:r>
      <w:r w:rsidRPr="002F0E6F">
        <w:rPr>
          <w:lang w:val="en-AU"/>
        </w:rPr>
        <w:t xml:space="preserve"> advanced both for and against notional estate legislation. </w:t>
      </w:r>
      <w:r w:rsidR="008E5FEA" w:rsidRPr="002F0E6F">
        <w:rPr>
          <w:lang w:val="en-AU"/>
        </w:rPr>
        <w:t xml:space="preserve">These have been highlighted throughout this </w:t>
      </w:r>
      <w:r w:rsidR="00ED5795">
        <w:rPr>
          <w:lang w:val="en-AU"/>
        </w:rPr>
        <w:t>Issues Paper</w:t>
      </w:r>
      <w:r w:rsidR="008E5FEA" w:rsidRPr="002F0E6F">
        <w:rPr>
          <w:lang w:val="en-AU"/>
        </w:rPr>
        <w:t xml:space="preserve">. </w:t>
      </w:r>
      <w:r w:rsidR="00747461" w:rsidRPr="002F0E6F">
        <w:rPr>
          <w:lang w:val="en-AU"/>
        </w:rPr>
        <w:t>In 1977, the NSW</w:t>
      </w:r>
      <w:r w:rsidR="00EA55E9" w:rsidRPr="002F0E6F">
        <w:rPr>
          <w:lang w:val="en-AU"/>
        </w:rPr>
        <w:t xml:space="preserve">LRC </w:t>
      </w:r>
      <w:r w:rsidR="00747461" w:rsidRPr="002F0E6F">
        <w:rPr>
          <w:lang w:val="en-AU"/>
        </w:rPr>
        <w:t>summed up the quandary</w:t>
      </w:r>
      <w:r w:rsidR="00EA55E9" w:rsidRPr="002F0E6F">
        <w:rPr>
          <w:lang w:val="en-AU"/>
        </w:rPr>
        <w:t xml:space="preserve"> as follows</w:t>
      </w:r>
      <w:r w:rsidR="00747461" w:rsidRPr="002F0E6F">
        <w:rPr>
          <w:lang w:val="en-AU"/>
        </w:rPr>
        <w:t>:</w:t>
      </w:r>
    </w:p>
    <w:p w14:paraId="5C13261F" w14:textId="70E11378" w:rsidR="004146D3" w:rsidRPr="002F0E6F" w:rsidRDefault="00747461" w:rsidP="00C47D98">
      <w:pPr>
        <w:pStyle w:val="QuoteTLRI"/>
      </w:pPr>
      <w:r w:rsidRPr="002F0E6F">
        <w:t>Should the Courts have power to override what would otherwise be valid dispositions of property? The interests involved are fundamental: on the one hand, the interest of a person in arranging his affairs in his way and the interest of a transferee of property in securing his title and, on the other hand, the interest of a family in not being disinherited. In trying to answer these questions, any reformer faces a dilemma. If all dispositions of property made by a person in his lifetime are valid against the surviving members of his family, the new Act will give incomplete protection to the family. And if the surviving members can claim against property disposed of by, say, their deceased father, the new Act will be recogni</w:t>
      </w:r>
      <w:r w:rsidR="003501BA">
        <w:t>s</w:t>
      </w:r>
      <w:r w:rsidRPr="002F0E6F">
        <w:t>ing a potential interest in that property which must clog its alienability and adversely affect its utility and value.</w:t>
      </w:r>
      <w:r w:rsidRPr="00116BF6">
        <w:rPr>
          <w:rStyle w:val="FootnoteReference"/>
        </w:rPr>
        <w:footnoteReference w:id="141"/>
      </w:r>
    </w:p>
    <w:p w14:paraId="61E5FB94" w14:textId="19E887C0" w:rsidR="00426D2F" w:rsidRPr="002F0E6F" w:rsidRDefault="00DF3638" w:rsidP="00116BF6">
      <w:pPr>
        <w:pStyle w:val="NormalNumberedTextTLRI"/>
        <w:rPr>
          <w:lang w:val="en-AU"/>
        </w:rPr>
      </w:pPr>
      <w:r w:rsidRPr="002F0E6F">
        <w:rPr>
          <w:lang w:val="en-AU"/>
        </w:rPr>
        <w:t xml:space="preserve">As </w:t>
      </w:r>
      <w:r w:rsidRPr="00116BF6">
        <w:t>demonstrated</w:t>
      </w:r>
      <w:r w:rsidRPr="002F0E6F">
        <w:rPr>
          <w:lang w:val="en-AU"/>
        </w:rPr>
        <w:t xml:space="preserve"> in </w:t>
      </w:r>
      <w:r w:rsidR="00116BF6">
        <w:rPr>
          <w:lang w:val="en-AU"/>
        </w:rPr>
        <w:t>P</w:t>
      </w:r>
      <w:r w:rsidRPr="002F0E6F">
        <w:rPr>
          <w:lang w:val="en-AU"/>
        </w:rPr>
        <w:t xml:space="preserve">art 2, it is possible for </w:t>
      </w:r>
      <w:r w:rsidR="003F4810" w:rsidRPr="002F0E6F">
        <w:rPr>
          <w:lang w:val="en-AU"/>
        </w:rPr>
        <w:t>Tasmanians</w:t>
      </w:r>
      <w:r w:rsidRPr="002F0E6F">
        <w:rPr>
          <w:lang w:val="en-AU"/>
        </w:rPr>
        <w:t xml:space="preserve"> to arrange their affairs in a way that reduces the size of their estate</w:t>
      </w:r>
      <w:r w:rsidR="00426D2F" w:rsidRPr="002F0E6F">
        <w:rPr>
          <w:lang w:val="en-AU"/>
        </w:rPr>
        <w:t>. This may be an unintentional consequence of the way assets are held for other purposes</w:t>
      </w:r>
      <w:r w:rsidR="00CC23FF">
        <w:rPr>
          <w:lang w:val="en-AU"/>
        </w:rPr>
        <w:t>, or i</w:t>
      </w:r>
      <w:r w:rsidR="00426D2F" w:rsidRPr="002F0E6F">
        <w:rPr>
          <w:lang w:val="en-AU"/>
        </w:rPr>
        <w:t>t may be to reduce the pool of funds</w:t>
      </w:r>
      <w:r w:rsidR="003F4810" w:rsidRPr="002F0E6F">
        <w:rPr>
          <w:lang w:val="en-AU"/>
        </w:rPr>
        <w:t xml:space="preserve"> available </w:t>
      </w:r>
      <w:r w:rsidR="00426D2F" w:rsidRPr="002F0E6F">
        <w:rPr>
          <w:lang w:val="en-AU"/>
        </w:rPr>
        <w:t>to</w:t>
      </w:r>
      <w:r w:rsidR="003F4810" w:rsidRPr="002F0E6F">
        <w:rPr>
          <w:lang w:val="en-AU"/>
        </w:rPr>
        <w:t xml:space="preserve"> challenge through a TFM claim</w:t>
      </w:r>
      <w:r w:rsidRPr="002F0E6F">
        <w:rPr>
          <w:lang w:val="en-AU"/>
        </w:rPr>
        <w:t xml:space="preserve">. </w:t>
      </w:r>
    </w:p>
    <w:p w14:paraId="3D3B092C" w14:textId="7D2DE0C8" w:rsidR="00426D2F" w:rsidRPr="002F0E6F" w:rsidRDefault="00426D2F" w:rsidP="00116BF6">
      <w:pPr>
        <w:pStyle w:val="NormalNumberedTextTLRI"/>
        <w:rPr>
          <w:lang w:val="en-AU"/>
        </w:rPr>
      </w:pPr>
      <w:r w:rsidRPr="002F0E6F">
        <w:rPr>
          <w:lang w:val="en-AU"/>
        </w:rPr>
        <w:t xml:space="preserve">The NSWLRC </w:t>
      </w:r>
      <w:r w:rsidR="008E5FEA" w:rsidRPr="002F0E6F">
        <w:rPr>
          <w:lang w:val="en-AU"/>
        </w:rPr>
        <w:t>points</w:t>
      </w:r>
      <w:r w:rsidRPr="002F0E6F">
        <w:rPr>
          <w:lang w:val="en-AU"/>
        </w:rPr>
        <w:t xml:space="preserve"> to two situations that it considers support the use of notional estate legislation:</w:t>
      </w:r>
    </w:p>
    <w:p w14:paraId="1CDBAE49" w14:textId="77777777" w:rsidR="00426D2F" w:rsidRPr="00BF1993" w:rsidRDefault="00426D2F" w:rsidP="00BF1993">
      <w:pPr>
        <w:pStyle w:val="DotPointTLRI"/>
      </w:pPr>
      <w:r w:rsidRPr="002F0E6F">
        <w:t>where a father seeks, in favour of the children of his first marriage, to defeat the claims of his second wife or, in favour of his second wife, to defeat the claims of the children of his first marriage or, in favour of his mistress, to defeat the claims of both his wife and his children;</w:t>
      </w:r>
      <w:r w:rsidRPr="00116BF6">
        <w:rPr>
          <w:rStyle w:val="FootnoteReference"/>
        </w:rPr>
        <w:footnoteReference w:id="142"/>
      </w:r>
      <w:r w:rsidRPr="002F0E6F">
        <w:t xml:space="preserve"> </w:t>
      </w:r>
      <w:r w:rsidRPr="00BF1993">
        <w:t>or</w:t>
      </w:r>
    </w:p>
    <w:p w14:paraId="6AC907BF" w14:textId="3663D382" w:rsidR="00426D2F" w:rsidRPr="002F0E6F" w:rsidRDefault="00426D2F" w:rsidP="00FC6493">
      <w:pPr>
        <w:pStyle w:val="DotPointTLRI"/>
      </w:pPr>
      <w:r w:rsidRPr="002F0E6F">
        <w:lastRenderedPageBreak/>
        <w:t>where there has been an ‘unjust gift’, perhaps from a socially isolated, vulnerable individual who rewards a carer for ‘a few months of institutional care … at the expense of many years of family devotion’.</w:t>
      </w:r>
      <w:r w:rsidRPr="00FC6493">
        <w:rPr>
          <w:rStyle w:val="FootnoteReference"/>
          <w:rFonts w:eastAsiaTheme="minorHAnsi"/>
        </w:rPr>
        <w:footnoteReference w:id="143"/>
      </w:r>
    </w:p>
    <w:p w14:paraId="37F89917" w14:textId="2F5E9D26" w:rsidR="00DF3638" w:rsidRPr="002F0E6F" w:rsidRDefault="003F4810" w:rsidP="00FC6493">
      <w:pPr>
        <w:pStyle w:val="NormalNumberedTextTLRI"/>
        <w:rPr>
          <w:lang w:val="en-AU"/>
        </w:rPr>
      </w:pPr>
      <w:r w:rsidRPr="002F0E6F">
        <w:rPr>
          <w:lang w:val="en-AU"/>
        </w:rPr>
        <w:t>I</w:t>
      </w:r>
      <w:r w:rsidR="00DF3638" w:rsidRPr="002F0E6F">
        <w:rPr>
          <w:lang w:val="en-AU"/>
        </w:rPr>
        <w:t xml:space="preserve">n </w:t>
      </w:r>
      <w:r w:rsidRPr="002F0E6F">
        <w:rPr>
          <w:lang w:val="en-AU"/>
        </w:rPr>
        <w:t xml:space="preserve">order to claim provision from </w:t>
      </w:r>
      <w:r w:rsidR="00DF3638" w:rsidRPr="002F0E6F">
        <w:rPr>
          <w:lang w:val="en-AU"/>
        </w:rPr>
        <w:t xml:space="preserve">assets </w:t>
      </w:r>
      <w:r w:rsidRPr="002F0E6F">
        <w:rPr>
          <w:lang w:val="en-AU"/>
        </w:rPr>
        <w:t>gifted prior to death</w:t>
      </w:r>
      <w:r w:rsidR="00DF3638" w:rsidRPr="002F0E6F">
        <w:rPr>
          <w:lang w:val="en-AU"/>
        </w:rPr>
        <w:t xml:space="preserve">, </w:t>
      </w:r>
      <w:r w:rsidR="005A7B78" w:rsidRPr="002F0E6F">
        <w:rPr>
          <w:lang w:val="en-AU"/>
        </w:rPr>
        <w:t>currently</w:t>
      </w:r>
      <w:r w:rsidR="00FC6493">
        <w:rPr>
          <w:lang w:val="en-AU"/>
        </w:rPr>
        <w:t>,</w:t>
      </w:r>
      <w:r w:rsidR="005A7B78" w:rsidRPr="002F0E6F">
        <w:rPr>
          <w:lang w:val="en-AU"/>
        </w:rPr>
        <w:t xml:space="preserve"> </w:t>
      </w:r>
      <w:r w:rsidR="00914E47" w:rsidRPr="002F0E6F">
        <w:rPr>
          <w:lang w:val="en-AU"/>
        </w:rPr>
        <w:t xml:space="preserve">a disgruntled beneficiary </w:t>
      </w:r>
      <w:r w:rsidR="00914E47" w:rsidRPr="00FC6493">
        <w:t>would</w:t>
      </w:r>
      <w:r w:rsidR="00914E47" w:rsidRPr="002F0E6F">
        <w:rPr>
          <w:lang w:val="en-AU"/>
        </w:rPr>
        <w:t xml:space="preserve"> have to resort to equitable doctrines to obtain an interest,</w:t>
      </w:r>
      <w:r w:rsidR="00DF3638" w:rsidRPr="002F0E6F">
        <w:rPr>
          <w:lang w:val="en-AU"/>
        </w:rPr>
        <w:t xml:space="preserve"> or an argument based on a lack of capacity. A claim of undue influence, for example, in relation to an asset given away during life simply determine</w:t>
      </w:r>
      <w:r w:rsidR="00EE3CBA" w:rsidRPr="002F0E6F">
        <w:rPr>
          <w:lang w:val="en-AU"/>
        </w:rPr>
        <w:t>s</w:t>
      </w:r>
      <w:r w:rsidR="00DF3638" w:rsidRPr="002F0E6F">
        <w:rPr>
          <w:lang w:val="en-AU"/>
        </w:rPr>
        <w:t xml:space="preserve"> whether the asset should be returned to the original donor (or, in this situation, the donor’s estate). If </w:t>
      </w:r>
      <w:r w:rsidR="00CC23FF">
        <w:rPr>
          <w:lang w:val="en-AU"/>
        </w:rPr>
        <w:t>such an</w:t>
      </w:r>
      <w:r w:rsidR="00CC23FF" w:rsidRPr="002F0E6F">
        <w:rPr>
          <w:lang w:val="en-AU"/>
        </w:rPr>
        <w:t xml:space="preserve"> </w:t>
      </w:r>
      <w:r w:rsidR="00DF3638" w:rsidRPr="002F0E6F">
        <w:rPr>
          <w:lang w:val="en-AU"/>
        </w:rPr>
        <w:t xml:space="preserve">argument </w:t>
      </w:r>
      <w:r w:rsidR="00EE3CBA" w:rsidRPr="002F0E6F">
        <w:rPr>
          <w:lang w:val="en-AU"/>
        </w:rPr>
        <w:t>is</w:t>
      </w:r>
      <w:r w:rsidR="00DF3638" w:rsidRPr="002F0E6F">
        <w:rPr>
          <w:lang w:val="en-AU"/>
        </w:rPr>
        <w:t xml:space="preserve"> successful, a claimant then need</w:t>
      </w:r>
      <w:r w:rsidR="00EE3CBA" w:rsidRPr="002F0E6F">
        <w:rPr>
          <w:lang w:val="en-AU"/>
        </w:rPr>
        <w:t>s</w:t>
      </w:r>
      <w:r w:rsidR="00DF3638" w:rsidRPr="002F0E6F">
        <w:rPr>
          <w:lang w:val="en-AU"/>
        </w:rPr>
        <w:t xml:space="preserve"> to make a TFM claim in order to obtain any share of that property. </w:t>
      </w:r>
      <w:r w:rsidR="00414EB9">
        <w:rPr>
          <w:lang w:val="en-AU"/>
        </w:rPr>
        <w:t>A</w:t>
      </w:r>
      <w:r w:rsidR="00DF3638" w:rsidRPr="002F0E6F">
        <w:rPr>
          <w:lang w:val="en-AU"/>
        </w:rPr>
        <w:t xml:space="preserve"> court with the ability to make a notional estate order could simply recall that gift (providing it was made within the </w:t>
      </w:r>
      <w:r w:rsidRPr="002F0E6F">
        <w:rPr>
          <w:lang w:val="en-AU"/>
        </w:rPr>
        <w:t xml:space="preserve">relevant </w:t>
      </w:r>
      <w:r w:rsidR="00DF3638" w:rsidRPr="002F0E6F">
        <w:rPr>
          <w:lang w:val="en-AU"/>
        </w:rPr>
        <w:t xml:space="preserve">time </w:t>
      </w:r>
      <w:r w:rsidRPr="002F0E6F">
        <w:rPr>
          <w:lang w:val="en-AU"/>
        </w:rPr>
        <w:t>period</w:t>
      </w:r>
      <w:r w:rsidR="00DF3638" w:rsidRPr="002F0E6F">
        <w:rPr>
          <w:lang w:val="en-AU"/>
        </w:rPr>
        <w:t xml:space="preserve">) to </w:t>
      </w:r>
      <w:r w:rsidRPr="002F0E6F">
        <w:rPr>
          <w:lang w:val="en-AU"/>
        </w:rPr>
        <w:t xml:space="preserve">fund provision for a successful TFM applicant </w:t>
      </w:r>
      <w:r w:rsidR="00DF3638" w:rsidRPr="002F0E6F">
        <w:rPr>
          <w:lang w:val="en-AU"/>
        </w:rPr>
        <w:t xml:space="preserve">if there </w:t>
      </w:r>
      <w:r w:rsidRPr="002F0E6F">
        <w:rPr>
          <w:lang w:val="en-AU"/>
        </w:rPr>
        <w:t>were</w:t>
      </w:r>
      <w:r w:rsidR="00DF3638" w:rsidRPr="002F0E6F">
        <w:rPr>
          <w:lang w:val="en-AU"/>
        </w:rPr>
        <w:t xml:space="preserve"> otherwise insufficient funds within the estate from which to fund </w:t>
      </w:r>
      <w:r w:rsidRPr="002F0E6F">
        <w:rPr>
          <w:lang w:val="en-AU"/>
        </w:rPr>
        <w:t xml:space="preserve">that </w:t>
      </w:r>
      <w:r w:rsidR="00DF3638" w:rsidRPr="002F0E6F">
        <w:rPr>
          <w:lang w:val="en-AU"/>
        </w:rPr>
        <w:t xml:space="preserve">provision. </w:t>
      </w:r>
      <w:r w:rsidR="00CC23FF">
        <w:rPr>
          <w:lang w:val="en-AU"/>
        </w:rPr>
        <w:t>C</w:t>
      </w:r>
      <w:r w:rsidRPr="002F0E6F">
        <w:rPr>
          <w:lang w:val="en-AU"/>
        </w:rPr>
        <w:t xml:space="preserve">onsolidating these issues into the one proceeding </w:t>
      </w:r>
      <w:r w:rsidR="00426D2F" w:rsidRPr="002F0E6F">
        <w:rPr>
          <w:lang w:val="en-AU"/>
        </w:rPr>
        <w:t>may</w:t>
      </w:r>
      <w:r w:rsidRPr="002F0E6F">
        <w:rPr>
          <w:lang w:val="en-AU"/>
        </w:rPr>
        <w:t xml:space="preserve"> sav</w:t>
      </w:r>
      <w:r w:rsidR="00426D2F" w:rsidRPr="002F0E6F">
        <w:rPr>
          <w:lang w:val="en-AU"/>
        </w:rPr>
        <w:t>e</w:t>
      </w:r>
      <w:r w:rsidR="00DF3638" w:rsidRPr="002F0E6F">
        <w:rPr>
          <w:lang w:val="en-AU"/>
        </w:rPr>
        <w:t xml:space="preserve"> time and money.</w:t>
      </w:r>
    </w:p>
    <w:p w14:paraId="1450D610" w14:textId="0EE5F799" w:rsidR="00914E47" w:rsidRPr="002F0E6F" w:rsidRDefault="00914E47" w:rsidP="0070642C">
      <w:pPr>
        <w:pStyle w:val="NormalNumberedTextTLRI"/>
        <w:rPr>
          <w:lang w:val="en-AU"/>
        </w:rPr>
      </w:pPr>
      <w:r w:rsidRPr="002F0E6F">
        <w:rPr>
          <w:lang w:val="en-AU"/>
        </w:rPr>
        <w:t xml:space="preserve">A key </w:t>
      </w:r>
      <w:r w:rsidRPr="0070642C">
        <w:t>question</w:t>
      </w:r>
      <w:r w:rsidRPr="002F0E6F">
        <w:rPr>
          <w:lang w:val="en-AU"/>
        </w:rPr>
        <w:t xml:space="preserve"> is whether the Tasmanian community believes that notional estate legislation is appropriate and necessary. To this end, the Institute seeks feedback on the following questions:</w:t>
      </w:r>
    </w:p>
    <w:p w14:paraId="7C30E093" w14:textId="0B02F966" w:rsidR="00914E47" w:rsidRPr="0070642C" w:rsidRDefault="00914E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71" w:name="Question2"/>
      <w:r w:rsidRPr="0070642C">
        <w:rPr>
          <w:b/>
        </w:rPr>
        <w:t>Question 2</w:t>
      </w:r>
    </w:p>
    <w:bookmarkEnd w:id="71"/>
    <w:p w14:paraId="7A247384" w14:textId="570DD495" w:rsidR="00914E47" w:rsidRPr="0070642C" w:rsidRDefault="00914E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70642C">
        <w:t xml:space="preserve">Should people be entitled to deal with their assets during their lifetime to reduce the property that is in their estate and available to claim under the </w:t>
      </w:r>
      <w:r w:rsidR="00282DB1" w:rsidRPr="00136147">
        <w:rPr>
          <w:i/>
        </w:rPr>
        <w:t>Testator’s Family Maintenance Act 1912</w:t>
      </w:r>
      <w:r w:rsidR="00282DB1" w:rsidRPr="0070642C">
        <w:t xml:space="preserve"> (Tas)</w:t>
      </w:r>
      <w:r w:rsidRPr="0070642C">
        <w:t>?</w:t>
      </w:r>
      <w:r w:rsidRPr="00136147">
        <w:rPr>
          <w:rStyle w:val="FootnoteReference"/>
        </w:rPr>
        <w:footnoteReference w:id="144"/>
      </w:r>
      <w:r w:rsidRPr="0070642C">
        <w:t xml:space="preserve"> Please provide reasons for your opinion.</w:t>
      </w:r>
    </w:p>
    <w:p w14:paraId="518DCFBC" w14:textId="77777777" w:rsidR="00914E47" w:rsidRPr="0070642C" w:rsidRDefault="00914E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rPr>
          <w:b/>
        </w:rPr>
      </w:pPr>
      <w:bookmarkStart w:id="72" w:name="Question3"/>
      <w:r w:rsidRPr="0070642C">
        <w:rPr>
          <w:b/>
        </w:rPr>
        <w:t>Question 3</w:t>
      </w:r>
    </w:p>
    <w:bookmarkEnd w:id="72"/>
    <w:p w14:paraId="39F6B1AC" w14:textId="08801B0F" w:rsidR="00914E47" w:rsidRPr="0070642C" w:rsidRDefault="00914E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after="120"/>
        <w:ind w:left="57" w:right="57"/>
      </w:pPr>
      <w:r w:rsidRPr="0070642C">
        <w:t>Please indicate your level of support (if any) for the following proposition:</w:t>
      </w:r>
      <w:r w:rsidR="006F26E2">
        <w:t xml:space="preserve"> ‘notional estate legislation should be introduced in Tasmania’</w:t>
      </w:r>
      <w:r w:rsidR="00582310">
        <w:t>:</w:t>
      </w:r>
    </w:p>
    <w:p w14:paraId="675BEE05" w14:textId="637B4A9D"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1. s</w:t>
      </w:r>
      <w:r w:rsidR="00914E47" w:rsidRPr="0070642C">
        <w:t>trongly agree;</w:t>
      </w:r>
    </w:p>
    <w:p w14:paraId="4CC71D38" w14:textId="3B4F77A5"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2. a</w:t>
      </w:r>
      <w:r w:rsidR="00914E47" w:rsidRPr="0070642C">
        <w:t>gree;</w:t>
      </w:r>
    </w:p>
    <w:p w14:paraId="0DB8BA4C" w14:textId="4241C07C"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3. s</w:t>
      </w:r>
      <w:r w:rsidR="00914E47" w:rsidRPr="0070642C">
        <w:t>omewhat agree;</w:t>
      </w:r>
    </w:p>
    <w:p w14:paraId="02CFBDFF" w14:textId="496E03F8"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4. n</w:t>
      </w:r>
      <w:r w:rsidR="00914E47" w:rsidRPr="0070642C">
        <w:t>eutral/no view;</w:t>
      </w:r>
    </w:p>
    <w:p w14:paraId="76B87E94" w14:textId="15002B4B"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5. s</w:t>
      </w:r>
      <w:r w:rsidR="00914E47" w:rsidRPr="0070642C">
        <w:t>omewhat disagree;</w:t>
      </w:r>
    </w:p>
    <w:p w14:paraId="1EDCF4A6" w14:textId="410F6288"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6. d</w:t>
      </w:r>
      <w:r w:rsidR="00914E47" w:rsidRPr="0070642C">
        <w:t>isagree;</w:t>
      </w:r>
    </w:p>
    <w:p w14:paraId="1DA238AF" w14:textId="68BF5381" w:rsidR="00914E47" w:rsidRPr="0070642C" w:rsidRDefault="001361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t>7. s</w:t>
      </w:r>
      <w:r w:rsidR="00914E47" w:rsidRPr="0070642C">
        <w:t>trongly disagree.</w:t>
      </w:r>
    </w:p>
    <w:p w14:paraId="736543C6" w14:textId="77777777" w:rsidR="00914E47" w:rsidRPr="0070642C" w:rsidRDefault="00914E47" w:rsidP="00136147">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ind w:left="57" w:right="57"/>
      </w:pPr>
      <w:r w:rsidRPr="0070642C">
        <w:t>Please provide reasons explaining your view.</w:t>
      </w:r>
    </w:p>
    <w:p w14:paraId="1531031B" w14:textId="60CB49FD" w:rsidR="00914E47" w:rsidRPr="002F0E6F" w:rsidRDefault="00914E47" w:rsidP="004C0512">
      <w:pPr>
        <w:pStyle w:val="Sub-HeadingTLRI"/>
        <w:keepNext/>
        <w:rPr>
          <w:lang w:val="en-AU"/>
        </w:rPr>
      </w:pPr>
      <w:r w:rsidRPr="002F0E6F">
        <w:rPr>
          <w:lang w:val="en-AU"/>
        </w:rPr>
        <w:lastRenderedPageBreak/>
        <w:t>Potential implications if notional estate provisions were introduced</w:t>
      </w:r>
    </w:p>
    <w:p w14:paraId="1854286A" w14:textId="4F3C7896" w:rsidR="00914E47" w:rsidRPr="002F0E6F" w:rsidRDefault="007711C4" w:rsidP="004C0512">
      <w:pPr>
        <w:pStyle w:val="NormalNumberedTextTLRI"/>
        <w:rPr>
          <w:lang w:val="en-AU"/>
        </w:rPr>
      </w:pPr>
      <w:r w:rsidRPr="002F0E6F">
        <w:rPr>
          <w:lang w:val="en-AU"/>
        </w:rPr>
        <w:t xml:space="preserve">The </w:t>
      </w:r>
      <w:r w:rsidR="000202B9" w:rsidRPr="002F0E6F">
        <w:rPr>
          <w:lang w:val="en-AU"/>
        </w:rPr>
        <w:t>VLRC</w:t>
      </w:r>
      <w:r w:rsidRPr="002F0E6F">
        <w:rPr>
          <w:lang w:val="en-AU"/>
        </w:rPr>
        <w:t xml:space="preserve"> </w:t>
      </w:r>
      <w:r w:rsidR="0056499E" w:rsidRPr="002F0E6F">
        <w:rPr>
          <w:lang w:val="en-AU"/>
        </w:rPr>
        <w:t>observe</w:t>
      </w:r>
      <w:r w:rsidR="00417DA9" w:rsidRPr="002F0E6F">
        <w:rPr>
          <w:lang w:val="en-AU"/>
        </w:rPr>
        <w:t>s</w:t>
      </w:r>
      <w:r w:rsidR="0056499E" w:rsidRPr="002F0E6F">
        <w:rPr>
          <w:lang w:val="en-AU"/>
        </w:rPr>
        <w:t xml:space="preserve"> </w:t>
      </w:r>
      <w:r w:rsidRPr="002F0E6F">
        <w:rPr>
          <w:lang w:val="en-AU"/>
        </w:rPr>
        <w:t>that people deal with their assets in particular ways before their death for a variety of reasons, including to minimise tax and to provide for their family during their lifetime, and that to introduce notional estate legislation would interfere with this.</w:t>
      </w:r>
      <w:r w:rsidR="00914E47" w:rsidRPr="002F0E6F">
        <w:rPr>
          <w:lang w:val="en-AU"/>
        </w:rPr>
        <w:t xml:space="preserve"> </w:t>
      </w:r>
    </w:p>
    <w:p w14:paraId="67930BBB" w14:textId="0FB7231F" w:rsidR="007B20A0" w:rsidRPr="002F0E6F" w:rsidRDefault="00DF526D" w:rsidP="004C0512">
      <w:pPr>
        <w:pStyle w:val="NormalNumberedTextTLRI"/>
        <w:rPr>
          <w:lang w:val="en-AU"/>
        </w:rPr>
      </w:pPr>
      <w:r w:rsidRPr="002F0E6F">
        <w:rPr>
          <w:lang w:val="en-AU"/>
        </w:rPr>
        <w:t>T</w:t>
      </w:r>
      <w:r w:rsidR="007711C4" w:rsidRPr="002F0E6F">
        <w:rPr>
          <w:lang w:val="en-AU"/>
        </w:rPr>
        <w:t xml:space="preserve">he use of time limits to </w:t>
      </w:r>
      <w:r w:rsidR="00CC23FF">
        <w:rPr>
          <w:lang w:val="en-AU"/>
        </w:rPr>
        <w:t>restrict</w:t>
      </w:r>
      <w:r w:rsidR="00CC23FF" w:rsidRPr="002F0E6F">
        <w:rPr>
          <w:lang w:val="en-AU"/>
        </w:rPr>
        <w:t xml:space="preserve"> </w:t>
      </w:r>
      <w:r w:rsidR="007711C4" w:rsidRPr="002F0E6F">
        <w:rPr>
          <w:lang w:val="en-AU"/>
        </w:rPr>
        <w:t>notion</w:t>
      </w:r>
      <w:r w:rsidR="00B14127" w:rsidRPr="002F0E6F">
        <w:rPr>
          <w:lang w:val="en-AU"/>
        </w:rPr>
        <w:t xml:space="preserve">al estate </w:t>
      </w:r>
      <w:r w:rsidRPr="002F0E6F">
        <w:rPr>
          <w:lang w:val="en-AU"/>
        </w:rPr>
        <w:t xml:space="preserve">orders </w:t>
      </w:r>
      <w:r w:rsidR="00B14127" w:rsidRPr="002F0E6F">
        <w:rPr>
          <w:lang w:val="en-AU"/>
        </w:rPr>
        <w:t xml:space="preserve">to gifts </w:t>
      </w:r>
      <w:r w:rsidRPr="002F0E6F">
        <w:rPr>
          <w:lang w:val="en-AU"/>
        </w:rPr>
        <w:t xml:space="preserve">or transfers </w:t>
      </w:r>
      <w:r w:rsidR="00B14127" w:rsidRPr="002F0E6F">
        <w:rPr>
          <w:lang w:val="en-AU"/>
        </w:rPr>
        <w:t xml:space="preserve">made within </w:t>
      </w:r>
      <w:r w:rsidR="0056499E" w:rsidRPr="002F0E6F">
        <w:rPr>
          <w:lang w:val="en-AU"/>
        </w:rPr>
        <w:t>a certain period before (or at)</w:t>
      </w:r>
      <w:r w:rsidR="007711C4" w:rsidRPr="002F0E6F">
        <w:rPr>
          <w:lang w:val="en-AU"/>
        </w:rPr>
        <w:t xml:space="preserve"> death </w:t>
      </w:r>
      <w:r w:rsidRPr="002F0E6F">
        <w:rPr>
          <w:lang w:val="en-AU"/>
        </w:rPr>
        <w:t>could reduce these</w:t>
      </w:r>
      <w:r w:rsidR="007711C4" w:rsidRPr="002F0E6F">
        <w:rPr>
          <w:lang w:val="en-AU"/>
        </w:rPr>
        <w:t xml:space="preserve"> issue</w:t>
      </w:r>
      <w:r w:rsidRPr="002F0E6F">
        <w:rPr>
          <w:lang w:val="en-AU"/>
        </w:rPr>
        <w:t>s</w:t>
      </w:r>
      <w:r w:rsidR="007711C4" w:rsidRPr="002F0E6F">
        <w:rPr>
          <w:lang w:val="en-AU"/>
        </w:rPr>
        <w:t xml:space="preserve">. </w:t>
      </w:r>
      <w:r w:rsidRPr="002F0E6F">
        <w:rPr>
          <w:lang w:val="en-AU"/>
        </w:rPr>
        <w:t>T</w:t>
      </w:r>
      <w:r w:rsidR="00956510" w:rsidRPr="002F0E6F">
        <w:rPr>
          <w:lang w:val="en-AU"/>
        </w:rPr>
        <w:t>here is other legislation that affects gift</w:t>
      </w:r>
      <w:r w:rsidR="009239CB" w:rsidRPr="002F0E6F">
        <w:rPr>
          <w:lang w:val="en-AU"/>
        </w:rPr>
        <w:t>s</w:t>
      </w:r>
      <w:r w:rsidR="00956510" w:rsidRPr="002F0E6F">
        <w:rPr>
          <w:lang w:val="en-AU"/>
        </w:rPr>
        <w:t xml:space="preserve"> </w:t>
      </w:r>
      <w:r w:rsidR="0056499E" w:rsidRPr="002F0E6F">
        <w:rPr>
          <w:lang w:val="en-AU"/>
        </w:rPr>
        <w:t xml:space="preserve">made during life </w:t>
      </w:r>
      <w:r w:rsidR="00956510" w:rsidRPr="004C0512">
        <w:t>for</w:t>
      </w:r>
      <w:r w:rsidR="00956510" w:rsidRPr="002F0E6F">
        <w:rPr>
          <w:lang w:val="en-AU"/>
        </w:rPr>
        <w:t xml:space="preserve"> longer </w:t>
      </w:r>
      <w:r w:rsidR="0056499E" w:rsidRPr="002F0E6F">
        <w:rPr>
          <w:lang w:val="en-AU"/>
        </w:rPr>
        <w:t xml:space="preserve">periods </w:t>
      </w:r>
      <w:r w:rsidR="004C0512">
        <w:rPr>
          <w:lang w:val="en-AU"/>
        </w:rPr>
        <w:t>—</w:t>
      </w:r>
      <w:r w:rsidR="00956510" w:rsidRPr="002F0E6F">
        <w:rPr>
          <w:lang w:val="en-AU"/>
        </w:rPr>
        <w:t xml:space="preserve"> for example, </w:t>
      </w:r>
      <w:r w:rsidR="008E5FEA" w:rsidRPr="002F0E6F">
        <w:rPr>
          <w:rFonts w:cs="Times New Roman"/>
          <w:lang w:val="en-AU"/>
        </w:rPr>
        <w:t>when calculating pension entitlements</w:t>
      </w:r>
      <w:r w:rsidR="009239CB" w:rsidRPr="002F0E6F">
        <w:rPr>
          <w:rFonts w:cs="Times New Roman"/>
          <w:lang w:val="en-AU"/>
        </w:rPr>
        <w:t>,</w:t>
      </w:r>
      <w:r w:rsidR="00417DA9" w:rsidRPr="004C0512">
        <w:rPr>
          <w:rStyle w:val="FootnoteReference"/>
        </w:rPr>
        <w:footnoteReference w:id="145"/>
      </w:r>
      <w:r w:rsidR="009239CB" w:rsidRPr="002F0E6F">
        <w:rPr>
          <w:rFonts w:cs="Times New Roman"/>
          <w:lang w:val="en-AU"/>
        </w:rPr>
        <w:t xml:space="preserve"> and under bankruptcy legislation where assets are able to be clawed back for bankruptcy purposes.</w:t>
      </w:r>
      <w:r w:rsidR="008E5FEA" w:rsidRPr="004C0512">
        <w:rPr>
          <w:rStyle w:val="FootnoteReference"/>
        </w:rPr>
        <w:footnoteReference w:id="146"/>
      </w:r>
      <w:r w:rsidR="009239CB" w:rsidRPr="002F0E6F">
        <w:rPr>
          <w:lang w:val="en-AU"/>
        </w:rPr>
        <w:t xml:space="preserve"> </w:t>
      </w:r>
      <w:r w:rsidR="007B20A0" w:rsidRPr="002F0E6F">
        <w:rPr>
          <w:lang w:val="en-AU"/>
        </w:rPr>
        <w:t xml:space="preserve">Additionally, it has been </w:t>
      </w:r>
      <w:r w:rsidR="004D5B34">
        <w:rPr>
          <w:lang w:val="en-AU"/>
        </w:rPr>
        <w:t>observed</w:t>
      </w:r>
      <w:r w:rsidR="007B20A0" w:rsidRPr="002F0E6F">
        <w:rPr>
          <w:lang w:val="en-AU"/>
        </w:rPr>
        <w:t xml:space="preserve"> that the Family Court can clawback assets placed in trusts and superannuation if a party is still alive</w:t>
      </w:r>
      <w:r w:rsidR="009239CB" w:rsidRPr="002F0E6F">
        <w:rPr>
          <w:lang w:val="en-AU"/>
        </w:rPr>
        <w:t>.</w:t>
      </w:r>
      <w:r w:rsidR="007B20A0" w:rsidRPr="004C0512">
        <w:rPr>
          <w:rStyle w:val="FootnoteReference"/>
        </w:rPr>
        <w:footnoteReference w:id="147"/>
      </w:r>
      <w:r w:rsidR="00605684" w:rsidRPr="002F0E6F">
        <w:rPr>
          <w:lang w:val="en-AU"/>
        </w:rPr>
        <w:t xml:space="preserve"> </w:t>
      </w:r>
    </w:p>
    <w:p w14:paraId="0F35F33B" w14:textId="22594FBE" w:rsidR="006154A0" w:rsidRPr="002F0E6F" w:rsidRDefault="00502510" w:rsidP="004C0512">
      <w:pPr>
        <w:pStyle w:val="NormalNumberedTextTLRI"/>
        <w:rPr>
          <w:lang w:val="en-AU"/>
        </w:rPr>
      </w:pPr>
      <w:r w:rsidRPr="002F0E6F">
        <w:rPr>
          <w:lang w:val="en-AU"/>
        </w:rPr>
        <w:t xml:space="preserve">One </w:t>
      </w:r>
      <w:r w:rsidRPr="004C0512">
        <w:t>matter</w:t>
      </w:r>
      <w:r w:rsidRPr="002F0E6F">
        <w:rPr>
          <w:lang w:val="en-AU"/>
        </w:rPr>
        <w:t xml:space="preserve"> that </w:t>
      </w:r>
      <w:r w:rsidR="006154A0" w:rsidRPr="002F0E6F">
        <w:rPr>
          <w:lang w:val="en-AU"/>
        </w:rPr>
        <w:t xml:space="preserve">commonly </w:t>
      </w:r>
      <w:r w:rsidRPr="002F0E6F">
        <w:rPr>
          <w:lang w:val="en-AU"/>
        </w:rPr>
        <w:t>gives rise to concern is farm</w:t>
      </w:r>
      <w:r w:rsidR="009239CB" w:rsidRPr="002F0E6F">
        <w:rPr>
          <w:lang w:val="en-AU"/>
        </w:rPr>
        <w:t>ing</w:t>
      </w:r>
      <w:r w:rsidRPr="002F0E6F">
        <w:rPr>
          <w:lang w:val="en-AU"/>
        </w:rPr>
        <w:t xml:space="preserve"> property. Farms are often handed down through a family for generations and also are often inherited by particular members of the family who are thought to be most likely to keep the farm on foot and hand it on to the next generation. </w:t>
      </w:r>
      <w:r w:rsidR="00426D2F" w:rsidRPr="002F0E6F">
        <w:rPr>
          <w:lang w:val="en-AU"/>
        </w:rPr>
        <w:t>T</w:t>
      </w:r>
      <w:r w:rsidR="004F6D0A" w:rsidRPr="002F0E6F">
        <w:rPr>
          <w:lang w:val="en-AU"/>
        </w:rPr>
        <w:t xml:space="preserve">he result can be </w:t>
      </w:r>
      <w:r w:rsidRPr="002F0E6F">
        <w:rPr>
          <w:lang w:val="en-AU"/>
        </w:rPr>
        <w:t xml:space="preserve">that some </w:t>
      </w:r>
      <w:r w:rsidR="00B32377" w:rsidRPr="002F0E6F">
        <w:rPr>
          <w:lang w:val="en-AU"/>
        </w:rPr>
        <w:t xml:space="preserve">(non-farming) </w:t>
      </w:r>
      <w:r w:rsidRPr="002F0E6F">
        <w:rPr>
          <w:lang w:val="en-AU"/>
        </w:rPr>
        <w:t xml:space="preserve">members of the family are left with very little in the way of </w:t>
      </w:r>
      <w:r w:rsidR="004F6D0A" w:rsidRPr="002F0E6F">
        <w:rPr>
          <w:lang w:val="en-AU"/>
        </w:rPr>
        <w:t>provision from (usually) their parents’ estate</w:t>
      </w:r>
      <w:r w:rsidRPr="002F0E6F">
        <w:rPr>
          <w:lang w:val="en-AU"/>
        </w:rPr>
        <w:t>.</w:t>
      </w:r>
      <w:r w:rsidR="0002304C" w:rsidRPr="004C0512">
        <w:rPr>
          <w:rStyle w:val="FootnoteReference"/>
        </w:rPr>
        <w:footnoteReference w:id="148"/>
      </w:r>
      <w:r w:rsidRPr="002F0E6F">
        <w:rPr>
          <w:lang w:val="en-AU"/>
        </w:rPr>
        <w:t xml:space="preserve"> </w:t>
      </w:r>
      <w:r w:rsidR="004F6D0A" w:rsidRPr="002F0E6F">
        <w:rPr>
          <w:lang w:val="en-AU"/>
        </w:rPr>
        <w:t>SALRI</w:t>
      </w:r>
      <w:r w:rsidR="004C0512">
        <w:rPr>
          <w:lang w:val="en-AU"/>
        </w:rPr>
        <w:t>’s</w:t>
      </w:r>
      <w:r w:rsidR="009757F1" w:rsidRPr="002F0E6F">
        <w:rPr>
          <w:lang w:val="en-AU"/>
        </w:rPr>
        <w:t xml:space="preserve"> </w:t>
      </w:r>
      <w:r w:rsidR="004C0512">
        <w:rPr>
          <w:lang w:val="en-AU"/>
        </w:rPr>
        <w:t>r</w:t>
      </w:r>
      <w:r w:rsidR="009757F1" w:rsidRPr="002F0E6F">
        <w:rPr>
          <w:lang w:val="en-AU"/>
        </w:rPr>
        <w:t xml:space="preserve">eport made the point that there is no ‘magic bullet’ to resolve this </w:t>
      </w:r>
      <w:r w:rsidR="004F6D0A" w:rsidRPr="002F0E6F">
        <w:rPr>
          <w:lang w:val="en-AU"/>
        </w:rPr>
        <w:t>issue</w:t>
      </w:r>
      <w:r w:rsidR="009757F1" w:rsidRPr="002F0E6F">
        <w:rPr>
          <w:lang w:val="en-AU"/>
        </w:rPr>
        <w:t>.</w:t>
      </w:r>
      <w:r w:rsidR="00E51E39" w:rsidRPr="004C0512">
        <w:rPr>
          <w:rStyle w:val="FootnoteReference"/>
        </w:rPr>
        <w:footnoteReference w:id="149"/>
      </w:r>
      <w:r w:rsidR="009757F1" w:rsidRPr="002F0E6F">
        <w:rPr>
          <w:lang w:val="en-AU"/>
        </w:rPr>
        <w:t xml:space="preserve"> </w:t>
      </w:r>
      <w:r w:rsidR="004F6D0A" w:rsidRPr="002F0E6F">
        <w:rPr>
          <w:lang w:val="en-AU"/>
        </w:rPr>
        <w:t>This is particularly</w:t>
      </w:r>
      <w:r w:rsidR="009757F1" w:rsidRPr="002F0E6F">
        <w:rPr>
          <w:lang w:val="en-AU"/>
        </w:rPr>
        <w:t xml:space="preserve"> </w:t>
      </w:r>
      <w:r w:rsidR="004C0512">
        <w:rPr>
          <w:lang w:val="en-AU"/>
        </w:rPr>
        <w:t xml:space="preserve">so </w:t>
      </w:r>
      <w:r w:rsidR="009757F1" w:rsidRPr="002F0E6F">
        <w:rPr>
          <w:lang w:val="en-AU"/>
        </w:rPr>
        <w:t>where there is one major asset that is relatively indivisible and a number of claimants upon that asset.</w:t>
      </w:r>
    </w:p>
    <w:p w14:paraId="0632AF59" w14:textId="49283EFC" w:rsidR="00914E47" w:rsidRPr="002F0E6F" w:rsidRDefault="00914E47" w:rsidP="004C0512">
      <w:pPr>
        <w:pStyle w:val="NormalNumberedTextTLRI"/>
        <w:rPr>
          <w:lang w:val="en-AU"/>
        </w:rPr>
      </w:pPr>
      <w:r w:rsidRPr="002F0E6F">
        <w:rPr>
          <w:lang w:val="en-AU"/>
        </w:rPr>
        <w:t xml:space="preserve">The Institute requests feedback about any adverse implications that </w:t>
      </w:r>
      <w:r w:rsidR="008D69F1">
        <w:rPr>
          <w:lang w:val="en-AU"/>
        </w:rPr>
        <w:t>may</w:t>
      </w:r>
      <w:r w:rsidRPr="002F0E6F">
        <w:rPr>
          <w:lang w:val="en-AU"/>
        </w:rPr>
        <w:t xml:space="preserve"> result if </w:t>
      </w:r>
      <w:r w:rsidRPr="004C0512">
        <w:t>notional</w:t>
      </w:r>
      <w:r w:rsidRPr="002F0E6F">
        <w:rPr>
          <w:lang w:val="en-AU"/>
        </w:rPr>
        <w:t xml:space="preserve"> estate legislation were introduced in Tasmania.</w:t>
      </w:r>
    </w:p>
    <w:p w14:paraId="5FF9CC15" w14:textId="533BA0C5" w:rsidR="00AC6D38" w:rsidRPr="004C0512" w:rsidRDefault="00AC6D38" w:rsidP="00224FDD">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rPr>
          <w:b/>
        </w:rPr>
      </w:pPr>
      <w:bookmarkStart w:id="73" w:name="Question4"/>
      <w:r w:rsidRPr="004C0512">
        <w:rPr>
          <w:b/>
        </w:rPr>
        <w:t>Question 4</w:t>
      </w:r>
    </w:p>
    <w:bookmarkEnd w:id="73"/>
    <w:p w14:paraId="0D1729C8" w14:textId="51FB6E07" w:rsidR="00AC6D38" w:rsidRPr="004C0512" w:rsidRDefault="004C0512" w:rsidP="00224FDD">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spacing w:before="120" w:after="120"/>
        <w:ind w:left="57" w:right="57"/>
      </w:pPr>
      <w:r w:rsidRPr="004C0512">
        <w:t xml:space="preserve">Do you consider that introduction </w:t>
      </w:r>
      <w:r w:rsidR="00035A02" w:rsidRPr="004C0512">
        <w:t xml:space="preserve">of </w:t>
      </w:r>
      <w:r w:rsidR="00AC6D38" w:rsidRPr="004C0512">
        <w:t xml:space="preserve">notional estate provisions in Tasmania would create difficulties or issues? For example, in your experience </w:t>
      </w:r>
      <w:r w:rsidR="00035A02" w:rsidRPr="004C0512">
        <w:t>or</w:t>
      </w:r>
      <w:r w:rsidR="00AC6D38" w:rsidRPr="004C0512">
        <w:t xml:space="preserve"> opinion how might notional estate legislation interfere with: </w:t>
      </w:r>
    </w:p>
    <w:p w14:paraId="4CAAA390" w14:textId="77777777" w:rsidR="00AC6D38" w:rsidRPr="004C0512" w:rsidRDefault="00AC6D38" w:rsidP="00224FDD">
      <w:pPr>
        <w:pStyle w:val="NumberlessNormalText"/>
        <w:numPr>
          <w:ilvl w:val="0"/>
          <w:numId w:val="36"/>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 w:val="left" w:pos="709"/>
        </w:tabs>
        <w:spacing w:before="80" w:after="80"/>
        <w:ind w:left="482" w:right="57" w:hanging="425"/>
      </w:pPr>
      <w:r w:rsidRPr="004C0512">
        <w:t>tax planning;</w:t>
      </w:r>
    </w:p>
    <w:p w14:paraId="4951B736" w14:textId="0F0F3BAE" w:rsidR="00AC6D38" w:rsidRPr="004C0512" w:rsidRDefault="00AC6D38" w:rsidP="00224FDD">
      <w:pPr>
        <w:pStyle w:val="NumberlessNormalText"/>
        <w:numPr>
          <w:ilvl w:val="0"/>
          <w:numId w:val="36"/>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 w:val="left" w:pos="709"/>
        </w:tabs>
        <w:spacing w:before="80" w:after="80"/>
        <w:ind w:left="482" w:right="57" w:hanging="425"/>
      </w:pPr>
      <w:r w:rsidRPr="004C0512">
        <w:t xml:space="preserve">asset protection </w:t>
      </w:r>
      <w:r w:rsidR="004C0512" w:rsidRPr="004C0512">
        <w:t>arrangements</w:t>
      </w:r>
      <w:r w:rsidRPr="004C0512">
        <w:t xml:space="preserve">; </w:t>
      </w:r>
    </w:p>
    <w:p w14:paraId="5EEE5BAC" w14:textId="59E17185" w:rsidR="00AC6D38" w:rsidRPr="004C0512" w:rsidRDefault="00AC6D38" w:rsidP="00224FDD">
      <w:pPr>
        <w:pStyle w:val="NumberlessNormalText"/>
        <w:numPr>
          <w:ilvl w:val="0"/>
          <w:numId w:val="36"/>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 w:val="left" w:pos="709"/>
        </w:tabs>
        <w:spacing w:before="80" w:after="80"/>
        <w:ind w:left="482" w:right="57" w:hanging="425"/>
      </w:pPr>
      <w:r w:rsidRPr="004C0512">
        <w:t>provisions made for individuals during a person’s life;</w:t>
      </w:r>
    </w:p>
    <w:p w14:paraId="793FB324" w14:textId="77777777" w:rsidR="00AC6D38" w:rsidRPr="004C0512" w:rsidRDefault="00AC6D38" w:rsidP="00224FDD">
      <w:pPr>
        <w:pStyle w:val="NumberlessNormalText"/>
        <w:numPr>
          <w:ilvl w:val="0"/>
          <w:numId w:val="36"/>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 w:val="left" w:pos="709"/>
        </w:tabs>
        <w:spacing w:before="80" w:after="80"/>
        <w:ind w:left="482" w:right="57" w:hanging="425"/>
      </w:pPr>
      <w:r w:rsidRPr="004C0512">
        <w:t>farming or business succession arrangements; or</w:t>
      </w:r>
    </w:p>
    <w:p w14:paraId="1BC86E3B" w14:textId="38CCD6BB" w:rsidR="00AC6D38" w:rsidRPr="004C0512" w:rsidRDefault="00AC6D38" w:rsidP="00224FDD">
      <w:pPr>
        <w:pStyle w:val="NumberlessNormalText"/>
        <w:numPr>
          <w:ilvl w:val="0"/>
          <w:numId w:val="36"/>
        </w:numPr>
        <w:pBdr>
          <w:top w:val="single" w:sz="2" w:space="1" w:color="auto"/>
          <w:left w:val="single" w:sz="2" w:space="1" w:color="auto"/>
          <w:bottom w:val="single" w:sz="2" w:space="1" w:color="auto"/>
          <w:right w:val="single" w:sz="2" w:space="1" w:color="auto"/>
        </w:pBdr>
        <w:shd w:val="clear" w:color="auto" w:fill="D9D9D9" w:themeFill="background1" w:themeFillShade="D9"/>
        <w:tabs>
          <w:tab w:val="clear" w:pos="851"/>
          <w:tab w:val="left" w:pos="709"/>
        </w:tabs>
        <w:spacing w:before="80" w:after="80"/>
        <w:ind w:left="482" w:right="57" w:hanging="425"/>
      </w:pPr>
      <w:r w:rsidRPr="004C0512">
        <w:t>other aspects of estate planning?</w:t>
      </w:r>
    </w:p>
    <w:p w14:paraId="6AC14F0E" w14:textId="61074621" w:rsidR="00880F23" w:rsidRPr="002F0E6F" w:rsidRDefault="00FF373C" w:rsidP="00161265">
      <w:pPr>
        <w:pStyle w:val="NumberedHeadingTLRI"/>
        <w:rPr>
          <w:lang w:val="en-AU"/>
        </w:rPr>
      </w:pPr>
      <w:bookmarkStart w:id="74" w:name="_Toc251645"/>
      <w:bookmarkStart w:id="75" w:name="_Toc2256878"/>
      <w:bookmarkEnd w:id="74"/>
      <w:r>
        <w:rPr>
          <w:lang w:val="en-AU"/>
        </w:rPr>
        <w:lastRenderedPageBreak/>
        <w:t xml:space="preserve">The </w:t>
      </w:r>
      <w:r w:rsidR="00035A02" w:rsidRPr="002F0E6F">
        <w:rPr>
          <w:lang w:val="en-AU"/>
        </w:rPr>
        <w:t>New South Wales provisions</w:t>
      </w:r>
      <w:bookmarkEnd w:id="75"/>
    </w:p>
    <w:p w14:paraId="7DE26FD9" w14:textId="4AB6DC27" w:rsidR="00426D2F" w:rsidRPr="002F0E6F" w:rsidRDefault="00426D2F" w:rsidP="002C0C0D">
      <w:pPr>
        <w:pStyle w:val="NormalNumberedTextTLRI"/>
        <w:rPr>
          <w:lang w:val="en-AU"/>
        </w:rPr>
      </w:pPr>
      <w:r w:rsidRPr="002F0E6F">
        <w:rPr>
          <w:lang w:val="en-AU"/>
        </w:rPr>
        <w:t xml:space="preserve">In </w:t>
      </w:r>
      <w:r w:rsidRPr="002C0C0D">
        <w:t>order</w:t>
      </w:r>
      <w:r w:rsidRPr="002F0E6F">
        <w:rPr>
          <w:lang w:val="en-AU"/>
        </w:rPr>
        <w:t xml:space="preserve"> to fully </w:t>
      </w:r>
      <w:r w:rsidR="005E1FE6" w:rsidRPr="002F0E6F">
        <w:rPr>
          <w:lang w:val="en-AU"/>
        </w:rPr>
        <w:t>consider</w:t>
      </w:r>
      <w:r w:rsidRPr="002F0E6F">
        <w:rPr>
          <w:lang w:val="en-AU"/>
        </w:rPr>
        <w:t xml:space="preserve"> the question of whether Tasmania should introduce notional estate legislation, it is necessary to </w:t>
      </w:r>
      <w:r w:rsidR="00235349" w:rsidRPr="002F0E6F">
        <w:rPr>
          <w:lang w:val="en-AU"/>
        </w:rPr>
        <w:t xml:space="preserve">articulate what those provisions might look like. One option would be to simply introduce </w:t>
      </w:r>
      <w:r w:rsidR="009B63BC" w:rsidRPr="002F0E6F">
        <w:rPr>
          <w:lang w:val="en-AU"/>
        </w:rPr>
        <w:t xml:space="preserve">New South Wales’ </w:t>
      </w:r>
      <w:r w:rsidR="00235349" w:rsidRPr="002F0E6F">
        <w:rPr>
          <w:lang w:val="en-AU"/>
        </w:rPr>
        <w:t xml:space="preserve">notional estate laws without amendment. These provisions are broadly consistent with the National Committee’s recommendations about the approach that national uniform succession laws should take. Alternatively, it may be that there is opposition to particular parts of the </w:t>
      </w:r>
      <w:r w:rsidR="009B63BC" w:rsidRPr="002F0E6F">
        <w:rPr>
          <w:lang w:val="en-AU"/>
        </w:rPr>
        <w:t xml:space="preserve">New South Wales </w:t>
      </w:r>
      <w:r w:rsidR="00235349" w:rsidRPr="002F0E6F">
        <w:rPr>
          <w:lang w:val="en-AU"/>
        </w:rPr>
        <w:t xml:space="preserve">approach and that, if notional estate laws are to be introduced, certain variations to the </w:t>
      </w:r>
      <w:r w:rsidR="009B63BC" w:rsidRPr="002F0E6F">
        <w:rPr>
          <w:lang w:val="en-AU"/>
        </w:rPr>
        <w:t xml:space="preserve">New South Wales </w:t>
      </w:r>
      <w:r w:rsidR="00235349" w:rsidRPr="002F0E6F">
        <w:rPr>
          <w:lang w:val="en-AU"/>
        </w:rPr>
        <w:t>legislation are required.</w:t>
      </w:r>
    </w:p>
    <w:p w14:paraId="67F0B7FD" w14:textId="265515F1" w:rsidR="00035A02" w:rsidRPr="002F0E6F" w:rsidRDefault="001766FC" w:rsidP="002C0C0D">
      <w:pPr>
        <w:pStyle w:val="NormalNumberedTextTLRI"/>
        <w:rPr>
          <w:lang w:val="en-AU"/>
        </w:rPr>
      </w:pPr>
      <w:r w:rsidRPr="002F0E6F">
        <w:rPr>
          <w:lang w:val="en-AU"/>
        </w:rPr>
        <w:t xml:space="preserve">Part 4 of </w:t>
      </w:r>
      <w:r w:rsidR="002C0C0D">
        <w:rPr>
          <w:lang w:val="en-AU"/>
        </w:rPr>
        <w:t>this</w:t>
      </w:r>
      <w:r w:rsidRPr="002F0E6F">
        <w:rPr>
          <w:lang w:val="en-AU"/>
        </w:rPr>
        <w:t xml:space="preserve"> Issues Paper </w:t>
      </w:r>
      <w:r w:rsidR="00426D2F" w:rsidRPr="002F0E6F">
        <w:rPr>
          <w:lang w:val="en-AU"/>
        </w:rPr>
        <w:t xml:space="preserve">summarised </w:t>
      </w:r>
      <w:r w:rsidR="009B63BC" w:rsidRPr="002F0E6F">
        <w:rPr>
          <w:lang w:val="en-AU"/>
        </w:rPr>
        <w:t xml:space="preserve">New South Wales’ </w:t>
      </w:r>
      <w:r w:rsidR="00426D2F" w:rsidRPr="002F0E6F">
        <w:rPr>
          <w:lang w:val="en-AU"/>
        </w:rPr>
        <w:t xml:space="preserve">notional estate provisions. </w:t>
      </w:r>
      <w:r w:rsidR="00235349" w:rsidRPr="002F0E6F">
        <w:rPr>
          <w:lang w:val="en-AU"/>
        </w:rPr>
        <w:t xml:space="preserve">The Institute seeks feedback </w:t>
      </w:r>
      <w:r w:rsidR="00235349" w:rsidRPr="002C0C0D">
        <w:t>about</w:t>
      </w:r>
      <w:r w:rsidR="00235349" w:rsidRPr="002F0E6F">
        <w:rPr>
          <w:lang w:val="en-AU"/>
        </w:rPr>
        <w:t xml:space="preserve"> whether there are any perceived difficulties with the NSW </w:t>
      </w:r>
      <w:r w:rsidR="00EE29FF" w:rsidRPr="00EE29FF">
        <w:rPr>
          <w:i/>
          <w:lang w:val="en-AU"/>
        </w:rPr>
        <w:t>Succession Act</w:t>
      </w:r>
      <w:r w:rsidR="00235349" w:rsidRPr="002F0E6F">
        <w:rPr>
          <w:lang w:val="en-AU"/>
        </w:rPr>
        <w:t xml:space="preserve"> and whether, if Tasmania were to introduce notional estate legislation, there should be any variation to the laws operating in </w:t>
      </w:r>
      <w:r w:rsidR="009B63BC" w:rsidRPr="002F0E6F">
        <w:rPr>
          <w:lang w:val="en-AU"/>
        </w:rPr>
        <w:t>New South Wales</w:t>
      </w:r>
      <w:r w:rsidR="00235349" w:rsidRPr="002F0E6F">
        <w:rPr>
          <w:lang w:val="en-AU"/>
        </w:rPr>
        <w:t>.</w:t>
      </w:r>
    </w:p>
    <w:p w14:paraId="49356B03" w14:textId="2A4D74B0" w:rsidR="00035A02" w:rsidRPr="002C0C0D" w:rsidRDefault="00035A02" w:rsidP="00F763BE">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20" w:after="240"/>
        <w:ind w:left="482" w:right="57" w:hanging="425"/>
        <w:rPr>
          <w:b/>
        </w:rPr>
      </w:pPr>
      <w:bookmarkStart w:id="76" w:name="Question5"/>
      <w:r w:rsidRPr="002C0C0D">
        <w:rPr>
          <w:b/>
        </w:rPr>
        <w:t xml:space="preserve">Question </w:t>
      </w:r>
      <w:r w:rsidR="00E51E39" w:rsidRPr="002C0C0D">
        <w:rPr>
          <w:b/>
        </w:rPr>
        <w:t>5</w:t>
      </w:r>
    </w:p>
    <w:bookmarkEnd w:id="76"/>
    <w:p w14:paraId="65FC10C1" w14:textId="566E492F" w:rsidR="0093045E" w:rsidRPr="002F0E6F" w:rsidRDefault="0093045E" w:rsidP="002C0C0D">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20" w:after="120"/>
        <w:ind w:left="57" w:right="57"/>
      </w:pPr>
      <w:r w:rsidRPr="002F0E6F">
        <w:t>If notional estate provisions were introduced in Tasmania, should the New South Wales legislation be used as a precedent? If so, are there any parts of the</w:t>
      </w:r>
      <w:r w:rsidR="008D69F1">
        <w:t>se</w:t>
      </w:r>
      <w:r w:rsidR="00CF5FFA">
        <w:t xml:space="preserve"> </w:t>
      </w:r>
      <w:r w:rsidRPr="002F0E6F">
        <w:t xml:space="preserve">provisions that you think should be changed? For example, do you consider that there is a need to make any change to: </w:t>
      </w:r>
    </w:p>
    <w:p w14:paraId="34A2BEAA" w14:textId="4A230741" w:rsidR="0093045E"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 xml:space="preserve">the types of property that </w:t>
      </w:r>
      <w:r w:rsidR="008B513A">
        <w:t>may be affected</w:t>
      </w:r>
      <w:r w:rsidRPr="002F0E6F">
        <w:t>;</w:t>
      </w:r>
    </w:p>
    <w:p w14:paraId="72247394" w14:textId="77777777" w:rsidR="0093045E"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the acts (or failures to act) captured;</w:t>
      </w:r>
    </w:p>
    <w:p w14:paraId="3AB6E997" w14:textId="77777777" w:rsidR="0093045E"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the relevance of a person’s intentions;</w:t>
      </w:r>
    </w:p>
    <w:p w14:paraId="72F3DC62" w14:textId="77777777" w:rsidR="0093045E"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 xml:space="preserve">the period of time in which a relevant property </w:t>
      </w:r>
      <w:r w:rsidR="000C726F" w:rsidRPr="002F0E6F">
        <w:t>transaction</w:t>
      </w:r>
      <w:r w:rsidRPr="002F0E6F">
        <w:t xml:space="preserve"> occurs that is covered;</w:t>
      </w:r>
    </w:p>
    <w:p w14:paraId="10B9DF95" w14:textId="65A1BBDD" w:rsidR="0093045E"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the circumstances in which a notional estate order may be made; or</w:t>
      </w:r>
    </w:p>
    <w:p w14:paraId="48BE40C9" w14:textId="22E6F10A" w:rsidR="00035A02" w:rsidRPr="002F0E6F" w:rsidRDefault="00035A02" w:rsidP="002C0C0D">
      <w:pPr>
        <w:pStyle w:val="NumberlessNormalText"/>
        <w:numPr>
          <w:ilvl w:val="0"/>
          <w:numId w:val="38"/>
        </w:numPr>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709"/>
        </w:tabs>
        <w:spacing w:before="120" w:after="120"/>
        <w:ind w:left="482" w:right="57" w:hanging="425"/>
      </w:pPr>
      <w:r w:rsidRPr="002F0E6F">
        <w:t>any other provisions.</w:t>
      </w:r>
    </w:p>
    <w:p w14:paraId="1B0A39A1" w14:textId="072676B6" w:rsidR="00235349" w:rsidRPr="002F0E6F" w:rsidRDefault="00235349" w:rsidP="002C0C0D">
      <w:pPr>
        <w:pStyle w:val="NormalNumberedTextTLRI"/>
        <w:rPr>
          <w:b/>
          <w:lang w:val="en-AU"/>
        </w:rPr>
      </w:pPr>
      <w:r w:rsidRPr="002F0E6F">
        <w:rPr>
          <w:lang w:val="en-AU"/>
        </w:rPr>
        <w:t xml:space="preserve">Finally, the Institute </w:t>
      </w:r>
      <w:r w:rsidR="008D69F1">
        <w:rPr>
          <w:lang w:val="en-AU"/>
        </w:rPr>
        <w:t>invites</w:t>
      </w:r>
      <w:r w:rsidRPr="002F0E6F">
        <w:rPr>
          <w:lang w:val="en-AU"/>
        </w:rPr>
        <w:t xml:space="preserve"> respondents to advance any other matters that it is considered </w:t>
      </w:r>
      <w:r w:rsidRPr="002C0C0D">
        <w:t>ought</w:t>
      </w:r>
      <w:r w:rsidRPr="002F0E6F">
        <w:rPr>
          <w:lang w:val="en-AU"/>
        </w:rPr>
        <w:t xml:space="preserve"> to be taken into account when determining the question of whether</w:t>
      </w:r>
      <w:r w:rsidR="00573179" w:rsidRPr="002F0E6F">
        <w:rPr>
          <w:lang w:val="en-AU"/>
        </w:rPr>
        <w:t xml:space="preserve"> notional estate legislation should be introduced in Tasmania.</w:t>
      </w:r>
    </w:p>
    <w:p w14:paraId="45ECE00B" w14:textId="77777777" w:rsidR="00035A02" w:rsidRPr="00F763BE" w:rsidRDefault="00035A02" w:rsidP="00F763BE">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rPr>
          <w:b/>
        </w:rPr>
      </w:pPr>
      <w:bookmarkStart w:id="77" w:name="Question6"/>
      <w:r w:rsidRPr="00F763BE">
        <w:rPr>
          <w:b/>
        </w:rPr>
        <w:t>Question 6</w:t>
      </w:r>
    </w:p>
    <w:bookmarkEnd w:id="77"/>
    <w:p w14:paraId="2B5BCFBA" w14:textId="3DBFF10F" w:rsidR="00035A02" w:rsidRPr="00F763BE" w:rsidRDefault="00035A02" w:rsidP="00F763BE">
      <w:pPr>
        <w:pStyle w:val="NumberlessNormalText"/>
        <w:pBdr>
          <w:top w:val="single" w:sz="2" w:space="1" w:color="auto"/>
          <w:left w:val="single" w:sz="2" w:space="1" w:color="auto"/>
          <w:bottom w:val="single" w:sz="2" w:space="1" w:color="auto"/>
          <w:right w:val="single" w:sz="2" w:space="1" w:color="auto"/>
        </w:pBdr>
        <w:shd w:val="clear" w:color="auto" w:fill="D9D9D9" w:themeFill="background1" w:themeFillShade="D9"/>
      </w:pPr>
      <w:r w:rsidRPr="00F763BE">
        <w:t xml:space="preserve">Are there any other matters in relation to </w:t>
      </w:r>
      <w:r w:rsidR="00E51E39" w:rsidRPr="00F763BE">
        <w:t>introducing</w:t>
      </w:r>
      <w:r w:rsidRPr="00F763BE">
        <w:t xml:space="preserve"> notional estate legislation in Tasmania that you would like to comment on?</w:t>
      </w:r>
    </w:p>
    <w:p w14:paraId="6A0690E9" w14:textId="4719F696" w:rsidR="00E714F7" w:rsidRDefault="00E714F7" w:rsidP="0010593E">
      <w:pPr>
        <w:rPr>
          <w:b/>
        </w:rPr>
      </w:pPr>
    </w:p>
    <w:p w14:paraId="65C1B6A7" w14:textId="77777777" w:rsidR="00F763BE" w:rsidRDefault="00F763BE" w:rsidP="0010593E">
      <w:pPr>
        <w:rPr>
          <w:b/>
        </w:rPr>
        <w:sectPr w:rsidR="00F763BE" w:rsidSect="000F2AEC">
          <w:headerReference w:type="even" r:id="rId60"/>
          <w:headerReference w:type="default" r:id="rId61"/>
          <w:headerReference w:type="first" r:id="rId62"/>
          <w:pgSz w:w="11906" w:h="16838" w:code="9"/>
          <w:pgMar w:top="1440" w:right="1440" w:bottom="1440" w:left="1440" w:header="709" w:footer="709" w:gutter="0"/>
          <w:cols w:space="708"/>
          <w:titlePg/>
          <w:docGrid w:linePitch="360"/>
        </w:sectPr>
      </w:pPr>
    </w:p>
    <w:p w14:paraId="1C4D5099" w14:textId="40FA6CBB" w:rsidR="009460FD" w:rsidRPr="00B708CF" w:rsidRDefault="009460FD" w:rsidP="001B48DB">
      <w:pPr>
        <w:pStyle w:val="NumberlessSectionHeading"/>
        <w:spacing w:before="0"/>
        <w:ind w:right="0"/>
      </w:pPr>
      <w:bookmarkStart w:id="78" w:name="_Toc2256879"/>
      <w:r w:rsidRPr="00B708CF">
        <w:lastRenderedPageBreak/>
        <w:t>APPENDIX A</w:t>
      </w:r>
      <w:bookmarkEnd w:id="78"/>
    </w:p>
    <w:p w14:paraId="5D19BC25" w14:textId="2E0A6CE3" w:rsidR="009460FD" w:rsidRPr="002B6B9C" w:rsidRDefault="009460FD" w:rsidP="00CE7F2F">
      <w:pPr>
        <w:spacing w:before="100" w:beforeAutospacing="1" w:after="100" w:afterAutospacing="1"/>
        <w:jc w:val="both"/>
        <w:outlineLvl w:val="0"/>
        <w:rPr>
          <w:rFonts w:ascii="Times New Roman" w:eastAsia="Times New Roman" w:hAnsi="Times New Roman" w:cs="Times New Roman"/>
          <w:b/>
          <w:bCs/>
          <w:kern w:val="36"/>
        </w:rPr>
      </w:pPr>
      <w:r w:rsidRPr="002B6B9C">
        <w:rPr>
          <w:rFonts w:ascii="Times New Roman" w:eastAsia="Times New Roman" w:hAnsi="Times New Roman" w:cs="Times New Roman"/>
          <w:b/>
          <w:bCs/>
          <w:kern w:val="36"/>
        </w:rPr>
        <w:t>Testator</w:t>
      </w:r>
      <w:r w:rsidR="00F763BE" w:rsidRPr="002B6B9C">
        <w:rPr>
          <w:rFonts w:ascii="Times New Roman" w:eastAsia="Times New Roman" w:hAnsi="Times New Roman" w:cs="Times New Roman"/>
          <w:b/>
          <w:bCs/>
          <w:kern w:val="36"/>
        </w:rPr>
        <w:t>’</w:t>
      </w:r>
      <w:r w:rsidRPr="002B6B9C">
        <w:rPr>
          <w:rFonts w:ascii="Times New Roman" w:eastAsia="Times New Roman" w:hAnsi="Times New Roman" w:cs="Times New Roman"/>
          <w:b/>
          <w:bCs/>
          <w:kern w:val="36"/>
        </w:rPr>
        <w:t>s Family Maintenance Act 1912</w:t>
      </w:r>
    </w:p>
    <w:p w14:paraId="3F53CAFB" w14:textId="77777777" w:rsidR="009460FD" w:rsidRPr="002B6B9C" w:rsidRDefault="009460FD" w:rsidP="00CE7F2F">
      <w:pPr>
        <w:spacing w:before="100" w:beforeAutospacing="1" w:after="100" w:afterAutospacing="1"/>
        <w:jc w:val="both"/>
        <w:rPr>
          <w:rFonts w:ascii="Times New Roman" w:hAnsi="Times New Roman" w:cs="Times New Roman"/>
          <w:b/>
        </w:rPr>
      </w:pPr>
      <w:r w:rsidRPr="002B6B9C">
        <w:rPr>
          <w:rFonts w:ascii="Times New Roman" w:hAnsi="Times New Roman" w:cs="Times New Roman"/>
          <w:b/>
        </w:rPr>
        <w:t>An Act to assure to the family of a deceased person a certain interest in the estate of the deceased person</w:t>
      </w:r>
    </w:p>
    <w:p w14:paraId="0C9EDC79" w14:textId="77777777"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[Royal Assent 6 December 1912]</w:t>
      </w:r>
    </w:p>
    <w:p w14:paraId="457CC6E7" w14:textId="77777777" w:rsidR="009460FD" w:rsidRPr="002B6B9C" w:rsidRDefault="009460FD" w:rsidP="00CE7F2F">
      <w:pPr>
        <w:spacing w:before="100" w:beforeAutospacing="1" w:after="100" w:afterAutospacing="1"/>
        <w:jc w:val="both"/>
        <w:rPr>
          <w:rFonts w:ascii="Times New Roman" w:hAnsi="Times New Roman" w:cs="Times New Roman"/>
        </w:rPr>
      </w:pPr>
      <w:bookmarkStart w:id="79" w:name="Cw@EN"/>
      <w:bookmarkEnd w:id="79"/>
      <w:r w:rsidRPr="002B6B9C">
        <w:rPr>
          <w:rFonts w:ascii="Times New Roman" w:hAnsi="Times New Roman" w:cs="Times New Roman"/>
        </w:rPr>
        <w:t>Be it enacted by His Excellency the Governor of Tasmania, by and with the advice and consent of the Legislative Council and House of Assembly, in Parliament assembled, as follows:</w:t>
      </w:r>
    </w:p>
    <w:p w14:paraId="5EE7678E" w14:textId="0A6F0641" w:rsidR="009460FD" w:rsidRPr="002B6B9C" w:rsidRDefault="009460FD" w:rsidP="00CE7F2F">
      <w:pPr>
        <w:spacing w:before="100" w:beforeAutospacing="1" w:after="100" w:afterAutospacing="1"/>
        <w:jc w:val="both"/>
        <w:rPr>
          <w:rFonts w:ascii="Times New Roman" w:hAnsi="Times New Roman" w:cs="Times New Roman"/>
        </w:rPr>
      </w:pPr>
      <w:r w:rsidRPr="002B6B9C">
        <w:rPr>
          <w:rFonts w:ascii="Times New Roman" w:hAnsi="Times New Roman" w:cs="Times New Roman"/>
          <w:b/>
          <w:bCs/>
        </w:rPr>
        <w:t>1.</w:t>
      </w:r>
      <w:r w:rsidR="00F763BE" w:rsidRPr="002B6B9C">
        <w:rPr>
          <w:rFonts w:ascii="Times New Roman" w:hAnsi="Times New Roman" w:cs="Times New Roman"/>
        </w:rPr>
        <w:t xml:space="preserve"> </w:t>
      </w:r>
      <w:r w:rsidRPr="002B6B9C">
        <w:rPr>
          <w:rFonts w:ascii="Times New Roman" w:hAnsi="Times New Roman" w:cs="Times New Roman"/>
          <w:b/>
          <w:bCs/>
        </w:rPr>
        <w:t>Short title</w:t>
      </w:r>
    </w:p>
    <w:p w14:paraId="6E7C920B" w14:textId="5868893C" w:rsidR="009460FD" w:rsidRPr="002B6B9C" w:rsidRDefault="009460FD" w:rsidP="00CE7F2F">
      <w:pPr>
        <w:ind w:left="426"/>
        <w:jc w:val="both"/>
        <w:rPr>
          <w:rFonts w:ascii="Times New Roman" w:eastAsia="Times New Roman" w:hAnsi="Times New Roman" w:cs="Times New Roman"/>
        </w:rPr>
      </w:pPr>
      <w:r w:rsidRPr="002B6B9C">
        <w:rPr>
          <w:rFonts w:ascii="Times New Roman" w:eastAsia="Times New Roman" w:hAnsi="Times New Roman" w:cs="Times New Roman"/>
        </w:rPr>
        <w:t xml:space="preserve">This Act may be cited as the </w:t>
      </w:r>
      <w:r w:rsidRPr="00A931D0">
        <w:rPr>
          <w:rFonts w:ascii="Times New Roman" w:eastAsia="Times New Roman" w:hAnsi="Times New Roman" w:cs="Times New Roman"/>
          <w:i/>
        </w:rPr>
        <w:t>Testator</w:t>
      </w:r>
      <w:r w:rsidR="00CE7F2F" w:rsidRPr="00A931D0">
        <w:rPr>
          <w:rFonts w:ascii="Times New Roman" w:eastAsia="Times New Roman" w:hAnsi="Times New Roman" w:cs="Times New Roman"/>
          <w:i/>
        </w:rPr>
        <w:t>’</w:t>
      </w:r>
      <w:r w:rsidRPr="00A931D0">
        <w:rPr>
          <w:rFonts w:ascii="Times New Roman" w:eastAsia="Times New Roman" w:hAnsi="Times New Roman" w:cs="Times New Roman"/>
          <w:i/>
        </w:rPr>
        <w:t>s Family Maintenance Act 1912</w:t>
      </w:r>
      <w:r w:rsidRPr="002B6B9C">
        <w:rPr>
          <w:rFonts w:ascii="Times New Roman" w:eastAsia="Times New Roman" w:hAnsi="Times New Roman" w:cs="Times New Roman"/>
        </w:rPr>
        <w:t>.</w:t>
      </w:r>
    </w:p>
    <w:p w14:paraId="3E3F4D55" w14:textId="57BF7F7A" w:rsidR="009460FD" w:rsidRPr="002B6B9C" w:rsidRDefault="009460FD" w:rsidP="00CE7F2F">
      <w:pPr>
        <w:spacing w:before="100" w:beforeAutospacing="1" w:after="100" w:afterAutospacing="1"/>
        <w:jc w:val="both"/>
        <w:rPr>
          <w:rFonts w:ascii="Times New Roman" w:hAnsi="Times New Roman" w:cs="Times New Roman"/>
        </w:rPr>
      </w:pPr>
      <w:r w:rsidRPr="002B6B9C">
        <w:rPr>
          <w:rFonts w:ascii="Times New Roman" w:hAnsi="Times New Roman" w:cs="Times New Roman"/>
          <w:b/>
          <w:bCs/>
        </w:rPr>
        <w:t>2.</w:t>
      </w:r>
      <w:r w:rsidR="00F763BE" w:rsidRPr="002B6B9C">
        <w:rPr>
          <w:rFonts w:ascii="Times New Roman" w:hAnsi="Times New Roman" w:cs="Times New Roman"/>
        </w:rPr>
        <w:t xml:space="preserve"> </w:t>
      </w:r>
      <w:r w:rsidRPr="002B6B9C">
        <w:rPr>
          <w:rFonts w:ascii="Times New Roman" w:hAnsi="Times New Roman" w:cs="Times New Roman"/>
          <w:b/>
          <w:bCs/>
        </w:rPr>
        <w:t>Interpretation</w:t>
      </w:r>
    </w:p>
    <w:p w14:paraId="1D8680CF" w14:textId="37FCDD14" w:rsidR="009460FD" w:rsidRPr="002B6B9C" w:rsidRDefault="009460FD" w:rsidP="00CE7F2F">
      <w:pPr>
        <w:spacing w:before="120" w:after="120"/>
        <w:ind w:left="426"/>
        <w:jc w:val="both"/>
        <w:rPr>
          <w:rFonts w:ascii="Times New Roman" w:eastAsia="Times New Roman" w:hAnsi="Times New Roman" w:cs="Times New Roman"/>
        </w:rPr>
      </w:pPr>
      <w:bookmarkStart w:id="80" w:name="GS2@Gs1@EN"/>
      <w:bookmarkEnd w:id="80"/>
      <w:r w:rsidRPr="002B6B9C">
        <w:rPr>
          <w:rFonts w:ascii="Times New Roman" w:eastAsia="Times New Roman" w:hAnsi="Times New Roman" w:cs="Times New Roman"/>
        </w:rPr>
        <w:t>(1)</w:t>
      </w:r>
      <w:r w:rsidR="002B6B9C" w:rsidRPr="002B6B9C">
        <w:rPr>
          <w:rFonts w:ascii="Times New Roman" w:eastAsia="Times New Roman" w:hAnsi="Times New Roman" w:cs="Times New Roman"/>
        </w:rPr>
        <w:t xml:space="preserve"> </w:t>
      </w:r>
      <w:r w:rsidRPr="002B6B9C">
        <w:rPr>
          <w:rFonts w:ascii="Times New Roman" w:eastAsia="Times New Roman" w:hAnsi="Times New Roman" w:cs="Times New Roman"/>
        </w:rPr>
        <w:t>In this Act –</w:t>
      </w:r>
    </w:p>
    <w:p w14:paraId="4C085140" w14:textId="77777777"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adopted child</w:t>
      </w:r>
      <w:r w:rsidRPr="002B6B9C">
        <w:rPr>
          <w:rFonts w:ascii="Times New Roman" w:eastAsia="Times New Roman" w:hAnsi="Times New Roman" w:cs="Times New Roman"/>
        </w:rPr>
        <w:t xml:space="preserve"> –</w:t>
      </w:r>
      <w:bookmarkStart w:id="81" w:name="GS2@Gs1@Nd1@Hpa@EN"/>
      <w:bookmarkEnd w:id="81"/>
    </w:p>
    <w:p w14:paraId="7621EC19" w14:textId="77777777" w:rsidR="009460FD" w:rsidRPr="002B6B9C" w:rsidRDefault="009460FD" w:rsidP="00CE7F2F">
      <w:pPr>
        <w:spacing w:before="120" w:after="120"/>
        <w:ind w:left="1276"/>
        <w:jc w:val="both"/>
        <w:rPr>
          <w:rFonts w:ascii="Times New Roman" w:eastAsia="Times New Roman" w:hAnsi="Times New Roman" w:cs="Times New Roman"/>
        </w:rPr>
      </w:pPr>
      <w:r w:rsidRPr="002B6B9C">
        <w:rPr>
          <w:rFonts w:ascii="Times New Roman" w:eastAsia="Times New Roman" w:hAnsi="Times New Roman" w:cs="Times New Roman"/>
        </w:rPr>
        <w:t>(a) in the case of a child that is adopted in this State, means a child that is adopted by a person, or by a person and his spouse jointly, in accordance with the law relating to the adoption of children; or</w:t>
      </w:r>
    </w:p>
    <w:p w14:paraId="0E6B71D9" w14:textId="77777777" w:rsidR="009460FD" w:rsidRPr="002B6B9C" w:rsidRDefault="009460FD" w:rsidP="00CE7F2F">
      <w:pPr>
        <w:spacing w:before="120" w:after="120"/>
        <w:ind w:left="1276"/>
        <w:jc w:val="both"/>
        <w:rPr>
          <w:rFonts w:ascii="Times New Roman" w:eastAsia="Times New Roman" w:hAnsi="Times New Roman" w:cs="Times New Roman"/>
        </w:rPr>
      </w:pPr>
      <w:bookmarkStart w:id="82" w:name="GS2@Gs1@Nd1@Hpb@EN"/>
      <w:bookmarkEnd w:id="82"/>
      <w:r w:rsidRPr="002B6B9C">
        <w:rPr>
          <w:rFonts w:ascii="Times New Roman" w:eastAsia="Times New Roman" w:hAnsi="Times New Roman" w:cs="Times New Roman"/>
        </w:rPr>
        <w:t>(b) in the case of a child that is adopted elsewhere than in this State, means a child that is adopted by a person, or by a person and his spouse jointly, in accordance with the law of the State, Territory, or country where the adoption takes place, as in force at the date of the adoption;</w:t>
      </w:r>
    </w:p>
    <w:p w14:paraId="4AFB4190" w14:textId="77777777"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child</w:t>
      </w:r>
      <w:r w:rsidRPr="002B6B9C">
        <w:rPr>
          <w:rFonts w:ascii="Times New Roman" w:eastAsia="Times New Roman" w:hAnsi="Times New Roman" w:cs="Times New Roman"/>
        </w:rPr>
        <w:t xml:space="preserve"> includes –</w:t>
      </w:r>
      <w:bookmarkStart w:id="83" w:name="GS2@Gs1@Nd2@Hpa@EN"/>
      <w:bookmarkEnd w:id="83"/>
    </w:p>
    <w:p w14:paraId="240EFFD7" w14:textId="77777777" w:rsidR="009460FD" w:rsidRPr="002B6B9C" w:rsidRDefault="009460FD" w:rsidP="00CE7F2F">
      <w:pPr>
        <w:spacing w:before="120" w:after="120"/>
        <w:ind w:left="1276"/>
        <w:jc w:val="both"/>
        <w:rPr>
          <w:rFonts w:ascii="Times New Roman" w:eastAsia="Times New Roman" w:hAnsi="Times New Roman" w:cs="Times New Roman"/>
        </w:rPr>
      </w:pPr>
      <w:r w:rsidRPr="002B6B9C">
        <w:rPr>
          <w:rFonts w:ascii="Times New Roman" w:eastAsia="Times New Roman" w:hAnsi="Times New Roman" w:cs="Times New Roman"/>
        </w:rPr>
        <w:t>(a) an adopted child; and</w:t>
      </w:r>
    </w:p>
    <w:p w14:paraId="6E799C5E" w14:textId="77777777" w:rsidR="009460FD" w:rsidRPr="002B6B9C" w:rsidRDefault="009460FD" w:rsidP="00CE7F2F">
      <w:pPr>
        <w:spacing w:before="120" w:after="120"/>
        <w:ind w:left="1276"/>
        <w:jc w:val="both"/>
        <w:rPr>
          <w:rFonts w:ascii="Times New Roman" w:eastAsia="Times New Roman" w:hAnsi="Times New Roman" w:cs="Times New Roman"/>
        </w:rPr>
      </w:pPr>
      <w:bookmarkStart w:id="84" w:name="GS2@Gs1@Nd2@Hpb@EN"/>
      <w:bookmarkEnd w:id="84"/>
      <w:r w:rsidRPr="002B6B9C">
        <w:rPr>
          <w:rFonts w:ascii="Times New Roman" w:eastAsia="Times New Roman" w:hAnsi="Times New Roman" w:cs="Times New Roman"/>
        </w:rPr>
        <w:t>(b) a stepchild; and</w:t>
      </w:r>
    </w:p>
    <w:p w14:paraId="4A70A401" w14:textId="77777777" w:rsidR="009460FD" w:rsidRPr="002B6B9C" w:rsidRDefault="009460FD" w:rsidP="00CE7F2F">
      <w:pPr>
        <w:spacing w:before="120" w:after="120"/>
        <w:ind w:left="1276"/>
        <w:jc w:val="both"/>
        <w:rPr>
          <w:rFonts w:ascii="Times New Roman" w:eastAsia="Times New Roman" w:hAnsi="Times New Roman" w:cs="Times New Roman"/>
        </w:rPr>
      </w:pPr>
      <w:bookmarkStart w:id="85" w:name="GS2@Gs1@Nd2@Hpc@EN"/>
      <w:bookmarkEnd w:id="85"/>
      <w:r w:rsidRPr="002B6B9C">
        <w:rPr>
          <w:rFonts w:ascii="Times New Roman" w:eastAsia="Times New Roman" w:hAnsi="Times New Roman" w:cs="Times New Roman"/>
        </w:rPr>
        <w:t>(c) a surrogate child;</w:t>
      </w:r>
    </w:p>
    <w:p w14:paraId="5E509CE4" w14:textId="77777777"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Court</w:t>
      </w:r>
      <w:r w:rsidRPr="002B6B9C">
        <w:rPr>
          <w:rFonts w:ascii="Times New Roman" w:eastAsia="Times New Roman" w:hAnsi="Times New Roman" w:cs="Times New Roman"/>
        </w:rPr>
        <w:t xml:space="preserve"> means the Supreme Court;</w:t>
      </w:r>
    </w:p>
    <w:p w14:paraId="559FD18F" w14:textId="01D4DD99"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spouse</w:t>
      </w:r>
      <w:r w:rsidRPr="002B6B9C">
        <w:rPr>
          <w:rFonts w:ascii="Times New Roman" w:eastAsia="Times New Roman" w:hAnsi="Times New Roman" w:cs="Times New Roman"/>
        </w:rPr>
        <w:t xml:space="preserve"> includes the person with whom a person is, or was at the time of his or her death, in a significant relationship, within the meaning of the </w:t>
      </w:r>
      <w:r w:rsidRPr="00A931D0">
        <w:rPr>
          <w:rFonts w:ascii="Times New Roman" w:eastAsia="Times New Roman" w:hAnsi="Times New Roman" w:cs="Times New Roman"/>
          <w:i/>
        </w:rPr>
        <w:t>Relationships Act 2003</w:t>
      </w:r>
      <w:r w:rsidRPr="002B6B9C">
        <w:rPr>
          <w:rFonts w:ascii="Times New Roman" w:eastAsia="Times New Roman" w:hAnsi="Times New Roman" w:cs="Times New Roman"/>
        </w:rPr>
        <w:t>;</w:t>
      </w:r>
    </w:p>
    <w:p w14:paraId="6F374904" w14:textId="2E038F77"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stepchild</w:t>
      </w:r>
      <w:r w:rsidRPr="002B6B9C">
        <w:rPr>
          <w:rFonts w:ascii="Times New Roman" w:eastAsia="Times New Roman" w:hAnsi="Times New Roman" w:cs="Times New Roman"/>
        </w:rPr>
        <w:t xml:space="preserve"> means, in relation to a person</w:t>
      </w:r>
      <w:r w:rsidR="00CE7F2F">
        <w:rPr>
          <w:rFonts w:ascii="Times New Roman" w:eastAsia="Times New Roman" w:hAnsi="Times New Roman" w:cs="Times New Roman"/>
        </w:rPr>
        <w:t xml:space="preserve"> </w:t>
      </w:r>
      <w:r w:rsidRPr="002B6B9C">
        <w:rPr>
          <w:rFonts w:ascii="Times New Roman" w:eastAsia="Times New Roman" w:hAnsi="Times New Roman" w:cs="Times New Roman"/>
        </w:rPr>
        <w:t>–</w:t>
      </w:r>
      <w:bookmarkStart w:id="86" w:name="GS2@Gs1@Nd1992014422011@Hpa@EN"/>
      <w:bookmarkEnd w:id="86"/>
    </w:p>
    <w:p w14:paraId="36F91823" w14:textId="77777777" w:rsidR="009460FD" w:rsidRPr="002B6B9C" w:rsidRDefault="009460FD" w:rsidP="00CE7F2F">
      <w:pPr>
        <w:spacing w:before="120" w:after="120"/>
        <w:ind w:left="1276"/>
        <w:jc w:val="both"/>
        <w:rPr>
          <w:rFonts w:ascii="Times New Roman" w:eastAsia="Times New Roman" w:hAnsi="Times New Roman" w:cs="Times New Roman"/>
        </w:rPr>
      </w:pPr>
      <w:r w:rsidRPr="002B6B9C">
        <w:rPr>
          <w:rFonts w:ascii="Times New Roman" w:eastAsia="Times New Roman" w:hAnsi="Times New Roman" w:cs="Times New Roman"/>
        </w:rPr>
        <w:t>(a) a child of that person's spouse; and</w:t>
      </w:r>
    </w:p>
    <w:p w14:paraId="0D1FCFF5" w14:textId="77777777" w:rsidR="009460FD" w:rsidRPr="002B6B9C" w:rsidRDefault="009460FD" w:rsidP="00CE7F2F">
      <w:pPr>
        <w:spacing w:before="120" w:after="120"/>
        <w:ind w:left="1276"/>
        <w:jc w:val="both"/>
        <w:rPr>
          <w:rFonts w:ascii="Times New Roman" w:eastAsia="Times New Roman" w:hAnsi="Times New Roman" w:cs="Times New Roman"/>
        </w:rPr>
      </w:pPr>
      <w:bookmarkStart w:id="87" w:name="GS2@Gs1@Nd1992014422011@Hpb@EN"/>
      <w:bookmarkEnd w:id="87"/>
      <w:r w:rsidRPr="002B6B9C">
        <w:rPr>
          <w:rFonts w:ascii="Times New Roman" w:eastAsia="Times New Roman" w:hAnsi="Times New Roman" w:cs="Times New Roman"/>
        </w:rPr>
        <w:t>(b) a child whose natural parent was the spouse of that person at the time of the natural parent's death;</w:t>
      </w:r>
    </w:p>
    <w:p w14:paraId="1879AA4C" w14:textId="2F163179" w:rsidR="009460FD" w:rsidRPr="002B6B9C" w:rsidRDefault="009460FD" w:rsidP="00CE7F2F">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t>surrogate child</w:t>
      </w:r>
      <w:r w:rsidRPr="002B6B9C">
        <w:rPr>
          <w:rFonts w:ascii="Times New Roman" w:eastAsia="Times New Roman" w:hAnsi="Times New Roman" w:cs="Times New Roman"/>
        </w:rPr>
        <w:t xml:space="preserve"> means, in relation to another person, a person (whether or not the person has attained the age of 18 years)</w:t>
      </w:r>
      <w:r w:rsidR="00A931D0">
        <w:rPr>
          <w:rFonts w:ascii="Times New Roman" w:eastAsia="Times New Roman" w:hAnsi="Times New Roman" w:cs="Times New Roman"/>
        </w:rPr>
        <w:t xml:space="preserve"> </w:t>
      </w:r>
      <w:r w:rsidRPr="002B6B9C">
        <w:rPr>
          <w:rFonts w:ascii="Times New Roman" w:eastAsia="Times New Roman" w:hAnsi="Times New Roman" w:cs="Times New Roman"/>
        </w:rPr>
        <w:t xml:space="preserve">– </w:t>
      </w:r>
      <w:bookmarkStart w:id="88" w:name="GS2@Gs1@Nd1592010212716@Hpa@EN"/>
      <w:bookmarkEnd w:id="88"/>
    </w:p>
    <w:p w14:paraId="0E86D33E" w14:textId="0BE5E2FE" w:rsidR="009460FD" w:rsidRPr="002B6B9C" w:rsidRDefault="009460FD" w:rsidP="00A931D0">
      <w:pPr>
        <w:spacing w:before="120" w:after="120"/>
        <w:ind w:left="1276"/>
        <w:jc w:val="both"/>
        <w:rPr>
          <w:rFonts w:ascii="Times New Roman" w:eastAsia="Times New Roman" w:hAnsi="Times New Roman" w:cs="Times New Roman"/>
        </w:rPr>
      </w:pPr>
      <w:r w:rsidRPr="002B6B9C">
        <w:rPr>
          <w:rFonts w:ascii="Times New Roman" w:eastAsia="Times New Roman" w:hAnsi="Times New Roman" w:cs="Times New Roman"/>
        </w:rPr>
        <w:t xml:space="preserve">(a) who is a child of the other person by virtue of the operation of section 26(1) of the </w:t>
      </w:r>
      <w:r w:rsidRPr="00A931D0">
        <w:rPr>
          <w:rFonts w:ascii="Times New Roman" w:eastAsia="Times New Roman" w:hAnsi="Times New Roman" w:cs="Times New Roman"/>
          <w:i/>
        </w:rPr>
        <w:t>Surrogacy Act 2012</w:t>
      </w:r>
      <w:r w:rsidRPr="002B6B9C">
        <w:rPr>
          <w:rFonts w:ascii="Times New Roman" w:eastAsia="Times New Roman" w:hAnsi="Times New Roman" w:cs="Times New Roman"/>
        </w:rPr>
        <w:t xml:space="preserve">, or a law, of another State or a Territory or a foreign country, that corresponds to that Act; and </w:t>
      </w:r>
    </w:p>
    <w:p w14:paraId="6562BCC0" w14:textId="77777777" w:rsidR="009460FD" w:rsidRPr="002B6B9C" w:rsidRDefault="009460FD" w:rsidP="00A931D0">
      <w:pPr>
        <w:spacing w:before="120" w:after="120"/>
        <w:ind w:left="1276"/>
        <w:jc w:val="both"/>
        <w:rPr>
          <w:rFonts w:ascii="Times New Roman" w:eastAsia="Times New Roman" w:hAnsi="Times New Roman" w:cs="Times New Roman"/>
        </w:rPr>
      </w:pPr>
      <w:bookmarkStart w:id="89" w:name="GS2@Gs1@Nd1592010212716@Hpb@EN"/>
      <w:bookmarkEnd w:id="89"/>
      <w:r w:rsidRPr="002B6B9C">
        <w:rPr>
          <w:rFonts w:ascii="Times New Roman" w:eastAsia="Times New Roman" w:hAnsi="Times New Roman" w:cs="Times New Roman"/>
        </w:rPr>
        <w:t>(b) who has not ceased to be a child of the other person under that Act or law;</w:t>
      </w:r>
    </w:p>
    <w:p w14:paraId="17EFF9AE" w14:textId="77777777" w:rsidR="009460FD" w:rsidRPr="002B6B9C" w:rsidRDefault="009460FD" w:rsidP="00A931D0">
      <w:pPr>
        <w:spacing w:before="120" w:after="120"/>
        <w:ind w:left="993"/>
        <w:jc w:val="both"/>
        <w:rPr>
          <w:rFonts w:ascii="Times New Roman" w:eastAsia="Times New Roman" w:hAnsi="Times New Roman" w:cs="Times New Roman"/>
        </w:rPr>
      </w:pPr>
      <w:r w:rsidRPr="002B6B9C">
        <w:rPr>
          <w:rFonts w:ascii="Times New Roman" w:eastAsia="Times New Roman" w:hAnsi="Times New Roman" w:cs="Times New Roman"/>
          <w:b/>
          <w:bCs/>
          <w:i/>
          <w:iCs/>
        </w:rPr>
        <w:lastRenderedPageBreak/>
        <w:t>will</w:t>
      </w:r>
      <w:r w:rsidRPr="002B6B9C">
        <w:rPr>
          <w:rFonts w:ascii="Times New Roman" w:eastAsia="Times New Roman" w:hAnsi="Times New Roman" w:cs="Times New Roman"/>
        </w:rPr>
        <w:t xml:space="preserve"> includes a codicil and a nomination made in accordance with the rules of a society within the meaning of the Friendly Societies (Tasmania) Code.</w:t>
      </w:r>
    </w:p>
    <w:p w14:paraId="6C4A3936" w14:textId="77777777" w:rsidR="009460FD" w:rsidRPr="002B6B9C" w:rsidRDefault="009460FD" w:rsidP="00A931D0">
      <w:pPr>
        <w:spacing w:before="120" w:after="120"/>
        <w:ind w:left="426"/>
        <w:jc w:val="both"/>
        <w:rPr>
          <w:rFonts w:ascii="Times New Roman" w:eastAsia="Times New Roman" w:hAnsi="Times New Roman" w:cs="Times New Roman"/>
        </w:rPr>
      </w:pPr>
      <w:bookmarkStart w:id="90" w:name="GS2@Gs2@EN"/>
      <w:bookmarkEnd w:id="90"/>
      <w:r w:rsidRPr="002B6B9C">
        <w:rPr>
          <w:rFonts w:ascii="Times New Roman" w:eastAsia="Times New Roman" w:hAnsi="Times New Roman" w:cs="Times New Roman"/>
        </w:rPr>
        <w:t xml:space="preserve">(2)  For the avoidance of doubt, the definition of </w:t>
      </w:r>
      <w:r w:rsidRPr="00A931D0">
        <w:rPr>
          <w:rFonts w:ascii="Times New Roman" w:eastAsia="Times New Roman" w:hAnsi="Times New Roman" w:cs="Times New Roman"/>
        </w:rPr>
        <w:t>stepchild</w:t>
      </w:r>
      <w:r w:rsidRPr="002B6B9C">
        <w:rPr>
          <w:rFonts w:ascii="Times New Roman" w:eastAsia="Times New Roman" w:hAnsi="Times New Roman" w:cs="Times New Roman"/>
        </w:rPr>
        <w:t xml:space="preserve">, as substituted by the </w:t>
      </w:r>
      <w:r w:rsidRPr="00A931D0">
        <w:rPr>
          <w:rFonts w:ascii="Times New Roman" w:eastAsia="Times New Roman" w:hAnsi="Times New Roman" w:cs="Times New Roman"/>
          <w:i/>
        </w:rPr>
        <w:t>Justice and Related Legislation (Miscellaneous Amendments) Act 2015</w:t>
      </w:r>
      <w:r w:rsidRPr="002B6B9C">
        <w:rPr>
          <w:rFonts w:ascii="Times New Roman" w:eastAsia="Times New Roman" w:hAnsi="Times New Roman" w:cs="Times New Roman"/>
        </w:rPr>
        <w:t>, does not apply in respect of a claim against the estate of a person whose death occurred before the commencement of that Act.</w:t>
      </w:r>
    </w:p>
    <w:p w14:paraId="7681C4E0" w14:textId="6D06B649" w:rsidR="009460FD" w:rsidRPr="002B6B9C" w:rsidRDefault="009460FD" w:rsidP="00A931D0">
      <w:pPr>
        <w:spacing w:before="120" w:after="120"/>
        <w:ind w:left="426"/>
        <w:jc w:val="both"/>
        <w:rPr>
          <w:rFonts w:ascii="Times New Roman" w:eastAsia="Times New Roman" w:hAnsi="Times New Roman" w:cs="Times New Roman"/>
        </w:rPr>
      </w:pPr>
      <w:bookmarkStart w:id="91" w:name="GS2@Gs3@EN"/>
      <w:bookmarkEnd w:id="91"/>
      <w:r w:rsidRPr="002B6B9C">
        <w:rPr>
          <w:rFonts w:ascii="Times New Roman" w:eastAsia="Times New Roman" w:hAnsi="Times New Roman" w:cs="Times New Roman"/>
        </w:rPr>
        <w:t>(3)  .  .  .  .  .  .  .  .</w:t>
      </w:r>
    </w:p>
    <w:p w14:paraId="6B6AB3BE" w14:textId="77777777" w:rsidR="009460FD" w:rsidRPr="002B6B9C" w:rsidRDefault="009460FD" w:rsidP="00A931D0">
      <w:pPr>
        <w:spacing w:before="120" w:after="120"/>
        <w:ind w:left="426"/>
        <w:jc w:val="both"/>
        <w:rPr>
          <w:rFonts w:ascii="Times New Roman" w:eastAsia="Times New Roman" w:hAnsi="Times New Roman" w:cs="Times New Roman"/>
        </w:rPr>
      </w:pPr>
      <w:bookmarkStart w:id="92" w:name="GS2@Gs4@EN"/>
      <w:bookmarkEnd w:id="92"/>
      <w:r w:rsidRPr="002B6B9C">
        <w:rPr>
          <w:rFonts w:ascii="Times New Roman" w:eastAsia="Times New Roman" w:hAnsi="Times New Roman" w:cs="Times New Roman"/>
        </w:rPr>
        <w:t>(4)  .  .  .  .  .  .  .  .  </w:t>
      </w:r>
    </w:p>
    <w:p w14:paraId="777E6F4A" w14:textId="77777777" w:rsidR="009460FD" w:rsidRPr="002B6B9C" w:rsidRDefault="009460FD" w:rsidP="00A931D0">
      <w:pPr>
        <w:spacing w:before="120" w:after="120"/>
        <w:ind w:left="426"/>
        <w:jc w:val="both"/>
        <w:rPr>
          <w:rFonts w:ascii="Times New Roman" w:eastAsia="Times New Roman" w:hAnsi="Times New Roman" w:cs="Times New Roman"/>
        </w:rPr>
      </w:pPr>
      <w:bookmarkStart w:id="93" w:name="GS2@Gs5@EN"/>
      <w:bookmarkEnd w:id="93"/>
      <w:r w:rsidRPr="002B6B9C">
        <w:rPr>
          <w:rFonts w:ascii="Times New Roman" w:eastAsia="Times New Roman" w:hAnsi="Times New Roman" w:cs="Times New Roman"/>
        </w:rPr>
        <w:t>(5)  .  .  .  .  .  .  .  .  </w:t>
      </w:r>
    </w:p>
    <w:p w14:paraId="4880600B" w14:textId="1CB7D4F1" w:rsidR="009460FD" w:rsidRPr="00A931D0" w:rsidRDefault="009460FD" w:rsidP="00CE7F2F">
      <w:pPr>
        <w:spacing w:before="100" w:beforeAutospacing="1" w:after="100" w:afterAutospacing="1"/>
        <w:jc w:val="both"/>
        <w:rPr>
          <w:rFonts w:ascii="Times New Roman" w:hAnsi="Times New Roman" w:cs="Times New Roman"/>
          <w:b/>
          <w:bCs/>
        </w:rPr>
      </w:pPr>
      <w:r w:rsidRPr="002B6B9C">
        <w:rPr>
          <w:rFonts w:ascii="Times New Roman" w:hAnsi="Times New Roman" w:cs="Times New Roman"/>
          <w:b/>
          <w:bCs/>
        </w:rPr>
        <w:t>3.</w:t>
      </w:r>
      <w:r w:rsidR="00A931D0" w:rsidRPr="002B6B9C">
        <w:rPr>
          <w:rFonts w:ascii="Times New Roman" w:hAnsi="Times New Roman" w:cs="Times New Roman"/>
          <w:b/>
          <w:bCs/>
        </w:rPr>
        <w:t xml:space="preserve"> </w:t>
      </w:r>
      <w:r w:rsidRPr="002B6B9C">
        <w:rPr>
          <w:rFonts w:ascii="Times New Roman" w:hAnsi="Times New Roman" w:cs="Times New Roman"/>
          <w:b/>
          <w:bCs/>
        </w:rPr>
        <w:t>Claims for maintenance against estate of deceased person</w:t>
      </w:r>
    </w:p>
    <w:p w14:paraId="7FF17111" w14:textId="50CCE278" w:rsidR="009460FD" w:rsidRPr="002B6B9C" w:rsidRDefault="009460FD" w:rsidP="00A931D0">
      <w:pPr>
        <w:spacing w:before="120" w:after="120"/>
        <w:ind w:left="426"/>
        <w:jc w:val="both"/>
        <w:rPr>
          <w:rFonts w:ascii="Times New Roman" w:eastAsia="Times New Roman" w:hAnsi="Times New Roman" w:cs="Times New Roman"/>
        </w:rPr>
      </w:pPr>
      <w:bookmarkStart w:id="94" w:name="GS3@Gs1@EN"/>
      <w:bookmarkEnd w:id="94"/>
      <w:r w:rsidRPr="002B6B9C">
        <w:rPr>
          <w:rFonts w:ascii="Times New Roman" w:eastAsia="Times New Roman" w:hAnsi="Times New Roman" w:cs="Times New Roman"/>
        </w:rPr>
        <w:t>(1) If a person dies, whether testate or intestate, and in terms of his will or as a result of his intestacy any person by whom or on whose behalf application for provision out of his estate may be made under this Act is left without adequate provision for his proper maintenance and support thereafter, the Court or a judge may, in its or his discretion, on application made by or on behalf of the last-mentioned person, order that such provision as the Court or judge, having regard to all the circumstances of the case, thinks proper shall be made out of the estate of the deceased person for all or any of the persons by whom or on whose behalf such an application may be made, and may make such other order in the matter, including an order as to costs, as the Court or judge thinks fit.</w:t>
      </w:r>
    </w:p>
    <w:p w14:paraId="4006ECC0" w14:textId="02162D81" w:rsidR="009460FD" w:rsidRPr="002B6B9C" w:rsidRDefault="009460FD" w:rsidP="00A931D0">
      <w:pPr>
        <w:spacing w:before="120" w:after="120"/>
        <w:ind w:left="426"/>
        <w:jc w:val="both"/>
        <w:rPr>
          <w:rFonts w:ascii="Times New Roman" w:eastAsia="Times New Roman" w:hAnsi="Times New Roman" w:cs="Times New Roman"/>
        </w:rPr>
      </w:pPr>
      <w:bookmarkStart w:id="95" w:name="GS3@Gs2@EN"/>
      <w:bookmarkEnd w:id="95"/>
      <w:r w:rsidRPr="002B6B9C">
        <w:rPr>
          <w:rFonts w:ascii="Times New Roman" w:eastAsia="Times New Roman" w:hAnsi="Times New Roman" w:cs="Times New Roman"/>
        </w:rPr>
        <w:t>(2) In addition to, and without prejudice to, any other powers conferred on the Court or a judge by subsection (1) of this section, the Court or judge may order that the provision to be made out of the estate of the deceased person shall consist of –</w:t>
      </w:r>
      <w:bookmarkStart w:id="96" w:name="GS3@Gs2@Hpa@EN"/>
      <w:bookmarkEnd w:id="96"/>
    </w:p>
    <w:p w14:paraId="64B5597D" w14:textId="77777777" w:rsidR="009460FD" w:rsidRPr="00A931D0" w:rsidRDefault="009460FD" w:rsidP="00A931D0">
      <w:pPr>
        <w:spacing w:before="120" w:after="120"/>
        <w:ind w:left="993"/>
        <w:jc w:val="both"/>
        <w:rPr>
          <w:rFonts w:ascii="Times New Roman" w:eastAsia="Times New Roman" w:hAnsi="Times New Roman" w:cs="Times New Roman"/>
          <w:bCs/>
          <w:iCs/>
        </w:rPr>
      </w:pPr>
      <w:r w:rsidRPr="00A931D0">
        <w:rPr>
          <w:rFonts w:ascii="Times New Roman" w:eastAsia="Times New Roman" w:hAnsi="Times New Roman" w:cs="Times New Roman"/>
          <w:bCs/>
          <w:iCs/>
        </w:rPr>
        <w:t>(a) the payment to the applicant of a lump sum;</w:t>
      </w:r>
    </w:p>
    <w:p w14:paraId="1C370527" w14:textId="77777777" w:rsidR="009460FD" w:rsidRPr="00A931D0" w:rsidRDefault="009460FD" w:rsidP="00A931D0">
      <w:pPr>
        <w:spacing w:before="120" w:after="120"/>
        <w:ind w:left="993"/>
        <w:jc w:val="both"/>
        <w:rPr>
          <w:rFonts w:ascii="Times New Roman" w:eastAsia="Times New Roman" w:hAnsi="Times New Roman" w:cs="Times New Roman"/>
          <w:bCs/>
          <w:iCs/>
        </w:rPr>
      </w:pPr>
      <w:bookmarkStart w:id="97" w:name="GS3@Gs2@Hpb@EN"/>
      <w:bookmarkEnd w:id="97"/>
      <w:r w:rsidRPr="00A931D0">
        <w:rPr>
          <w:rFonts w:ascii="Times New Roman" w:eastAsia="Times New Roman" w:hAnsi="Times New Roman" w:cs="Times New Roman"/>
          <w:bCs/>
          <w:iCs/>
        </w:rPr>
        <w:t>(b) a life interest or any lesser interest in any dwelling-house belonging to that estate; or</w:t>
      </w:r>
    </w:p>
    <w:p w14:paraId="05CD5C7F" w14:textId="77777777" w:rsidR="009460FD" w:rsidRPr="00A931D0" w:rsidRDefault="009460FD" w:rsidP="00A931D0">
      <w:pPr>
        <w:spacing w:before="120" w:after="120"/>
        <w:ind w:left="993"/>
        <w:jc w:val="both"/>
        <w:rPr>
          <w:rFonts w:ascii="Times New Roman" w:eastAsia="Times New Roman" w:hAnsi="Times New Roman" w:cs="Times New Roman"/>
          <w:bCs/>
          <w:iCs/>
        </w:rPr>
      </w:pPr>
      <w:bookmarkStart w:id="98" w:name="GS3@Gs2@Hpc@EN"/>
      <w:bookmarkEnd w:id="98"/>
      <w:r w:rsidRPr="00A931D0">
        <w:rPr>
          <w:rFonts w:ascii="Times New Roman" w:eastAsia="Times New Roman" w:hAnsi="Times New Roman" w:cs="Times New Roman"/>
          <w:bCs/>
          <w:iCs/>
        </w:rPr>
        <w:t>(c) a life interest or any lesser interest in a dwelling-house that the Court or judge may order to be purchased for occupation by the applicant –</w:t>
      </w:r>
    </w:p>
    <w:p w14:paraId="326237E0" w14:textId="77777777" w:rsidR="009460FD" w:rsidRPr="00A931D0" w:rsidRDefault="009460FD" w:rsidP="00A931D0">
      <w:pPr>
        <w:spacing w:before="120" w:after="120"/>
        <w:ind w:left="426"/>
        <w:jc w:val="both"/>
        <w:rPr>
          <w:rFonts w:ascii="Times New Roman" w:eastAsia="Times New Roman" w:hAnsi="Times New Roman" w:cs="Times New Roman"/>
          <w:bCs/>
          <w:iCs/>
        </w:rPr>
      </w:pPr>
      <w:r w:rsidRPr="00A931D0">
        <w:rPr>
          <w:rFonts w:ascii="Times New Roman" w:eastAsia="Times New Roman" w:hAnsi="Times New Roman" w:cs="Times New Roman"/>
          <w:bCs/>
          <w:iCs/>
        </w:rPr>
        <w:t>and may, in any case, order that that provision shall be made upon and subject to such terms and conditions, if any, as the Court or judge may think desirable in the circumstances of the case.</w:t>
      </w:r>
    </w:p>
    <w:p w14:paraId="74F7526A" w14:textId="55C168DD" w:rsidR="009460FD" w:rsidRPr="002B6B9C" w:rsidRDefault="009460FD" w:rsidP="00D12084">
      <w:pPr>
        <w:spacing w:before="120" w:after="120"/>
        <w:ind w:left="426"/>
        <w:jc w:val="both"/>
        <w:rPr>
          <w:rFonts w:ascii="Times New Roman" w:eastAsia="Times New Roman" w:hAnsi="Times New Roman" w:cs="Times New Roman"/>
        </w:rPr>
      </w:pPr>
      <w:bookmarkStart w:id="99" w:name="GS3@Gs3@EN"/>
      <w:bookmarkEnd w:id="99"/>
      <w:r w:rsidRPr="002B6B9C">
        <w:rPr>
          <w:rFonts w:ascii="Times New Roman" w:eastAsia="Times New Roman" w:hAnsi="Times New Roman" w:cs="Times New Roman"/>
        </w:rPr>
        <w:t>(3) For the purposes of paragraph (c) of subsection (2) of this section, the Court or judge may, notwithstanding any provision or direction to the contrary in the will of a deceased person, order that any moneys belonging to or forming part of the estate of that person shall be expended in the purchase of the fee simple of any real property.</w:t>
      </w:r>
    </w:p>
    <w:p w14:paraId="58E31FC3" w14:textId="382F4A94" w:rsidR="009460FD" w:rsidRPr="002B6B9C" w:rsidRDefault="009460FD" w:rsidP="00D12084">
      <w:pPr>
        <w:spacing w:before="120" w:after="120"/>
        <w:ind w:left="426"/>
        <w:jc w:val="both"/>
        <w:rPr>
          <w:rFonts w:ascii="Times New Roman" w:eastAsia="Times New Roman" w:hAnsi="Times New Roman" w:cs="Times New Roman"/>
        </w:rPr>
      </w:pPr>
      <w:bookmarkStart w:id="100" w:name="GS3@Gs4@EN"/>
      <w:bookmarkEnd w:id="100"/>
      <w:r w:rsidRPr="002B6B9C">
        <w:rPr>
          <w:rFonts w:ascii="Times New Roman" w:eastAsia="Times New Roman" w:hAnsi="Times New Roman" w:cs="Times New Roman"/>
        </w:rPr>
        <w:t>(4) Where an application under subsection (1) of this section is made by or on behalf of any person, the Court or a judge may order that it shall be regarded as an application on behalf of all persons who are entitled under this Act to make such an application, and if the Court or a judge so orders, the application shall, for the purposes of section eleven , be treated as an application made by all of those persons.</w:t>
      </w:r>
    </w:p>
    <w:p w14:paraId="519F6264" w14:textId="1945EDD0" w:rsidR="009460FD" w:rsidRPr="002B6B9C" w:rsidRDefault="009460FD" w:rsidP="00C136D1">
      <w:pPr>
        <w:spacing w:before="120" w:after="120"/>
        <w:jc w:val="both"/>
        <w:rPr>
          <w:rFonts w:ascii="Times New Roman" w:eastAsia="Times New Roman" w:hAnsi="Times New Roman" w:cs="Times New Roman"/>
        </w:rPr>
      </w:pPr>
      <w:bookmarkStart w:id="101" w:name="GS3@Gs5@EN"/>
      <w:bookmarkEnd w:id="101"/>
      <w:r w:rsidRPr="002B6B9C">
        <w:rPr>
          <w:rFonts w:ascii="Times New Roman" w:eastAsia="Times New Roman" w:hAnsi="Times New Roman" w:cs="Times New Roman"/>
        </w:rPr>
        <w:t>(5) The executor or administrator of the estate of a deceased person, on behalf of a person who is entitled to make an application under subsection (1) of this section and who is not of full age or mental capacity, may –</w:t>
      </w:r>
      <w:bookmarkStart w:id="102" w:name="GS3@Gs5@Hpa@EN"/>
      <w:bookmarkEnd w:id="102"/>
    </w:p>
    <w:p w14:paraId="6A8E7389" w14:textId="77777777" w:rsidR="009460FD" w:rsidRPr="00D12084" w:rsidRDefault="009460FD" w:rsidP="00D12084">
      <w:pPr>
        <w:spacing w:before="120" w:after="120"/>
        <w:ind w:left="993"/>
        <w:jc w:val="both"/>
        <w:rPr>
          <w:rFonts w:ascii="Times New Roman" w:eastAsia="Times New Roman" w:hAnsi="Times New Roman" w:cs="Times New Roman"/>
          <w:bCs/>
          <w:iCs/>
        </w:rPr>
      </w:pPr>
      <w:r w:rsidRPr="00D12084">
        <w:rPr>
          <w:rFonts w:ascii="Times New Roman" w:eastAsia="Times New Roman" w:hAnsi="Times New Roman" w:cs="Times New Roman"/>
          <w:bCs/>
          <w:iCs/>
        </w:rPr>
        <w:t>(a) make an application under that subsection; or</w:t>
      </w:r>
    </w:p>
    <w:p w14:paraId="75F34D78" w14:textId="77777777" w:rsidR="009460FD" w:rsidRPr="00D12084" w:rsidRDefault="009460FD" w:rsidP="00D12084">
      <w:pPr>
        <w:spacing w:before="120" w:after="120"/>
        <w:ind w:left="993"/>
        <w:jc w:val="both"/>
        <w:rPr>
          <w:rFonts w:ascii="Times New Roman" w:eastAsia="Times New Roman" w:hAnsi="Times New Roman" w:cs="Times New Roman"/>
          <w:bCs/>
          <w:iCs/>
        </w:rPr>
      </w:pPr>
      <w:bookmarkStart w:id="103" w:name="GS3@Gs5@Hpb@EN"/>
      <w:bookmarkEnd w:id="103"/>
      <w:r w:rsidRPr="00D12084">
        <w:rPr>
          <w:rFonts w:ascii="Times New Roman" w:eastAsia="Times New Roman" w:hAnsi="Times New Roman" w:cs="Times New Roman"/>
          <w:bCs/>
          <w:iCs/>
        </w:rPr>
        <w:t>(b) apply to the Court or a judge for directions as to whether he should make an application under that subsection –</w:t>
      </w:r>
    </w:p>
    <w:p w14:paraId="11EFFAB8" w14:textId="77777777"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lastRenderedPageBreak/>
        <w:t>and, in the latter case, the Court or judge may treat the application for directions as an application under that subsection on behalf of that person.</w:t>
      </w:r>
      <w:bookmarkStart w:id="104" w:name="GS3A@EN"/>
      <w:bookmarkEnd w:id="104"/>
    </w:p>
    <w:p w14:paraId="3E721DB7" w14:textId="407B9D85" w:rsidR="009460FD" w:rsidRPr="002B6B9C" w:rsidRDefault="009460FD" w:rsidP="00CE7F2F">
      <w:pPr>
        <w:spacing w:before="100" w:beforeAutospacing="1" w:after="100" w:afterAutospacing="1"/>
        <w:jc w:val="both"/>
        <w:rPr>
          <w:rFonts w:ascii="Times New Roman" w:hAnsi="Times New Roman" w:cs="Times New Roman"/>
        </w:rPr>
      </w:pPr>
      <w:r w:rsidRPr="002B6B9C">
        <w:rPr>
          <w:rFonts w:ascii="Times New Roman" w:hAnsi="Times New Roman" w:cs="Times New Roman"/>
          <w:b/>
          <w:bCs/>
        </w:rPr>
        <w:t>3A.</w:t>
      </w:r>
      <w:r w:rsidR="00D12084">
        <w:rPr>
          <w:rFonts w:ascii="Times New Roman" w:hAnsi="Times New Roman" w:cs="Times New Roman"/>
        </w:rPr>
        <w:t xml:space="preserve"> </w:t>
      </w:r>
      <w:r w:rsidRPr="002B6B9C">
        <w:rPr>
          <w:rFonts w:ascii="Times New Roman" w:hAnsi="Times New Roman" w:cs="Times New Roman"/>
          <w:b/>
          <w:bCs/>
        </w:rPr>
        <w:t>Persons entitled to claim under this Act</w:t>
      </w:r>
    </w:p>
    <w:p w14:paraId="3AEACA26" w14:textId="377532D2"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An application under subsection (1) of section three for provision out of the estate of a deceased person may be made by or on behalf of all or any of the following persons, that is to say:</w:t>
      </w:r>
      <w:bookmarkStart w:id="105" w:name="GS3A@Hpa@EN"/>
      <w:bookmarkEnd w:id="105"/>
    </w:p>
    <w:p w14:paraId="5C59F762" w14:textId="77777777" w:rsidR="009460FD" w:rsidRPr="00D12084" w:rsidRDefault="009460FD" w:rsidP="00D12084">
      <w:pPr>
        <w:spacing w:before="120" w:after="120"/>
        <w:ind w:left="993"/>
        <w:jc w:val="both"/>
        <w:rPr>
          <w:rFonts w:ascii="Times New Roman" w:eastAsia="Times New Roman" w:hAnsi="Times New Roman" w:cs="Times New Roman"/>
          <w:bCs/>
          <w:iCs/>
        </w:rPr>
      </w:pPr>
      <w:r w:rsidRPr="00D12084">
        <w:rPr>
          <w:rFonts w:ascii="Times New Roman" w:eastAsia="Times New Roman" w:hAnsi="Times New Roman" w:cs="Times New Roman"/>
          <w:bCs/>
          <w:iCs/>
        </w:rPr>
        <w:t>(a) The spouse of the deceased person;</w:t>
      </w:r>
    </w:p>
    <w:p w14:paraId="027453CE" w14:textId="77777777" w:rsidR="009460FD" w:rsidRPr="00D12084" w:rsidRDefault="009460FD" w:rsidP="00D12084">
      <w:pPr>
        <w:spacing w:before="120" w:after="120"/>
        <w:ind w:left="993"/>
        <w:jc w:val="both"/>
        <w:rPr>
          <w:rFonts w:ascii="Times New Roman" w:eastAsia="Times New Roman" w:hAnsi="Times New Roman" w:cs="Times New Roman"/>
          <w:bCs/>
          <w:iCs/>
        </w:rPr>
      </w:pPr>
      <w:bookmarkStart w:id="106" w:name="GS3A@Hpb@EN"/>
      <w:bookmarkEnd w:id="106"/>
      <w:r w:rsidRPr="00D12084">
        <w:rPr>
          <w:rFonts w:ascii="Times New Roman" w:eastAsia="Times New Roman" w:hAnsi="Times New Roman" w:cs="Times New Roman"/>
          <w:bCs/>
          <w:iCs/>
        </w:rPr>
        <w:t>(b) The children of the deceased person;</w:t>
      </w:r>
    </w:p>
    <w:p w14:paraId="43BFBA36" w14:textId="77777777" w:rsidR="009460FD" w:rsidRPr="00D12084" w:rsidRDefault="009460FD" w:rsidP="00D12084">
      <w:pPr>
        <w:spacing w:before="120" w:after="120"/>
        <w:ind w:left="993"/>
        <w:jc w:val="both"/>
        <w:rPr>
          <w:rFonts w:ascii="Times New Roman" w:eastAsia="Times New Roman" w:hAnsi="Times New Roman" w:cs="Times New Roman"/>
          <w:bCs/>
          <w:iCs/>
        </w:rPr>
      </w:pPr>
      <w:bookmarkStart w:id="107" w:name="GS3A@Hpc@EN"/>
      <w:bookmarkEnd w:id="107"/>
      <w:r w:rsidRPr="00D12084">
        <w:rPr>
          <w:rFonts w:ascii="Times New Roman" w:eastAsia="Times New Roman" w:hAnsi="Times New Roman" w:cs="Times New Roman"/>
          <w:bCs/>
          <w:iCs/>
        </w:rPr>
        <w:t>(c) The parents of the deceased person, if the deceased person dies without leaving a spouse or any children;</w:t>
      </w:r>
    </w:p>
    <w:p w14:paraId="2D578230" w14:textId="77777777" w:rsidR="009460FD" w:rsidRPr="00D12084" w:rsidRDefault="009460FD" w:rsidP="00D12084">
      <w:pPr>
        <w:spacing w:before="120" w:after="120"/>
        <w:ind w:left="993"/>
        <w:jc w:val="both"/>
        <w:rPr>
          <w:rFonts w:ascii="Times New Roman" w:eastAsia="Times New Roman" w:hAnsi="Times New Roman" w:cs="Times New Roman"/>
          <w:bCs/>
          <w:iCs/>
        </w:rPr>
      </w:pPr>
      <w:bookmarkStart w:id="108" w:name="GS3A@Hpd@EN"/>
      <w:bookmarkEnd w:id="108"/>
      <w:r w:rsidRPr="00D12084">
        <w:rPr>
          <w:rFonts w:ascii="Times New Roman" w:eastAsia="Times New Roman" w:hAnsi="Times New Roman" w:cs="Times New Roman"/>
          <w:bCs/>
          <w:iCs/>
        </w:rPr>
        <w:t>(d) A person whose marriage to the deceased person has been dissolved or annulled and who at the date of the death of the deceased person was receiving or entitled to receive maintenance from the deceased person whether pursuant to an order of a court, or to an agreement or otherwise; and</w:t>
      </w:r>
    </w:p>
    <w:p w14:paraId="112A2A61" w14:textId="4340BA75" w:rsidR="009460FD" w:rsidRPr="00D12084" w:rsidRDefault="009460FD" w:rsidP="00D12084">
      <w:pPr>
        <w:spacing w:before="120" w:after="120"/>
        <w:ind w:left="993"/>
        <w:jc w:val="both"/>
        <w:rPr>
          <w:rFonts w:ascii="Times New Roman" w:eastAsia="Times New Roman" w:hAnsi="Times New Roman" w:cs="Times New Roman"/>
          <w:bCs/>
          <w:iCs/>
        </w:rPr>
      </w:pPr>
      <w:bookmarkStart w:id="109" w:name="GS3A@Hpe@EN"/>
      <w:bookmarkEnd w:id="109"/>
      <w:r w:rsidRPr="00D12084">
        <w:rPr>
          <w:rFonts w:ascii="Times New Roman" w:eastAsia="Times New Roman" w:hAnsi="Times New Roman" w:cs="Times New Roman"/>
          <w:bCs/>
          <w:iCs/>
        </w:rPr>
        <w:t xml:space="preserve">(e) A person whose significant relationship, within the meaning of the </w:t>
      </w:r>
      <w:r w:rsidRPr="00D12084">
        <w:rPr>
          <w:rFonts w:ascii="Times New Roman" w:eastAsia="Times New Roman" w:hAnsi="Times New Roman" w:cs="Times New Roman"/>
          <w:bCs/>
          <w:i/>
          <w:iCs/>
        </w:rPr>
        <w:t>Relationships Act 2003</w:t>
      </w:r>
      <w:r w:rsidRPr="00D12084">
        <w:rPr>
          <w:rFonts w:ascii="Times New Roman" w:eastAsia="Times New Roman" w:hAnsi="Times New Roman" w:cs="Times New Roman"/>
          <w:bCs/>
          <w:iCs/>
        </w:rPr>
        <w:t>, with the deceased person had ceased before the date of the death of the deceased person and who was receiving or entitled to receive maintenance from the deceased person whether pursuant to an order of a court or to an agreement or otherwise.</w:t>
      </w:r>
      <w:bookmarkStart w:id="110" w:name="GS4@EN"/>
      <w:bookmarkEnd w:id="110"/>
    </w:p>
    <w:p w14:paraId="19A894E5" w14:textId="4553D504" w:rsidR="009460FD" w:rsidRPr="002B6B9C" w:rsidRDefault="009460FD" w:rsidP="00CE7F2F">
      <w:pPr>
        <w:spacing w:before="100" w:beforeAutospacing="1" w:after="100" w:afterAutospacing="1"/>
        <w:jc w:val="both"/>
        <w:rPr>
          <w:rFonts w:ascii="Times New Roman" w:hAnsi="Times New Roman" w:cs="Times New Roman"/>
        </w:rPr>
      </w:pPr>
      <w:r w:rsidRPr="002B6B9C">
        <w:rPr>
          <w:rFonts w:ascii="Times New Roman" w:hAnsi="Times New Roman" w:cs="Times New Roman"/>
          <w:b/>
          <w:bCs/>
        </w:rPr>
        <w:t>4.</w:t>
      </w:r>
      <w:r w:rsidR="00C136D1">
        <w:rPr>
          <w:rFonts w:ascii="Times New Roman" w:hAnsi="Times New Roman" w:cs="Times New Roman"/>
        </w:rPr>
        <w:t xml:space="preserve"> </w:t>
      </w:r>
      <w:r w:rsidRPr="002B6B9C">
        <w:rPr>
          <w:rFonts w:ascii="Times New Roman" w:hAnsi="Times New Roman" w:cs="Times New Roman"/>
          <w:b/>
          <w:bCs/>
        </w:rPr>
        <w:t>Application by summons in chambers</w:t>
      </w:r>
    </w:p>
    <w:p w14:paraId="7FA09531" w14:textId="7EA597F5" w:rsidR="009460FD" w:rsidRPr="002B6B9C" w:rsidRDefault="009460FD" w:rsidP="00C136D1">
      <w:pPr>
        <w:spacing w:before="120" w:after="120"/>
        <w:jc w:val="both"/>
        <w:rPr>
          <w:rFonts w:ascii="Times New Roman" w:eastAsia="Times New Roman" w:hAnsi="Times New Roman" w:cs="Times New Roman"/>
        </w:rPr>
      </w:pPr>
      <w:bookmarkStart w:id="111" w:name="GS4@Gs1@EN"/>
      <w:bookmarkEnd w:id="111"/>
      <w:r w:rsidRPr="002B6B9C">
        <w:rPr>
          <w:rFonts w:ascii="Times New Roman" w:eastAsia="Times New Roman" w:hAnsi="Times New Roman" w:cs="Times New Roman"/>
        </w:rPr>
        <w:t xml:space="preserve">(1) Every such application shall be made by summons in chambers, entitled </w:t>
      </w:r>
      <w:r w:rsidR="00C136D1">
        <w:rPr>
          <w:rFonts w:ascii="Times New Roman" w:eastAsia="Times New Roman" w:hAnsi="Times New Roman" w:cs="Times New Roman"/>
        </w:rPr>
        <w:t>“</w:t>
      </w:r>
      <w:r w:rsidRPr="002B6B9C">
        <w:rPr>
          <w:rFonts w:ascii="Times New Roman" w:eastAsia="Times New Roman" w:hAnsi="Times New Roman" w:cs="Times New Roman"/>
        </w:rPr>
        <w:t xml:space="preserve">In the matter of the </w:t>
      </w:r>
      <w:r w:rsidRPr="00C136D1">
        <w:rPr>
          <w:rFonts w:ascii="Times New Roman" w:eastAsia="Times New Roman" w:hAnsi="Times New Roman" w:cs="Times New Roman"/>
          <w:i/>
        </w:rPr>
        <w:t>Testator</w:t>
      </w:r>
      <w:r w:rsidR="00C136D1" w:rsidRPr="00C136D1">
        <w:rPr>
          <w:rFonts w:ascii="Times New Roman" w:eastAsia="Times New Roman" w:hAnsi="Times New Roman" w:cs="Times New Roman"/>
          <w:i/>
        </w:rPr>
        <w:t>’</w:t>
      </w:r>
      <w:r w:rsidRPr="00C136D1">
        <w:rPr>
          <w:rFonts w:ascii="Times New Roman" w:eastAsia="Times New Roman" w:hAnsi="Times New Roman" w:cs="Times New Roman"/>
          <w:i/>
        </w:rPr>
        <w:t>s Family Maintenance Act 1912</w:t>
      </w:r>
      <w:r w:rsidRPr="002B6B9C">
        <w:rPr>
          <w:rFonts w:ascii="Times New Roman" w:eastAsia="Times New Roman" w:hAnsi="Times New Roman" w:cs="Times New Roman"/>
        </w:rPr>
        <w:t>, and in the matter of the estate of _______ deceased</w:t>
      </w:r>
      <w:r w:rsidR="00C136D1">
        <w:rPr>
          <w:rFonts w:ascii="Times New Roman" w:eastAsia="Times New Roman" w:hAnsi="Times New Roman" w:cs="Times New Roman"/>
        </w:rPr>
        <w:t>”</w:t>
      </w:r>
      <w:r w:rsidRPr="002B6B9C">
        <w:rPr>
          <w:rFonts w:ascii="Times New Roman" w:eastAsia="Times New Roman" w:hAnsi="Times New Roman" w:cs="Times New Roman"/>
        </w:rPr>
        <w:t>.</w:t>
      </w:r>
      <w:bookmarkStart w:id="112" w:name="GS4@Gs2@EN"/>
      <w:bookmarkEnd w:id="112"/>
    </w:p>
    <w:p w14:paraId="4E886945" w14:textId="62F6DE57" w:rsidR="009460FD" w:rsidRPr="002B6B9C" w:rsidRDefault="009460FD" w:rsidP="00C136D1">
      <w:pPr>
        <w:spacing w:before="120" w:after="120"/>
        <w:jc w:val="both"/>
        <w:rPr>
          <w:rFonts w:ascii="Times New Roman" w:eastAsia="Times New Roman" w:hAnsi="Times New Roman" w:cs="Times New Roman"/>
        </w:rPr>
      </w:pPr>
      <w:r w:rsidRPr="002B6B9C">
        <w:rPr>
          <w:rFonts w:ascii="Times New Roman" w:eastAsia="Times New Roman" w:hAnsi="Times New Roman" w:cs="Times New Roman"/>
        </w:rPr>
        <w:t>(2) A summons under this section shall be served on –</w:t>
      </w:r>
      <w:bookmarkStart w:id="113" w:name="GS4@Gs2@Hpa@EN"/>
      <w:bookmarkEnd w:id="113"/>
    </w:p>
    <w:p w14:paraId="623B4844" w14:textId="77777777" w:rsidR="009460FD" w:rsidRPr="00C136D1" w:rsidRDefault="009460FD" w:rsidP="00C136D1">
      <w:pPr>
        <w:spacing w:before="120" w:after="120"/>
        <w:ind w:left="993"/>
        <w:jc w:val="both"/>
        <w:rPr>
          <w:rFonts w:ascii="Times New Roman" w:eastAsia="Times New Roman" w:hAnsi="Times New Roman" w:cs="Times New Roman"/>
          <w:bCs/>
          <w:iCs/>
        </w:rPr>
      </w:pPr>
      <w:r w:rsidRPr="00C136D1">
        <w:rPr>
          <w:rFonts w:ascii="Times New Roman" w:eastAsia="Times New Roman" w:hAnsi="Times New Roman" w:cs="Times New Roman"/>
          <w:bCs/>
          <w:iCs/>
        </w:rPr>
        <w:t>(a) the executor of the will of the deceased person or the person to whom letters of administration with the will annexed have been granted, or, in the case of an intestate estate, the administrator of that estate; and</w:t>
      </w:r>
    </w:p>
    <w:p w14:paraId="17504E7E" w14:textId="77777777" w:rsidR="009460FD" w:rsidRPr="00C136D1" w:rsidRDefault="009460FD" w:rsidP="00C136D1">
      <w:pPr>
        <w:spacing w:before="120" w:after="120"/>
        <w:ind w:left="993"/>
        <w:jc w:val="both"/>
        <w:rPr>
          <w:rFonts w:ascii="Times New Roman" w:eastAsia="Times New Roman" w:hAnsi="Times New Roman" w:cs="Times New Roman"/>
          <w:bCs/>
          <w:iCs/>
        </w:rPr>
      </w:pPr>
      <w:bookmarkStart w:id="114" w:name="GS4@Gs2@Hp_b@EN"/>
      <w:bookmarkEnd w:id="114"/>
      <w:r w:rsidRPr="00C136D1">
        <w:rPr>
          <w:rFonts w:ascii="Times New Roman" w:eastAsia="Times New Roman" w:hAnsi="Times New Roman" w:cs="Times New Roman"/>
          <w:bCs/>
          <w:iCs/>
        </w:rPr>
        <w:t>(b) such other persons as the Court or a judge may direct to be served therewith.</w:t>
      </w:r>
    </w:p>
    <w:p w14:paraId="726A243A" w14:textId="5B989ADD" w:rsidR="009460FD" w:rsidRPr="002B6B9C" w:rsidRDefault="009460FD" w:rsidP="00C136D1">
      <w:pPr>
        <w:spacing w:before="120" w:after="120"/>
        <w:jc w:val="both"/>
        <w:rPr>
          <w:rFonts w:ascii="Times New Roman" w:eastAsia="Times New Roman" w:hAnsi="Times New Roman" w:cs="Times New Roman"/>
        </w:rPr>
      </w:pPr>
      <w:bookmarkStart w:id="115" w:name="GS4@Gs3@EN"/>
      <w:bookmarkEnd w:id="115"/>
      <w:r w:rsidRPr="002B6B9C">
        <w:rPr>
          <w:rFonts w:ascii="Times New Roman" w:eastAsia="Times New Roman" w:hAnsi="Times New Roman" w:cs="Times New Roman"/>
        </w:rPr>
        <w:t>(3) The judge may, if he thinks fit, adjourn such summons into Court.</w:t>
      </w:r>
      <w:bookmarkStart w:id="116" w:name="GS5@EN"/>
      <w:bookmarkEnd w:id="116"/>
    </w:p>
    <w:p w14:paraId="6CFCAC18" w14:textId="485362BE" w:rsidR="009460FD" w:rsidRPr="002B6B9C" w:rsidRDefault="009460FD" w:rsidP="00A24E61">
      <w:pPr>
        <w:keepNext/>
        <w:spacing w:before="100" w:beforeAutospacing="1" w:after="100" w:afterAutospacing="1"/>
        <w:jc w:val="both"/>
        <w:rPr>
          <w:rFonts w:ascii="Times New Roman" w:hAnsi="Times New Roman" w:cs="Times New Roman"/>
        </w:rPr>
      </w:pPr>
      <w:r w:rsidRPr="002B6B9C">
        <w:rPr>
          <w:rFonts w:ascii="Times New Roman" w:hAnsi="Times New Roman" w:cs="Times New Roman"/>
          <w:b/>
          <w:bCs/>
        </w:rPr>
        <w:t>5.</w:t>
      </w:r>
    </w:p>
    <w:p w14:paraId="34630BA2" w14:textId="77777777"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  .  .  .  .  .  .  .  </w:t>
      </w:r>
    </w:p>
    <w:p w14:paraId="684894F4" w14:textId="22955321" w:rsidR="009460FD" w:rsidRPr="002B6B9C" w:rsidRDefault="009460FD" w:rsidP="00CE7F2F">
      <w:pPr>
        <w:spacing w:before="100" w:beforeAutospacing="1" w:after="100" w:afterAutospacing="1"/>
        <w:jc w:val="both"/>
        <w:rPr>
          <w:rFonts w:ascii="Times New Roman" w:hAnsi="Times New Roman" w:cs="Times New Roman"/>
        </w:rPr>
      </w:pPr>
      <w:bookmarkStart w:id="117" w:name="GS6@EN"/>
      <w:bookmarkEnd w:id="117"/>
      <w:r w:rsidRPr="002B6B9C">
        <w:rPr>
          <w:rFonts w:ascii="Times New Roman" w:hAnsi="Times New Roman" w:cs="Times New Roman"/>
          <w:b/>
          <w:bCs/>
        </w:rPr>
        <w:t>6.</w:t>
      </w:r>
      <w:r w:rsidR="002300FC">
        <w:rPr>
          <w:rFonts w:ascii="Times New Roman" w:hAnsi="Times New Roman" w:cs="Times New Roman"/>
        </w:rPr>
        <w:t xml:space="preserve"> </w:t>
      </w:r>
      <w:r w:rsidRPr="002B6B9C">
        <w:rPr>
          <w:rFonts w:ascii="Times New Roman" w:hAnsi="Times New Roman" w:cs="Times New Roman"/>
          <w:b/>
          <w:bCs/>
        </w:rPr>
        <w:t>Powers of Court or judge</w:t>
      </w:r>
    </w:p>
    <w:p w14:paraId="438755E4" w14:textId="77777777"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At the hearing of such application the Court or judge shall inquire fully into the estate of the deceased person, and for that purpose may –</w:t>
      </w:r>
      <w:bookmarkStart w:id="118" w:name="GS6@Hpa@EN"/>
      <w:bookmarkEnd w:id="118"/>
    </w:p>
    <w:p w14:paraId="39F6F255" w14:textId="77777777" w:rsidR="009460FD" w:rsidRPr="002300FC" w:rsidRDefault="009460FD" w:rsidP="002300FC">
      <w:pPr>
        <w:spacing w:before="120" w:after="120"/>
        <w:ind w:left="993"/>
        <w:jc w:val="both"/>
        <w:rPr>
          <w:rFonts w:ascii="Times New Roman" w:eastAsia="Times New Roman" w:hAnsi="Times New Roman" w:cs="Times New Roman"/>
          <w:bCs/>
          <w:iCs/>
        </w:rPr>
      </w:pPr>
      <w:r w:rsidRPr="002300FC">
        <w:rPr>
          <w:rFonts w:ascii="Times New Roman" w:eastAsia="Times New Roman" w:hAnsi="Times New Roman" w:cs="Times New Roman"/>
          <w:bCs/>
          <w:iCs/>
        </w:rPr>
        <w:t>(a) summon and examine the persons who are entitled to make an application under this Act, or such of them as the Court or judge may think it desirable to examine, and also such witnesses as may be necessary; and</w:t>
      </w:r>
    </w:p>
    <w:p w14:paraId="51BB6CF0" w14:textId="77777777" w:rsidR="009460FD" w:rsidRPr="002300FC" w:rsidRDefault="009460FD" w:rsidP="002300FC">
      <w:pPr>
        <w:spacing w:before="120" w:after="120"/>
        <w:ind w:left="993"/>
        <w:jc w:val="both"/>
        <w:rPr>
          <w:rFonts w:ascii="Times New Roman" w:eastAsia="Times New Roman" w:hAnsi="Times New Roman" w:cs="Times New Roman"/>
          <w:bCs/>
          <w:iCs/>
        </w:rPr>
      </w:pPr>
      <w:bookmarkStart w:id="119" w:name="GS6@Hpb@EN"/>
      <w:bookmarkEnd w:id="119"/>
      <w:r w:rsidRPr="002300FC">
        <w:rPr>
          <w:rFonts w:ascii="Times New Roman" w:eastAsia="Times New Roman" w:hAnsi="Times New Roman" w:cs="Times New Roman"/>
          <w:bCs/>
          <w:iCs/>
        </w:rPr>
        <w:t>(b) require the executor or person applying for probate or letters of administration to furnish full particulars of the estate.</w:t>
      </w:r>
      <w:bookmarkStart w:id="120" w:name="GS7@EN"/>
      <w:bookmarkEnd w:id="120"/>
    </w:p>
    <w:p w14:paraId="1E4F06A9" w14:textId="78B035F1" w:rsidR="009460FD" w:rsidRPr="002B6B9C" w:rsidRDefault="009460FD" w:rsidP="00CE7F2F">
      <w:pPr>
        <w:spacing w:before="100" w:beforeAutospacing="1" w:after="100" w:afterAutospacing="1"/>
        <w:jc w:val="both"/>
        <w:rPr>
          <w:rFonts w:ascii="Times New Roman" w:hAnsi="Times New Roman" w:cs="Times New Roman"/>
        </w:rPr>
      </w:pPr>
      <w:r w:rsidRPr="002B6B9C">
        <w:rPr>
          <w:rFonts w:ascii="Times New Roman" w:hAnsi="Times New Roman" w:cs="Times New Roman"/>
          <w:b/>
          <w:bCs/>
        </w:rPr>
        <w:lastRenderedPageBreak/>
        <w:t>7.</w:t>
      </w:r>
      <w:r w:rsidR="000A12D8">
        <w:rPr>
          <w:rFonts w:ascii="Times New Roman" w:hAnsi="Times New Roman" w:cs="Times New Roman"/>
        </w:rPr>
        <w:t xml:space="preserve"> </w:t>
      </w:r>
      <w:r w:rsidRPr="002B6B9C">
        <w:rPr>
          <w:rFonts w:ascii="Times New Roman" w:hAnsi="Times New Roman" w:cs="Times New Roman"/>
          <w:b/>
          <w:bCs/>
        </w:rPr>
        <w:t>Court or judge to consider net estate and means of widow or child</w:t>
      </w:r>
    </w:p>
    <w:p w14:paraId="58BF4235" w14:textId="3C4ED8EB"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 xml:space="preserve">In granting or refusing any such application, and in fixing the amount of the provision to be made under this Act for any person who is entitled to make an application under subsection (1) of section three, the Court or judge shall have regard, </w:t>
      </w:r>
      <w:r w:rsidRPr="002B6B9C">
        <w:rPr>
          <w:rFonts w:ascii="Times New Roman" w:eastAsia="Times New Roman" w:hAnsi="Times New Roman" w:cs="Times New Roman"/>
          <w:i/>
          <w:iCs/>
        </w:rPr>
        <w:t>inter alia</w:t>
      </w:r>
      <w:r w:rsidRPr="002B6B9C">
        <w:rPr>
          <w:rFonts w:ascii="Times New Roman" w:eastAsia="Times New Roman" w:hAnsi="Times New Roman" w:cs="Times New Roman"/>
        </w:rPr>
        <w:t>, to –</w:t>
      </w:r>
      <w:bookmarkStart w:id="121" w:name="GS7@Hpa@EN"/>
      <w:bookmarkEnd w:id="121"/>
    </w:p>
    <w:p w14:paraId="3C5BC9AA" w14:textId="77777777" w:rsidR="009460FD" w:rsidRPr="000A12D8" w:rsidRDefault="009460FD" w:rsidP="000A12D8">
      <w:pPr>
        <w:spacing w:before="120" w:after="120"/>
        <w:ind w:left="993"/>
        <w:jc w:val="both"/>
        <w:rPr>
          <w:rFonts w:ascii="Times New Roman" w:eastAsia="Times New Roman" w:hAnsi="Times New Roman" w:cs="Times New Roman"/>
          <w:bCs/>
          <w:iCs/>
        </w:rPr>
      </w:pPr>
      <w:r w:rsidRPr="000A12D8">
        <w:rPr>
          <w:rFonts w:ascii="Times New Roman" w:eastAsia="Times New Roman" w:hAnsi="Times New Roman" w:cs="Times New Roman"/>
          <w:bCs/>
          <w:iCs/>
        </w:rPr>
        <w:t>(a) the net value only of the estate of the deceased person, as ascertained by deducting from the gross value thereof all debts, testamentary and funeral expenses, and all other lawful liabilities to which the said estate is subject; and</w:t>
      </w:r>
    </w:p>
    <w:p w14:paraId="28545381" w14:textId="77777777" w:rsidR="009460FD" w:rsidRPr="000A12D8" w:rsidRDefault="009460FD" w:rsidP="000A12D8">
      <w:pPr>
        <w:spacing w:before="120" w:after="120"/>
        <w:ind w:left="993"/>
        <w:jc w:val="both"/>
        <w:rPr>
          <w:rFonts w:ascii="Times New Roman" w:eastAsia="Times New Roman" w:hAnsi="Times New Roman" w:cs="Times New Roman"/>
          <w:bCs/>
          <w:iCs/>
        </w:rPr>
      </w:pPr>
      <w:bookmarkStart w:id="122" w:name="GS7@Hpb@EN"/>
      <w:bookmarkEnd w:id="122"/>
      <w:r w:rsidRPr="000A12D8">
        <w:rPr>
          <w:rFonts w:ascii="Times New Roman" w:eastAsia="Times New Roman" w:hAnsi="Times New Roman" w:cs="Times New Roman"/>
          <w:bCs/>
          <w:iCs/>
        </w:rPr>
        <w:t>(b) whether any such person is entitled to independent means, whether secured by any covenant, settlement, transfer, or other provision made by the deceased person during his life or derived from any other source whatsoever.</w:t>
      </w:r>
    </w:p>
    <w:p w14:paraId="4614400C" w14:textId="6E6C2FE5" w:rsidR="009460FD" w:rsidRPr="002B6B9C" w:rsidRDefault="009460FD" w:rsidP="00CE7F2F">
      <w:pPr>
        <w:spacing w:before="100" w:beforeAutospacing="1" w:after="100" w:afterAutospacing="1"/>
        <w:jc w:val="both"/>
        <w:rPr>
          <w:rFonts w:ascii="Times New Roman" w:hAnsi="Times New Roman" w:cs="Times New Roman"/>
        </w:rPr>
      </w:pPr>
      <w:bookmarkStart w:id="123" w:name="GS8@EN"/>
      <w:bookmarkEnd w:id="123"/>
      <w:r w:rsidRPr="002B6B9C">
        <w:rPr>
          <w:rFonts w:ascii="Times New Roman" w:hAnsi="Times New Roman" w:cs="Times New Roman"/>
          <w:b/>
          <w:bCs/>
        </w:rPr>
        <w:t>8.</w:t>
      </w:r>
      <w:r w:rsidR="000A12D8">
        <w:rPr>
          <w:rFonts w:ascii="Times New Roman" w:hAnsi="Times New Roman" w:cs="Times New Roman"/>
        </w:rPr>
        <w:t xml:space="preserve"> </w:t>
      </w:r>
      <w:r w:rsidRPr="002B6B9C">
        <w:rPr>
          <w:rFonts w:ascii="Times New Roman" w:hAnsi="Times New Roman" w:cs="Times New Roman"/>
          <w:b/>
          <w:bCs/>
        </w:rPr>
        <w:t>Cases in which Court or judge may refuse application</w:t>
      </w:r>
    </w:p>
    <w:p w14:paraId="11E9F171" w14:textId="77777777" w:rsidR="009460FD" w:rsidRPr="002B6B9C" w:rsidRDefault="009460FD" w:rsidP="000A12D8">
      <w:pPr>
        <w:spacing w:before="120" w:after="120"/>
        <w:jc w:val="both"/>
        <w:rPr>
          <w:rFonts w:ascii="Times New Roman" w:eastAsia="Times New Roman" w:hAnsi="Times New Roman" w:cs="Times New Roman"/>
        </w:rPr>
      </w:pPr>
      <w:bookmarkStart w:id="124" w:name="GS8@Gs1@EN"/>
      <w:bookmarkEnd w:id="124"/>
      <w:r w:rsidRPr="002B6B9C">
        <w:rPr>
          <w:rFonts w:ascii="Times New Roman" w:eastAsia="Times New Roman" w:hAnsi="Times New Roman" w:cs="Times New Roman"/>
        </w:rPr>
        <w:t>(1)  The Court or judge may refuse any such application if the character or conduct of any person by or on behalf of whom the application is made is such as in the opinion of the Court or judge should disentitle him or her to the benefit of any provision under this Act.</w:t>
      </w:r>
    </w:p>
    <w:p w14:paraId="71BCFD83" w14:textId="77777777" w:rsidR="009460FD" w:rsidRPr="002B6B9C" w:rsidRDefault="009460FD" w:rsidP="000A12D8">
      <w:pPr>
        <w:spacing w:before="120" w:after="120"/>
        <w:jc w:val="both"/>
        <w:rPr>
          <w:rFonts w:ascii="Times New Roman" w:eastAsia="Times New Roman" w:hAnsi="Times New Roman" w:cs="Times New Roman"/>
        </w:rPr>
      </w:pPr>
      <w:bookmarkStart w:id="125" w:name="GS8@Gs2@EN"/>
      <w:bookmarkEnd w:id="125"/>
      <w:r w:rsidRPr="002B6B9C">
        <w:rPr>
          <w:rFonts w:ascii="Times New Roman" w:eastAsia="Times New Roman" w:hAnsi="Times New Roman" w:cs="Times New Roman"/>
        </w:rPr>
        <w:t>(2)  The Court or judge in making any order under this Act may impose such conditions, restrictions, and limitations, whether to prevent, restrict, or defeat any alienation or charge of or upon the benefit of any provision made under such order or otherwise, as the Court or judge may think fit.</w:t>
      </w:r>
    </w:p>
    <w:p w14:paraId="6605F4D5" w14:textId="77777777" w:rsidR="009460FD" w:rsidRPr="002B6B9C" w:rsidRDefault="009460FD" w:rsidP="000A12D8">
      <w:pPr>
        <w:spacing w:before="120" w:after="120"/>
        <w:jc w:val="both"/>
        <w:rPr>
          <w:rFonts w:ascii="Times New Roman" w:eastAsia="Times New Roman" w:hAnsi="Times New Roman" w:cs="Times New Roman"/>
        </w:rPr>
      </w:pPr>
      <w:bookmarkStart w:id="126" w:name="GS8@Gs3@EN"/>
      <w:bookmarkEnd w:id="126"/>
      <w:r w:rsidRPr="002B6B9C">
        <w:rPr>
          <w:rFonts w:ascii="Times New Roman" w:eastAsia="Times New Roman" w:hAnsi="Times New Roman" w:cs="Times New Roman"/>
        </w:rPr>
        <w:t>(3)  .  .  .  .  .  .  .  .  </w:t>
      </w:r>
    </w:p>
    <w:p w14:paraId="0D8E7A01" w14:textId="33C5803B" w:rsidR="009460FD" w:rsidRPr="002B6B9C" w:rsidRDefault="009460FD" w:rsidP="00CE7F2F">
      <w:pPr>
        <w:spacing w:before="100" w:beforeAutospacing="1" w:after="100" w:afterAutospacing="1"/>
        <w:jc w:val="both"/>
        <w:rPr>
          <w:rFonts w:ascii="Times New Roman" w:hAnsi="Times New Roman" w:cs="Times New Roman"/>
        </w:rPr>
      </w:pPr>
      <w:bookmarkStart w:id="127" w:name="GS8A@EN"/>
      <w:bookmarkEnd w:id="127"/>
      <w:r w:rsidRPr="002B6B9C">
        <w:rPr>
          <w:rFonts w:ascii="Times New Roman" w:hAnsi="Times New Roman" w:cs="Times New Roman"/>
          <w:b/>
          <w:bCs/>
        </w:rPr>
        <w:t>8A.</w:t>
      </w:r>
      <w:r w:rsidR="000A12D8">
        <w:rPr>
          <w:rFonts w:ascii="Times New Roman" w:hAnsi="Times New Roman" w:cs="Times New Roman"/>
        </w:rPr>
        <w:t xml:space="preserve"> </w:t>
      </w:r>
      <w:r w:rsidRPr="002B6B9C">
        <w:rPr>
          <w:rFonts w:ascii="Times New Roman" w:hAnsi="Times New Roman" w:cs="Times New Roman"/>
          <w:b/>
          <w:bCs/>
        </w:rPr>
        <w:t>Evidence as to deceased</w:t>
      </w:r>
      <w:r w:rsidR="00976245">
        <w:rPr>
          <w:rFonts w:ascii="Times New Roman" w:hAnsi="Times New Roman" w:cs="Times New Roman"/>
          <w:b/>
          <w:bCs/>
        </w:rPr>
        <w:t>’</w:t>
      </w:r>
      <w:r w:rsidRPr="002B6B9C">
        <w:rPr>
          <w:rFonts w:ascii="Times New Roman" w:hAnsi="Times New Roman" w:cs="Times New Roman"/>
          <w:b/>
          <w:bCs/>
        </w:rPr>
        <w:t>s reasons for dispositions</w:t>
      </w:r>
    </w:p>
    <w:p w14:paraId="2DEB3E0C" w14:textId="4A7A9389" w:rsidR="009460FD" w:rsidRPr="002B6B9C" w:rsidRDefault="009460FD" w:rsidP="005B0E3A">
      <w:pPr>
        <w:spacing w:before="120" w:after="120"/>
        <w:jc w:val="both"/>
        <w:rPr>
          <w:rFonts w:ascii="Times New Roman" w:eastAsia="Times New Roman" w:hAnsi="Times New Roman" w:cs="Times New Roman"/>
        </w:rPr>
      </w:pPr>
      <w:bookmarkStart w:id="128" w:name="GS8A@Gs1@EN"/>
      <w:bookmarkEnd w:id="128"/>
      <w:r w:rsidRPr="002B6B9C">
        <w:rPr>
          <w:rFonts w:ascii="Times New Roman" w:eastAsia="Times New Roman" w:hAnsi="Times New Roman" w:cs="Times New Roman"/>
        </w:rPr>
        <w:t>(1) On the hearing of an application under subsection (1) of section three, the Court or judge may have regard to the deceased person's reasons, so far as they are ascertainable, for making the dispositions made by his will, or for not making any provision or further provision, as the case may be, for any person, and the Court or judge may accept such evidence of those reasons as it or he considers sufficient, whether that evidence would otherwise be admissible in a court of law or not.</w:t>
      </w:r>
    </w:p>
    <w:p w14:paraId="1817371E" w14:textId="5F80B167" w:rsidR="009460FD" w:rsidRPr="002B6B9C" w:rsidRDefault="009460FD" w:rsidP="005B0E3A">
      <w:pPr>
        <w:spacing w:before="120" w:after="120"/>
        <w:jc w:val="both"/>
        <w:rPr>
          <w:rFonts w:ascii="Times New Roman" w:eastAsia="Times New Roman" w:hAnsi="Times New Roman" w:cs="Times New Roman"/>
        </w:rPr>
      </w:pPr>
      <w:bookmarkStart w:id="129" w:name="GS8A@Gs1A@EN"/>
      <w:bookmarkEnd w:id="129"/>
      <w:r w:rsidRPr="002B6B9C">
        <w:rPr>
          <w:rFonts w:ascii="Times New Roman" w:eastAsia="Times New Roman" w:hAnsi="Times New Roman" w:cs="Times New Roman"/>
        </w:rPr>
        <w:t xml:space="preserve">(1A)  Where an application under section 3(1) relates to a will made under Part 3 of the </w:t>
      </w:r>
      <w:r w:rsidRPr="005B0E3A">
        <w:rPr>
          <w:rFonts w:ascii="Times New Roman" w:eastAsia="Times New Roman" w:hAnsi="Times New Roman" w:cs="Times New Roman"/>
          <w:i/>
        </w:rPr>
        <w:t>Wills Act 2008</w:t>
      </w:r>
      <w:r w:rsidRPr="002B6B9C">
        <w:rPr>
          <w:rFonts w:ascii="Times New Roman" w:eastAsia="Times New Roman" w:hAnsi="Times New Roman" w:cs="Times New Roman"/>
        </w:rPr>
        <w:t xml:space="preserve"> by the Guardianship and Administration Board or the Court, the Court or judge may have regard to the records of the Board or Court relating to the person for whom the will was made and the reasons given by the Board or Court for making an order authorising the making or alteration of a will in specific terms.</w:t>
      </w:r>
    </w:p>
    <w:p w14:paraId="150308E5" w14:textId="735829E9" w:rsidR="009460FD" w:rsidRPr="002B6B9C" w:rsidRDefault="009460FD" w:rsidP="005B0E3A">
      <w:pPr>
        <w:spacing w:before="120" w:after="120"/>
        <w:jc w:val="both"/>
        <w:rPr>
          <w:rFonts w:ascii="Times New Roman" w:eastAsia="Times New Roman" w:hAnsi="Times New Roman" w:cs="Times New Roman"/>
        </w:rPr>
      </w:pPr>
      <w:bookmarkStart w:id="130" w:name="GS8A@Gs2@EN"/>
      <w:bookmarkEnd w:id="130"/>
      <w:r w:rsidRPr="002B6B9C">
        <w:rPr>
          <w:rFonts w:ascii="Times New Roman" w:eastAsia="Times New Roman" w:hAnsi="Times New Roman" w:cs="Times New Roman"/>
        </w:rPr>
        <w:t>(2) Nothing in this section shall be construed as restricting the evidence that is admissible, or the matters that may be taken into account, on the hearing of an application under subsection (1) of section three.</w:t>
      </w:r>
    </w:p>
    <w:p w14:paraId="3078F150" w14:textId="6F3D2C91" w:rsidR="009460FD" w:rsidRPr="002B6B9C" w:rsidRDefault="009460FD" w:rsidP="00CE7F2F">
      <w:pPr>
        <w:spacing w:before="100" w:beforeAutospacing="1" w:after="100" w:afterAutospacing="1"/>
        <w:jc w:val="both"/>
        <w:rPr>
          <w:rFonts w:ascii="Times New Roman" w:hAnsi="Times New Roman" w:cs="Times New Roman"/>
        </w:rPr>
      </w:pPr>
      <w:bookmarkStart w:id="131" w:name="GS9@EN"/>
      <w:bookmarkEnd w:id="131"/>
      <w:r w:rsidRPr="002B6B9C">
        <w:rPr>
          <w:rFonts w:ascii="Times New Roman" w:hAnsi="Times New Roman" w:cs="Times New Roman"/>
          <w:b/>
          <w:bCs/>
        </w:rPr>
        <w:t>9.</w:t>
      </w:r>
      <w:r w:rsidR="005B0E3A">
        <w:rPr>
          <w:rFonts w:ascii="Times New Roman" w:hAnsi="Times New Roman" w:cs="Times New Roman"/>
        </w:rPr>
        <w:t xml:space="preserve"> </w:t>
      </w:r>
      <w:r w:rsidRPr="002B6B9C">
        <w:rPr>
          <w:rFonts w:ascii="Times New Roman" w:hAnsi="Times New Roman" w:cs="Times New Roman"/>
          <w:b/>
          <w:bCs/>
        </w:rPr>
        <w:t>Contents of order</w:t>
      </w:r>
    </w:p>
    <w:p w14:paraId="2ACE65C7" w14:textId="28CEFFE4" w:rsidR="009460FD" w:rsidRPr="002B6B9C" w:rsidRDefault="009460FD" w:rsidP="005B0E3A">
      <w:pPr>
        <w:spacing w:before="120"/>
        <w:jc w:val="both"/>
        <w:rPr>
          <w:rFonts w:ascii="Times New Roman" w:eastAsia="Times New Roman" w:hAnsi="Times New Roman" w:cs="Times New Roman"/>
        </w:rPr>
      </w:pPr>
      <w:bookmarkStart w:id="132" w:name="GS9@Gs1@EN"/>
      <w:bookmarkEnd w:id="132"/>
      <w:r w:rsidRPr="002B6B9C">
        <w:rPr>
          <w:rFonts w:ascii="Times New Roman" w:eastAsia="Times New Roman" w:hAnsi="Times New Roman" w:cs="Times New Roman"/>
        </w:rPr>
        <w:t xml:space="preserve">(1) Every order under this Act making provision for any person shall specify, </w:t>
      </w:r>
      <w:r w:rsidRPr="005B0E3A">
        <w:rPr>
          <w:rFonts w:ascii="Times New Roman" w:eastAsia="Times New Roman" w:hAnsi="Times New Roman" w:cs="Times New Roman"/>
          <w:i/>
        </w:rPr>
        <w:t>inter alia</w:t>
      </w:r>
      <w:r w:rsidRPr="002B6B9C">
        <w:rPr>
          <w:rFonts w:ascii="Times New Roman" w:eastAsia="Times New Roman" w:hAnsi="Times New Roman" w:cs="Times New Roman"/>
        </w:rPr>
        <w:t xml:space="preserve"> –</w:t>
      </w:r>
      <w:bookmarkStart w:id="133" w:name="GS9@Gs1@Hpa@EN"/>
      <w:bookmarkEnd w:id="133"/>
    </w:p>
    <w:p w14:paraId="4B23435B" w14:textId="77777777" w:rsidR="009460FD" w:rsidRPr="005B0E3A" w:rsidRDefault="009460FD" w:rsidP="005B0E3A">
      <w:pPr>
        <w:spacing w:before="120" w:after="120"/>
        <w:ind w:left="993"/>
        <w:jc w:val="both"/>
        <w:rPr>
          <w:rFonts w:ascii="Times New Roman" w:eastAsia="Times New Roman" w:hAnsi="Times New Roman" w:cs="Times New Roman"/>
          <w:bCs/>
          <w:iCs/>
        </w:rPr>
      </w:pPr>
      <w:r w:rsidRPr="005B0E3A">
        <w:rPr>
          <w:rFonts w:ascii="Times New Roman" w:eastAsia="Times New Roman" w:hAnsi="Times New Roman" w:cs="Times New Roman"/>
          <w:bCs/>
          <w:iCs/>
        </w:rPr>
        <w:t>(a) the amount and nature of such provision;</w:t>
      </w:r>
    </w:p>
    <w:p w14:paraId="22DBDF83" w14:textId="77777777" w:rsidR="009460FD" w:rsidRPr="005B0E3A" w:rsidRDefault="009460FD" w:rsidP="005B0E3A">
      <w:pPr>
        <w:spacing w:before="120" w:after="120"/>
        <w:ind w:left="993"/>
        <w:jc w:val="both"/>
        <w:rPr>
          <w:rFonts w:ascii="Times New Roman" w:eastAsia="Times New Roman" w:hAnsi="Times New Roman" w:cs="Times New Roman"/>
          <w:bCs/>
          <w:iCs/>
        </w:rPr>
      </w:pPr>
      <w:bookmarkStart w:id="134" w:name="GS9@Gs1@Hpb@EN"/>
      <w:bookmarkEnd w:id="134"/>
      <w:r w:rsidRPr="005B0E3A">
        <w:rPr>
          <w:rFonts w:ascii="Times New Roman" w:eastAsia="Times New Roman" w:hAnsi="Times New Roman" w:cs="Times New Roman"/>
          <w:bCs/>
          <w:iCs/>
        </w:rPr>
        <w:t>(b) the manner in which such provision shall be made; or be raised or paid, out of some, and what, part of the estate of the deceased person;</w:t>
      </w:r>
    </w:p>
    <w:p w14:paraId="681A7C2E" w14:textId="77777777" w:rsidR="009460FD" w:rsidRPr="005B0E3A" w:rsidRDefault="009460FD" w:rsidP="005B0E3A">
      <w:pPr>
        <w:spacing w:before="120" w:after="120"/>
        <w:ind w:left="993"/>
        <w:jc w:val="both"/>
        <w:rPr>
          <w:rFonts w:ascii="Times New Roman" w:eastAsia="Times New Roman" w:hAnsi="Times New Roman" w:cs="Times New Roman"/>
          <w:bCs/>
          <w:iCs/>
        </w:rPr>
      </w:pPr>
      <w:bookmarkStart w:id="135" w:name="GS9@Gs1@Hpc@EN"/>
      <w:bookmarkEnd w:id="135"/>
      <w:r w:rsidRPr="005B0E3A">
        <w:rPr>
          <w:rFonts w:ascii="Times New Roman" w:eastAsia="Times New Roman" w:hAnsi="Times New Roman" w:cs="Times New Roman"/>
          <w:bCs/>
          <w:iCs/>
        </w:rPr>
        <w:t>(c) how and by whom the burden of any such provision shall be borne; and</w:t>
      </w:r>
    </w:p>
    <w:p w14:paraId="5B1AD783" w14:textId="77777777" w:rsidR="009460FD" w:rsidRPr="005B0E3A" w:rsidRDefault="009460FD" w:rsidP="005B0E3A">
      <w:pPr>
        <w:spacing w:before="120" w:after="120"/>
        <w:ind w:left="993"/>
        <w:jc w:val="both"/>
        <w:rPr>
          <w:rFonts w:ascii="Times New Roman" w:eastAsia="Times New Roman" w:hAnsi="Times New Roman" w:cs="Times New Roman"/>
          <w:bCs/>
          <w:iCs/>
        </w:rPr>
      </w:pPr>
      <w:bookmarkStart w:id="136" w:name="GS9@Gs1@Hpd@EN"/>
      <w:bookmarkEnd w:id="136"/>
      <w:r w:rsidRPr="005B0E3A">
        <w:rPr>
          <w:rFonts w:ascii="Times New Roman" w:eastAsia="Times New Roman" w:hAnsi="Times New Roman" w:cs="Times New Roman"/>
          <w:bCs/>
          <w:iCs/>
        </w:rPr>
        <w:t>(d) any conditions, restrictions, or limitations imposed by the Court or judge.</w:t>
      </w:r>
    </w:p>
    <w:p w14:paraId="0B303DAB" w14:textId="480A413A" w:rsidR="009460FD" w:rsidRPr="002B6B9C" w:rsidRDefault="009460FD" w:rsidP="005B0E3A">
      <w:pPr>
        <w:spacing w:before="120" w:after="120"/>
        <w:jc w:val="both"/>
        <w:rPr>
          <w:rFonts w:ascii="Times New Roman" w:eastAsia="Times New Roman" w:hAnsi="Times New Roman" w:cs="Times New Roman"/>
        </w:rPr>
      </w:pPr>
      <w:bookmarkStart w:id="137" w:name="GS9@Gs2@EN"/>
      <w:bookmarkEnd w:id="137"/>
      <w:r w:rsidRPr="002B6B9C">
        <w:rPr>
          <w:rFonts w:ascii="Times New Roman" w:eastAsia="Times New Roman" w:hAnsi="Times New Roman" w:cs="Times New Roman"/>
        </w:rPr>
        <w:lastRenderedPageBreak/>
        <w:t>(2) The Court or judge shall in every case in which provision is made under this Act direct that a certified copy of such order be made upon the probate of the will or letters of administration, with the will annexed, of the estate of the deceased person, or, as the case may be, upon the letters of administration of the estate of the deceased person, and for that purpose shall retain such probate or letters until such copy is made.</w:t>
      </w:r>
    </w:p>
    <w:p w14:paraId="1383F1A6" w14:textId="764BC8B2" w:rsidR="009460FD" w:rsidRPr="002B6B9C" w:rsidRDefault="009460FD" w:rsidP="005B0E3A">
      <w:pPr>
        <w:spacing w:before="120"/>
        <w:jc w:val="both"/>
        <w:rPr>
          <w:rFonts w:ascii="Times New Roman" w:eastAsia="Times New Roman" w:hAnsi="Times New Roman" w:cs="Times New Roman"/>
        </w:rPr>
      </w:pPr>
      <w:bookmarkStart w:id="138" w:name="GS9@Gs3@EN"/>
      <w:bookmarkEnd w:id="138"/>
      <w:r w:rsidRPr="002B6B9C">
        <w:rPr>
          <w:rFonts w:ascii="Times New Roman" w:eastAsia="Times New Roman" w:hAnsi="Times New Roman" w:cs="Times New Roman"/>
        </w:rPr>
        <w:t>(3) Subject to this Act, every provision made under this Act operates and takes effect –</w:t>
      </w:r>
      <w:bookmarkStart w:id="139" w:name="GS9@Gs3@Hpa@EN"/>
      <w:bookmarkEnd w:id="139"/>
    </w:p>
    <w:p w14:paraId="47DA3C5B" w14:textId="77777777" w:rsidR="009460FD" w:rsidRPr="005B0E3A" w:rsidRDefault="009460FD" w:rsidP="005B0E3A">
      <w:pPr>
        <w:spacing w:before="120" w:after="120"/>
        <w:ind w:left="993"/>
        <w:jc w:val="both"/>
        <w:rPr>
          <w:rFonts w:ascii="Times New Roman" w:eastAsia="Times New Roman" w:hAnsi="Times New Roman" w:cs="Times New Roman"/>
          <w:bCs/>
          <w:iCs/>
        </w:rPr>
      </w:pPr>
      <w:r w:rsidRPr="005B0E3A">
        <w:rPr>
          <w:rFonts w:ascii="Times New Roman" w:eastAsia="Times New Roman" w:hAnsi="Times New Roman" w:cs="Times New Roman"/>
          <w:bCs/>
          <w:iCs/>
        </w:rPr>
        <w:t>(a) in the case of the estate of a person who dies testate, as if it had been made by a codicil to the will of the deceased person executed immediately before his death; or</w:t>
      </w:r>
    </w:p>
    <w:p w14:paraId="1A4A3ABD" w14:textId="26F6B476" w:rsidR="009460FD" w:rsidRPr="005B0E3A" w:rsidRDefault="009460FD" w:rsidP="005B0E3A">
      <w:pPr>
        <w:spacing w:before="120" w:after="120"/>
        <w:ind w:left="993"/>
        <w:jc w:val="both"/>
        <w:rPr>
          <w:rFonts w:ascii="Times New Roman" w:eastAsia="Times New Roman" w:hAnsi="Times New Roman" w:cs="Times New Roman"/>
          <w:bCs/>
          <w:iCs/>
        </w:rPr>
      </w:pPr>
      <w:bookmarkStart w:id="140" w:name="GS9@Gs3@Hpb@EN"/>
      <w:bookmarkEnd w:id="140"/>
      <w:r w:rsidRPr="005B0E3A">
        <w:rPr>
          <w:rFonts w:ascii="Times New Roman" w:eastAsia="Times New Roman" w:hAnsi="Times New Roman" w:cs="Times New Roman"/>
          <w:bCs/>
          <w:iCs/>
        </w:rPr>
        <w:t xml:space="preserve">(b) in the case of the estate of a person who dies intestate, as a modification of the provisions of the </w:t>
      </w:r>
      <w:r w:rsidRPr="005B0E3A">
        <w:rPr>
          <w:rFonts w:ascii="Times New Roman" w:eastAsia="Times New Roman" w:hAnsi="Times New Roman" w:cs="Times New Roman"/>
          <w:bCs/>
          <w:i/>
          <w:iCs/>
        </w:rPr>
        <w:t>Intestacy Act 2010</w:t>
      </w:r>
      <w:r w:rsidRPr="005B0E3A">
        <w:rPr>
          <w:rFonts w:ascii="Times New Roman" w:eastAsia="Times New Roman" w:hAnsi="Times New Roman" w:cs="Times New Roman"/>
          <w:bCs/>
          <w:iCs/>
        </w:rPr>
        <w:t>.</w:t>
      </w:r>
    </w:p>
    <w:p w14:paraId="49976A20" w14:textId="5F3297EC" w:rsidR="009460FD" w:rsidRPr="002B6B9C" w:rsidRDefault="009460FD" w:rsidP="005B0E3A">
      <w:pPr>
        <w:spacing w:before="120" w:after="120"/>
        <w:jc w:val="both"/>
        <w:rPr>
          <w:rFonts w:ascii="Times New Roman" w:eastAsia="Times New Roman" w:hAnsi="Times New Roman" w:cs="Times New Roman"/>
        </w:rPr>
      </w:pPr>
      <w:bookmarkStart w:id="141" w:name="GS9@Gs4@EN"/>
      <w:bookmarkEnd w:id="141"/>
      <w:r w:rsidRPr="002B6B9C">
        <w:rPr>
          <w:rFonts w:ascii="Times New Roman" w:eastAsia="Times New Roman" w:hAnsi="Times New Roman" w:cs="Times New Roman"/>
        </w:rPr>
        <w:t xml:space="preserve">(4) If in the opinion of the Court or a judge it is desirable so to do, having regard to all the circumstances of the case, the Court or judge may, in any order under this Act making provision for the spouse of a deceased person, direct that that provision shall operate for the benefit of the spouse notwithstanding that he or she may, at any time after the making of the order, remarry or enter into a significant relationship, within the meaning of the </w:t>
      </w:r>
      <w:r w:rsidRPr="005B0E3A">
        <w:rPr>
          <w:rFonts w:ascii="Times New Roman" w:eastAsia="Times New Roman" w:hAnsi="Times New Roman" w:cs="Times New Roman"/>
          <w:i/>
        </w:rPr>
        <w:t>Relationships Act 2003</w:t>
      </w:r>
      <w:r w:rsidRPr="002B6B9C">
        <w:rPr>
          <w:rFonts w:ascii="Times New Roman" w:eastAsia="Times New Roman" w:hAnsi="Times New Roman" w:cs="Times New Roman"/>
        </w:rPr>
        <w:t>.</w:t>
      </w:r>
    </w:p>
    <w:p w14:paraId="354F5BBB" w14:textId="528A6704" w:rsidR="009460FD" w:rsidRPr="002B6B9C" w:rsidRDefault="009460FD" w:rsidP="005B0E3A">
      <w:pPr>
        <w:spacing w:before="120" w:after="120"/>
        <w:jc w:val="both"/>
        <w:rPr>
          <w:rFonts w:ascii="Times New Roman" w:eastAsia="Times New Roman" w:hAnsi="Times New Roman" w:cs="Times New Roman"/>
        </w:rPr>
      </w:pPr>
      <w:bookmarkStart w:id="142" w:name="GS9@Gs5@EN"/>
      <w:bookmarkEnd w:id="142"/>
      <w:r w:rsidRPr="002B6B9C">
        <w:rPr>
          <w:rFonts w:ascii="Times New Roman" w:eastAsia="Times New Roman" w:hAnsi="Times New Roman" w:cs="Times New Roman"/>
        </w:rPr>
        <w:t>(5) The Court or a judge may, at any time, on the application of the executor or administrator of the estate of a deceased person or of any person who is beneficially entitled to, or interested in, any part of that estate –</w:t>
      </w:r>
      <w:bookmarkStart w:id="143" w:name="GS9@Gs5@Hpa@EN"/>
      <w:bookmarkEnd w:id="143"/>
    </w:p>
    <w:p w14:paraId="407EF49E" w14:textId="77777777" w:rsidR="009460FD" w:rsidRPr="005B0E3A" w:rsidRDefault="009460FD" w:rsidP="005B0E3A">
      <w:pPr>
        <w:spacing w:before="120" w:after="120"/>
        <w:ind w:left="993"/>
        <w:jc w:val="both"/>
        <w:rPr>
          <w:rFonts w:ascii="Times New Roman" w:eastAsia="Times New Roman" w:hAnsi="Times New Roman" w:cs="Times New Roman"/>
          <w:bCs/>
          <w:iCs/>
        </w:rPr>
      </w:pPr>
      <w:r w:rsidRPr="005B0E3A">
        <w:rPr>
          <w:rFonts w:ascii="Times New Roman" w:eastAsia="Times New Roman" w:hAnsi="Times New Roman" w:cs="Times New Roman"/>
          <w:bCs/>
          <w:iCs/>
        </w:rPr>
        <w:t>(a) rescind any order making any provision under this Act out of that estate or any part thereof; or</w:t>
      </w:r>
    </w:p>
    <w:p w14:paraId="617B2983" w14:textId="77777777" w:rsidR="009460FD" w:rsidRPr="005B0E3A" w:rsidRDefault="009460FD" w:rsidP="005B0E3A">
      <w:pPr>
        <w:spacing w:before="120" w:after="120"/>
        <w:ind w:left="993"/>
        <w:jc w:val="both"/>
        <w:rPr>
          <w:rFonts w:ascii="Times New Roman" w:eastAsia="Times New Roman" w:hAnsi="Times New Roman" w:cs="Times New Roman"/>
          <w:bCs/>
          <w:iCs/>
        </w:rPr>
      </w:pPr>
      <w:bookmarkStart w:id="144" w:name="GS9@Gs5@Hpb@EN"/>
      <w:bookmarkEnd w:id="144"/>
      <w:r w:rsidRPr="005B0E3A">
        <w:rPr>
          <w:rFonts w:ascii="Times New Roman" w:eastAsia="Times New Roman" w:hAnsi="Times New Roman" w:cs="Times New Roman"/>
          <w:bCs/>
          <w:iCs/>
        </w:rPr>
        <w:t>(b) alter any such order by increasing or reducing the amount of any provision made thereby or by varying such order in such manner as the Court or judge thinks proper.</w:t>
      </w:r>
    </w:p>
    <w:p w14:paraId="59A50548" w14:textId="5BB28984" w:rsidR="009460FD" w:rsidRPr="002B6B9C" w:rsidRDefault="009460FD" w:rsidP="005B0E3A">
      <w:pPr>
        <w:spacing w:before="120" w:after="120"/>
        <w:jc w:val="both"/>
        <w:rPr>
          <w:rFonts w:ascii="Times New Roman" w:eastAsia="Times New Roman" w:hAnsi="Times New Roman" w:cs="Times New Roman"/>
        </w:rPr>
      </w:pPr>
      <w:bookmarkStart w:id="145" w:name="GS9@Gs5A@EN"/>
      <w:bookmarkEnd w:id="145"/>
      <w:r w:rsidRPr="002B6B9C">
        <w:rPr>
          <w:rFonts w:ascii="Times New Roman" w:eastAsia="Times New Roman" w:hAnsi="Times New Roman" w:cs="Times New Roman"/>
        </w:rPr>
        <w:t>(5A) The Court or a judge shall not, in the exercise of the power conferred on it or him by paragraph (b) of subsection (5) of this section, alter an order under this Act so as to disturb a distribution of any part of the estate that was lawfully made before the making of the application for the alteration.</w:t>
      </w:r>
    </w:p>
    <w:p w14:paraId="69F4CD02" w14:textId="069655D4" w:rsidR="009460FD" w:rsidRPr="002B6B9C" w:rsidRDefault="009460FD" w:rsidP="005B0E3A">
      <w:pPr>
        <w:spacing w:before="120" w:after="120"/>
        <w:jc w:val="both"/>
        <w:rPr>
          <w:rFonts w:ascii="Times New Roman" w:eastAsia="Times New Roman" w:hAnsi="Times New Roman" w:cs="Times New Roman"/>
        </w:rPr>
      </w:pPr>
      <w:bookmarkStart w:id="146" w:name="GS9@Gs6@EN"/>
      <w:bookmarkEnd w:id="146"/>
      <w:r w:rsidRPr="002B6B9C">
        <w:rPr>
          <w:rFonts w:ascii="Times New Roman" w:eastAsia="Times New Roman" w:hAnsi="Times New Roman" w:cs="Times New Roman"/>
        </w:rPr>
        <w:t>(6) A person who makes an application under subsection (5) of this section shall cause notice of the application to be served on all persons taking any benefit under the order sought to be rescinded or altered.</w:t>
      </w:r>
    </w:p>
    <w:p w14:paraId="47CF8DA6" w14:textId="2BFE27F0" w:rsidR="009460FD" w:rsidRPr="002B6B9C" w:rsidRDefault="009460FD" w:rsidP="005B0E3A">
      <w:pPr>
        <w:spacing w:before="120" w:after="120"/>
        <w:jc w:val="both"/>
        <w:rPr>
          <w:rFonts w:ascii="Times New Roman" w:eastAsia="Times New Roman" w:hAnsi="Times New Roman" w:cs="Times New Roman"/>
        </w:rPr>
      </w:pPr>
      <w:bookmarkStart w:id="147" w:name="GS9@Gs7@EN"/>
      <w:bookmarkEnd w:id="147"/>
      <w:r w:rsidRPr="002B6B9C">
        <w:rPr>
          <w:rFonts w:ascii="Times New Roman" w:eastAsia="Times New Roman" w:hAnsi="Times New Roman" w:cs="Times New Roman"/>
        </w:rPr>
        <w:t>(7) Upon an order being made under this Act, the portion of the estate comprised therein or affected thereby shall be held subject to the provisions of the order.</w:t>
      </w:r>
    </w:p>
    <w:p w14:paraId="007A0355" w14:textId="72BDF51A" w:rsidR="009460FD" w:rsidRPr="002B6B9C" w:rsidRDefault="009460FD" w:rsidP="00CE7F2F">
      <w:pPr>
        <w:spacing w:before="100" w:beforeAutospacing="1" w:after="100" w:afterAutospacing="1"/>
        <w:jc w:val="both"/>
        <w:rPr>
          <w:rFonts w:ascii="Times New Roman" w:hAnsi="Times New Roman" w:cs="Times New Roman"/>
        </w:rPr>
      </w:pPr>
      <w:bookmarkStart w:id="148" w:name="GS10@EN"/>
      <w:bookmarkEnd w:id="148"/>
      <w:r w:rsidRPr="002B6B9C">
        <w:rPr>
          <w:rFonts w:ascii="Times New Roman" w:hAnsi="Times New Roman" w:cs="Times New Roman"/>
          <w:b/>
          <w:bCs/>
        </w:rPr>
        <w:t>10.</w:t>
      </w:r>
      <w:r w:rsidR="005C7738">
        <w:rPr>
          <w:rFonts w:ascii="Times New Roman" w:hAnsi="Times New Roman" w:cs="Times New Roman"/>
        </w:rPr>
        <w:t xml:space="preserve"> </w:t>
      </w:r>
      <w:r w:rsidRPr="002B6B9C">
        <w:rPr>
          <w:rFonts w:ascii="Times New Roman" w:hAnsi="Times New Roman" w:cs="Times New Roman"/>
          <w:b/>
          <w:bCs/>
        </w:rPr>
        <w:t>Provision for class fund</w:t>
      </w:r>
    </w:p>
    <w:p w14:paraId="63DE882D" w14:textId="577A8540" w:rsidR="009460FD" w:rsidRPr="002B6B9C" w:rsidRDefault="009460FD" w:rsidP="005C7738">
      <w:pPr>
        <w:spacing w:before="120" w:after="120"/>
        <w:jc w:val="both"/>
        <w:rPr>
          <w:rFonts w:ascii="Times New Roman" w:eastAsia="Times New Roman" w:hAnsi="Times New Roman" w:cs="Times New Roman"/>
        </w:rPr>
      </w:pPr>
      <w:bookmarkStart w:id="149" w:name="GS10@Gs1@EN"/>
      <w:bookmarkEnd w:id="149"/>
      <w:r w:rsidRPr="002B6B9C">
        <w:rPr>
          <w:rFonts w:ascii="Times New Roman" w:eastAsia="Times New Roman" w:hAnsi="Times New Roman" w:cs="Times New Roman"/>
        </w:rPr>
        <w:t>(1) Without prejudice to the powers conferred on the Court or a judge under any other provision of this Act, the Court or a judge may order that any amount specified in an order made on an application under subsection (1) of section three shall be set aside out of the estate to which the order relates and held on trust as a class fund for the benefit of two or more persons specified in the order (being persons who are entitled under section three A to make an application under that subsection).</w:t>
      </w:r>
    </w:p>
    <w:p w14:paraId="0A669A97" w14:textId="479AE84E" w:rsidR="009460FD" w:rsidRPr="002B6B9C" w:rsidRDefault="009460FD" w:rsidP="005C7738">
      <w:pPr>
        <w:spacing w:before="120" w:after="120"/>
        <w:jc w:val="both"/>
        <w:rPr>
          <w:rFonts w:ascii="Times New Roman" w:eastAsia="Times New Roman" w:hAnsi="Times New Roman" w:cs="Times New Roman"/>
        </w:rPr>
      </w:pPr>
      <w:bookmarkStart w:id="150" w:name="GS10@Gs2@EN"/>
      <w:bookmarkEnd w:id="150"/>
      <w:r w:rsidRPr="002B6B9C">
        <w:rPr>
          <w:rFonts w:ascii="Times New Roman" w:eastAsia="Times New Roman" w:hAnsi="Times New Roman" w:cs="Times New Roman"/>
        </w:rPr>
        <w:t>(2) Where an amount is ordered to be held on trust as a class fund for any persons, pursuant to this section, that amount shall be invested, and the trustee may –</w:t>
      </w:r>
      <w:bookmarkStart w:id="151" w:name="GS10@Gs2@Hpa@EN"/>
      <w:bookmarkEnd w:id="151"/>
    </w:p>
    <w:p w14:paraId="1D4536E6" w14:textId="77777777" w:rsidR="009460FD" w:rsidRPr="005C7738" w:rsidRDefault="009460FD" w:rsidP="005C7738">
      <w:pPr>
        <w:spacing w:before="120" w:after="120"/>
        <w:ind w:left="993"/>
        <w:jc w:val="both"/>
        <w:rPr>
          <w:rFonts w:ascii="Times New Roman" w:eastAsia="Times New Roman" w:hAnsi="Times New Roman" w:cs="Times New Roman"/>
          <w:bCs/>
          <w:iCs/>
        </w:rPr>
      </w:pPr>
      <w:r w:rsidRPr="005C7738">
        <w:rPr>
          <w:rFonts w:ascii="Times New Roman" w:eastAsia="Times New Roman" w:hAnsi="Times New Roman" w:cs="Times New Roman"/>
          <w:bCs/>
          <w:iCs/>
        </w:rPr>
        <w:t xml:space="preserve">(a) in his discretion but subject to such directions and conditions as the Court or judge may give or impose, apply the income and capital of that amount, or so much thereof as the trustee from time to time thinks fit, for or towards the maintenance or education (including past maintenance or education provided after the death of the deceased person), or the advancement or benefit, of those persons or of any one or more of them to the exclusion of </w:t>
      </w:r>
      <w:r w:rsidRPr="005C7738">
        <w:rPr>
          <w:rFonts w:ascii="Times New Roman" w:eastAsia="Times New Roman" w:hAnsi="Times New Roman" w:cs="Times New Roman"/>
          <w:bCs/>
          <w:iCs/>
        </w:rPr>
        <w:lastRenderedPageBreak/>
        <w:t>the other or others of them, in such shares and proportions, and generally in such manner, as the trustee thinks fit; and</w:t>
      </w:r>
    </w:p>
    <w:p w14:paraId="0357D732" w14:textId="77777777" w:rsidR="009460FD" w:rsidRPr="005C7738" w:rsidRDefault="009460FD" w:rsidP="005C7738">
      <w:pPr>
        <w:spacing w:before="120" w:after="120"/>
        <w:ind w:left="993"/>
        <w:jc w:val="both"/>
        <w:rPr>
          <w:rFonts w:ascii="Times New Roman" w:eastAsia="Times New Roman" w:hAnsi="Times New Roman" w:cs="Times New Roman"/>
          <w:bCs/>
          <w:iCs/>
        </w:rPr>
      </w:pPr>
      <w:bookmarkStart w:id="152" w:name="GS10@Gs2@Hpb@EN"/>
      <w:bookmarkEnd w:id="152"/>
      <w:r w:rsidRPr="005C7738">
        <w:rPr>
          <w:rFonts w:ascii="Times New Roman" w:eastAsia="Times New Roman" w:hAnsi="Times New Roman" w:cs="Times New Roman"/>
          <w:bCs/>
          <w:iCs/>
        </w:rPr>
        <w:t>(b) so apply the income and capital of that amount notwithstanding that only one of those persons remains alive.</w:t>
      </w:r>
    </w:p>
    <w:p w14:paraId="5420797D" w14:textId="319703B4" w:rsidR="009460FD" w:rsidRPr="002B6B9C" w:rsidRDefault="009460FD" w:rsidP="005C7738">
      <w:pPr>
        <w:spacing w:before="120" w:after="120"/>
        <w:jc w:val="both"/>
        <w:rPr>
          <w:rFonts w:ascii="Times New Roman" w:eastAsia="Times New Roman" w:hAnsi="Times New Roman" w:cs="Times New Roman"/>
        </w:rPr>
      </w:pPr>
      <w:bookmarkStart w:id="153" w:name="GS10@Gs3@EN"/>
      <w:bookmarkEnd w:id="153"/>
      <w:r w:rsidRPr="002B6B9C">
        <w:rPr>
          <w:rFonts w:ascii="Times New Roman" w:eastAsia="Times New Roman" w:hAnsi="Times New Roman" w:cs="Times New Roman"/>
        </w:rPr>
        <w:t xml:space="preserve">(3) For the purposes of this section, the expression </w:t>
      </w:r>
      <w:r w:rsidRPr="005C7738">
        <w:rPr>
          <w:rFonts w:ascii="Times New Roman" w:eastAsia="Times New Roman" w:hAnsi="Times New Roman" w:cs="Times New Roman"/>
        </w:rPr>
        <w:t>trustee</w:t>
      </w:r>
      <w:r w:rsidRPr="002B6B9C">
        <w:rPr>
          <w:rFonts w:ascii="Times New Roman" w:eastAsia="Times New Roman" w:hAnsi="Times New Roman" w:cs="Times New Roman"/>
        </w:rPr>
        <w:t xml:space="preserve"> means the executor or administrator of the estate of the deceased person unless the Court or judge appoints any other trustee (whether by the order creating the class fund or subsequently), in which case it means the trustee so appointed.</w:t>
      </w:r>
    </w:p>
    <w:p w14:paraId="76A0A6F7" w14:textId="7245F960" w:rsidR="009460FD" w:rsidRPr="002B6B9C" w:rsidRDefault="009460FD" w:rsidP="005C7738">
      <w:pPr>
        <w:spacing w:before="120" w:after="120"/>
        <w:jc w:val="both"/>
        <w:rPr>
          <w:rFonts w:ascii="Times New Roman" w:eastAsia="Times New Roman" w:hAnsi="Times New Roman" w:cs="Times New Roman"/>
        </w:rPr>
      </w:pPr>
      <w:bookmarkStart w:id="154" w:name="GS10@Gs4@EN"/>
      <w:bookmarkEnd w:id="154"/>
      <w:r w:rsidRPr="002B6B9C">
        <w:rPr>
          <w:rFonts w:ascii="Times New Roman" w:eastAsia="Times New Roman" w:hAnsi="Times New Roman" w:cs="Times New Roman"/>
        </w:rPr>
        <w:t xml:space="preserve">(4) If the trustee is not the executor or administrator of the estate of the deceased person, the Court or judge may give such directions as it or he thinks fit relating to the payment to the trustee of the amount that is to be held on trust as a class fund, and may exercise any power conferred on the Court by section forty-seven of the </w:t>
      </w:r>
      <w:r w:rsidRPr="005C7738">
        <w:rPr>
          <w:rFonts w:ascii="Times New Roman" w:eastAsia="Times New Roman" w:hAnsi="Times New Roman" w:cs="Times New Roman"/>
          <w:i/>
        </w:rPr>
        <w:t>Trustee Act 1898</w:t>
      </w:r>
      <w:r w:rsidRPr="002B6B9C">
        <w:rPr>
          <w:rFonts w:ascii="Times New Roman" w:eastAsia="Times New Roman" w:hAnsi="Times New Roman" w:cs="Times New Roman"/>
        </w:rPr>
        <w:t>, either on the creation of the class fund or at any time during the continuance of the trusts thereof.</w:t>
      </w:r>
    </w:p>
    <w:p w14:paraId="0236074C" w14:textId="52393CC0" w:rsidR="009460FD" w:rsidRPr="002B6B9C" w:rsidRDefault="009460FD" w:rsidP="00CE7F2F">
      <w:pPr>
        <w:spacing w:before="100" w:beforeAutospacing="1" w:after="100" w:afterAutospacing="1"/>
        <w:jc w:val="both"/>
        <w:rPr>
          <w:rFonts w:ascii="Times New Roman" w:hAnsi="Times New Roman" w:cs="Times New Roman"/>
        </w:rPr>
      </w:pPr>
      <w:bookmarkStart w:id="155" w:name="GS10A@EN"/>
      <w:bookmarkEnd w:id="155"/>
      <w:r w:rsidRPr="002B6B9C">
        <w:rPr>
          <w:rFonts w:ascii="Times New Roman" w:hAnsi="Times New Roman" w:cs="Times New Roman"/>
          <w:b/>
          <w:bCs/>
        </w:rPr>
        <w:t>10A.</w:t>
      </w:r>
      <w:r w:rsidR="005C7738" w:rsidRPr="002B6B9C">
        <w:rPr>
          <w:rFonts w:ascii="Times New Roman" w:hAnsi="Times New Roman" w:cs="Times New Roman"/>
          <w:b/>
          <w:bCs/>
        </w:rPr>
        <w:t xml:space="preserve"> </w:t>
      </w:r>
      <w:r w:rsidRPr="002B6B9C">
        <w:rPr>
          <w:rFonts w:ascii="Times New Roman" w:hAnsi="Times New Roman" w:cs="Times New Roman"/>
          <w:b/>
          <w:bCs/>
        </w:rPr>
        <w:t>Incidence of payments ordered</w:t>
      </w:r>
    </w:p>
    <w:p w14:paraId="6DC2AD66" w14:textId="46CAD6FA" w:rsidR="009460FD" w:rsidRPr="002B6B9C" w:rsidRDefault="009460FD" w:rsidP="005C7738">
      <w:pPr>
        <w:spacing w:before="120" w:after="120"/>
        <w:jc w:val="both"/>
        <w:rPr>
          <w:rFonts w:ascii="Times New Roman" w:eastAsia="Times New Roman" w:hAnsi="Times New Roman" w:cs="Times New Roman"/>
        </w:rPr>
      </w:pPr>
      <w:bookmarkStart w:id="156" w:name="GS10A@Gs1@EN"/>
      <w:bookmarkEnd w:id="156"/>
      <w:r w:rsidRPr="002B6B9C">
        <w:rPr>
          <w:rFonts w:ascii="Times New Roman" w:eastAsia="Times New Roman" w:hAnsi="Times New Roman" w:cs="Times New Roman"/>
        </w:rPr>
        <w:t>(1) The incidence of any payment directed to be made by an order under this Act shall, unless the Court or a judge otherwise orders, fall ratably upon the whole estate of the deceased person, or, where the authority of the Court does not extend or cannot be made to extend to the whole estate, ratably upon such part of the estate as is subject to the authority of the Court.</w:t>
      </w:r>
    </w:p>
    <w:p w14:paraId="1D429AA5" w14:textId="47552079" w:rsidR="009460FD" w:rsidRPr="002B6B9C" w:rsidRDefault="009460FD" w:rsidP="005C7738">
      <w:pPr>
        <w:spacing w:before="120" w:after="120"/>
        <w:jc w:val="both"/>
        <w:rPr>
          <w:rFonts w:ascii="Times New Roman" w:eastAsia="Times New Roman" w:hAnsi="Times New Roman" w:cs="Times New Roman"/>
        </w:rPr>
      </w:pPr>
      <w:bookmarkStart w:id="157" w:name="GS10A@Gs2@EN"/>
      <w:bookmarkEnd w:id="157"/>
      <w:r w:rsidRPr="002B6B9C">
        <w:rPr>
          <w:rFonts w:ascii="Times New Roman" w:eastAsia="Times New Roman" w:hAnsi="Times New Roman" w:cs="Times New Roman"/>
        </w:rPr>
        <w:t>(2) The Court or a judge may exonerate any part of the estate of a deceased person from the incidence of an order under this Act, after hearing such of the parties who may be affected by the exoneration as the Court or judge thinks necessary, and may, for that purpose, direct any executor or administrator to represent, or appoint any person to represent, any of those parties.</w:t>
      </w:r>
    </w:p>
    <w:p w14:paraId="108181D0" w14:textId="414E0C50" w:rsidR="009460FD" w:rsidRPr="002B6B9C" w:rsidRDefault="009460FD" w:rsidP="005C7738">
      <w:pPr>
        <w:spacing w:before="120" w:after="120"/>
        <w:jc w:val="both"/>
        <w:rPr>
          <w:rFonts w:ascii="Times New Roman" w:eastAsia="Times New Roman" w:hAnsi="Times New Roman" w:cs="Times New Roman"/>
        </w:rPr>
      </w:pPr>
      <w:bookmarkStart w:id="158" w:name="GS10A@Gs3@EN"/>
      <w:bookmarkEnd w:id="158"/>
      <w:r w:rsidRPr="002B6B9C">
        <w:rPr>
          <w:rFonts w:ascii="Times New Roman" w:eastAsia="Times New Roman" w:hAnsi="Times New Roman" w:cs="Times New Roman"/>
        </w:rPr>
        <w:t>(3) The Court or a judge may, at any time, fix a periodical payment or lump sum to be paid by any beneficiary in the estate of the deceased person to represent, or in commutation of, such proportion of the sum ordered to be paid as falls upon the portion of the estate in which that beneficiary is interested, and may exonerate that portion from further liability, and may direct in what manner the periodical payment shall be secured, and to whom the lump sum shall be paid, and in what manner it shall be invested for the benefit of the person to whom the commuted payment is payable.</w:t>
      </w:r>
    </w:p>
    <w:p w14:paraId="535DD07E" w14:textId="24B9D8D6" w:rsidR="009460FD" w:rsidRPr="002B6B9C" w:rsidRDefault="009460FD" w:rsidP="00CE7F2F">
      <w:pPr>
        <w:spacing w:before="100" w:beforeAutospacing="1" w:after="100" w:afterAutospacing="1"/>
        <w:jc w:val="both"/>
        <w:rPr>
          <w:rFonts w:ascii="Times New Roman" w:hAnsi="Times New Roman" w:cs="Times New Roman"/>
        </w:rPr>
      </w:pPr>
      <w:bookmarkStart w:id="159" w:name="GS10B@EN"/>
      <w:bookmarkEnd w:id="159"/>
      <w:r w:rsidRPr="002B6B9C">
        <w:rPr>
          <w:rFonts w:ascii="Times New Roman" w:hAnsi="Times New Roman" w:cs="Times New Roman"/>
          <w:b/>
          <w:bCs/>
        </w:rPr>
        <w:t>10B.</w:t>
      </w:r>
      <w:r w:rsidR="005B2F0E">
        <w:rPr>
          <w:rFonts w:ascii="Times New Roman" w:hAnsi="Times New Roman" w:cs="Times New Roman"/>
        </w:rPr>
        <w:t xml:space="preserve"> </w:t>
      </w:r>
      <w:r w:rsidRPr="002B6B9C">
        <w:rPr>
          <w:rFonts w:ascii="Times New Roman" w:hAnsi="Times New Roman" w:cs="Times New Roman"/>
          <w:b/>
          <w:bCs/>
        </w:rPr>
        <w:t>Adjustment of estate duty</w:t>
      </w:r>
    </w:p>
    <w:p w14:paraId="511459FF" w14:textId="77777777" w:rsidR="009460FD" w:rsidRPr="002B6B9C" w:rsidRDefault="009460FD" w:rsidP="00CE7F2F">
      <w:pPr>
        <w:jc w:val="both"/>
        <w:rPr>
          <w:rFonts w:ascii="Times New Roman" w:eastAsia="Times New Roman" w:hAnsi="Times New Roman" w:cs="Times New Roman"/>
        </w:rPr>
      </w:pPr>
      <w:r w:rsidRPr="002B6B9C">
        <w:rPr>
          <w:rFonts w:ascii="Times New Roman" w:eastAsia="Times New Roman" w:hAnsi="Times New Roman" w:cs="Times New Roman"/>
        </w:rPr>
        <w:t>For the purpose of apportioning the duty payable on the estate of a deceased person, any provision directed to be made by an order under this Act shall –</w:t>
      </w:r>
      <w:bookmarkStart w:id="160" w:name="GS10B@Hpa@EN"/>
      <w:bookmarkEnd w:id="160"/>
    </w:p>
    <w:p w14:paraId="14CD7EE1" w14:textId="77777777" w:rsidR="009460FD" w:rsidRPr="006757B9" w:rsidRDefault="009460FD" w:rsidP="006757B9">
      <w:pPr>
        <w:spacing w:before="120" w:after="120"/>
        <w:ind w:left="993"/>
        <w:jc w:val="both"/>
        <w:rPr>
          <w:rFonts w:ascii="Times New Roman" w:eastAsia="Times New Roman" w:hAnsi="Times New Roman" w:cs="Times New Roman"/>
          <w:bCs/>
          <w:iCs/>
        </w:rPr>
      </w:pPr>
      <w:r w:rsidRPr="006757B9">
        <w:rPr>
          <w:rFonts w:ascii="Times New Roman" w:eastAsia="Times New Roman" w:hAnsi="Times New Roman" w:cs="Times New Roman"/>
          <w:bCs/>
          <w:iCs/>
        </w:rPr>
        <w:t>(a) if the deceased person died testate, be deemed to be a bequest made by the deceased person by a codicil executed immediately before his death; or</w:t>
      </w:r>
    </w:p>
    <w:p w14:paraId="2A893F27" w14:textId="77777777" w:rsidR="009460FD" w:rsidRPr="006757B9" w:rsidRDefault="009460FD" w:rsidP="006757B9">
      <w:pPr>
        <w:spacing w:before="120" w:after="120"/>
        <w:ind w:left="993"/>
        <w:jc w:val="both"/>
        <w:rPr>
          <w:rFonts w:ascii="Times New Roman" w:eastAsia="Times New Roman" w:hAnsi="Times New Roman" w:cs="Times New Roman"/>
          <w:bCs/>
          <w:iCs/>
        </w:rPr>
      </w:pPr>
      <w:bookmarkStart w:id="161" w:name="GS10B@Hpb@EN"/>
      <w:bookmarkEnd w:id="161"/>
      <w:r w:rsidRPr="006757B9">
        <w:rPr>
          <w:rFonts w:ascii="Times New Roman" w:eastAsia="Times New Roman" w:hAnsi="Times New Roman" w:cs="Times New Roman"/>
          <w:bCs/>
          <w:iCs/>
        </w:rPr>
        <w:t>(b) if the deceased person died intestate, be deemed to be a bequest made by the deceased person as if effected by a will made by him immediately before his death.</w:t>
      </w:r>
    </w:p>
    <w:p w14:paraId="6E488498" w14:textId="356846BD" w:rsidR="009460FD" w:rsidRPr="002B6B9C" w:rsidRDefault="009460FD" w:rsidP="00CE7F2F">
      <w:pPr>
        <w:spacing w:before="100" w:beforeAutospacing="1" w:after="100" w:afterAutospacing="1"/>
        <w:jc w:val="both"/>
        <w:rPr>
          <w:rFonts w:ascii="Times New Roman" w:hAnsi="Times New Roman" w:cs="Times New Roman"/>
        </w:rPr>
      </w:pPr>
      <w:bookmarkStart w:id="162" w:name="GS11@EN"/>
      <w:bookmarkEnd w:id="162"/>
      <w:r w:rsidRPr="002B6B9C">
        <w:rPr>
          <w:rFonts w:ascii="Times New Roman" w:hAnsi="Times New Roman" w:cs="Times New Roman"/>
          <w:b/>
          <w:bCs/>
        </w:rPr>
        <w:t>11.</w:t>
      </w:r>
      <w:r w:rsidR="006757B9">
        <w:rPr>
          <w:rFonts w:ascii="Times New Roman" w:hAnsi="Times New Roman" w:cs="Times New Roman"/>
        </w:rPr>
        <w:t xml:space="preserve"> </w:t>
      </w:r>
      <w:r w:rsidRPr="002B6B9C">
        <w:rPr>
          <w:rFonts w:ascii="Times New Roman" w:hAnsi="Times New Roman" w:cs="Times New Roman"/>
          <w:b/>
          <w:bCs/>
        </w:rPr>
        <w:t>Time within which application to be made</w:t>
      </w:r>
    </w:p>
    <w:p w14:paraId="6F13BBB8" w14:textId="5DF7EF8E" w:rsidR="009460FD" w:rsidRPr="002B6B9C" w:rsidRDefault="009460FD" w:rsidP="006757B9">
      <w:pPr>
        <w:spacing w:before="120" w:after="120"/>
        <w:jc w:val="both"/>
        <w:rPr>
          <w:rFonts w:ascii="Times New Roman" w:eastAsia="Times New Roman" w:hAnsi="Times New Roman" w:cs="Times New Roman"/>
        </w:rPr>
      </w:pPr>
      <w:bookmarkStart w:id="163" w:name="GS11@Gs1@EN"/>
      <w:bookmarkEnd w:id="163"/>
      <w:r w:rsidRPr="002B6B9C">
        <w:rPr>
          <w:rFonts w:ascii="Times New Roman" w:eastAsia="Times New Roman" w:hAnsi="Times New Roman" w:cs="Times New Roman"/>
        </w:rPr>
        <w:t>(1) Except as provided by subsection (2) of this section, the Court or judge shall have no jurisdiction to hear any application, or to make any order under this Act, unless the summons hereinbefore mentioned be taken out before or not later than three months after the date of grant of probate of the will of the deceased person, or letters of administration of the estate of the deceased person, as the case may be.</w:t>
      </w:r>
    </w:p>
    <w:p w14:paraId="4861F82E" w14:textId="67488F1A" w:rsidR="009460FD" w:rsidRPr="002B6B9C" w:rsidRDefault="009460FD" w:rsidP="006757B9">
      <w:pPr>
        <w:spacing w:before="120" w:after="120"/>
        <w:jc w:val="both"/>
        <w:rPr>
          <w:rFonts w:ascii="Times New Roman" w:eastAsia="Times New Roman" w:hAnsi="Times New Roman" w:cs="Times New Roman"/>
        </w:rPr>
      </w:pPr>
      <w:bookmarkStart w:id="164" w:name="GS11@Gs2@EN"/>
      <w:bookmarkEnd w:id="164"/>
      <w:r w:rsidRPr="002B6B9C">
        <w:rPr>
          <w:rFonts w:ascii="Times New Roman" w:eastAsia="Times New Roman" w:hAnsi="Times New Roman" w:cs="Times New Roman"/>
        </w:rPr>
        <w:t xml:space="preserve">(2) Notwithstanding anything in subsection (1) of this section, upon application being made in that behalf by a person claiming the benefit of this Act, the Court or a judge may, after hearing such of the </w:t>
      </w:r>
      <w:r w:rsidRPr="002B6B9C">
        <w:rPr>
          <w:rFonts w:ascii="Times New Roman" w:eastAsia="Times New Roman" w:hAnsi="Times New Roman" w:cs="Times New Roman"/>
        </w:rPr>
        <w:lastRenderedPageBreak/>
        <w:t>persons affected or likely to be affected by that application as it or he may think fit, extend the time limited by that subsection for the taking out of a summons for such further period as the Court or judge may think necessary.</w:t>
      </w:r>
    </w:p>
    <w:p w14:paraId="717ACF47" w14:textId="604B086C" w:rsidR="009460FD" w:rsidRPr="002B6B9C" w:rsidRDefault="009460FD" w:rsidP="006757B9">
      <w:pPr>
        <w:spacing w:before="120" w:after="120"/>
        <w:jc w:val="both"/>
        <w:rPr>
          <w:rFonts w:ascii="Times New Roman" w:eastAsia="Times New Roman" w:hAnsi="Times New Roman" w:cs="Times New Roman"/>
        </w:rPr>
      </w:pPr>
      <w:bookmarkStart w:id="165" w:name="GS11@Gs3@EN"/>
      <w:bookmarkEnd w:id="165"/>
      <w:r w:rsidRPr="002B6B9C">
        <w:rPr>
          <w:rFonts w:ascii="Times New Roman" w:eastAsia="Times New Roman" w:hAnsi="Times New Roman" w:cs="Times New Roman"/>
        </w:rPr>
        <w:t>(3) The powers conferred on the Court or a judge by subsection (2) of this section may be exercised notwithstanding that the time limited by subsection (1) of this section for the taking out of a summons may have expired (whether that time expired or expires before or after the commencement of this subsection).</w:t>
      </w:r>
    </w:p>
    <w:p w14:paraId="2B31FB43" w14:textId="1C58DD16" w:rsidR="009460FD" w:rsidRPr="002B6B9C" w:rsidRDefault="009460FD" w:rsidP="006757B9">
      <w:pPr>
        <w:spacing w:before="120" w:after="120"/>
        <w:jc w:val="both"/>
        <w:rPr>
          <w:rFonts w:ascii="Times New Roman" w:eastAsia="Times New Roman" w:hAnsi="Times New Roman" w:cs="Times New Roman"/>
        </w:rPr>
      </w:pPr>
      <w:bookmarkStart w:id="166" w:name="GS11@Gs4@EN"/>
      <w:bookmarkEnd w:id="166"/>
      <w:r w:rsidRPr="002B6B9C">
        <w:rPr>
          <w:rFonts w:ascii="Times New Roman" w:eastAsia="Times New Roman" w:hAnsi="Times New Roman" w:cs="Times New Roman"/>
        </w:rPr>
        <w:t>(4) An application under subsection (2) of this section shall be made before the final distribution of the estate of the deceased person, and no distribution of any part of the estate made before the making of an application under that subsection shall be disturbed by reason of that application or of any order made thereon or in consequence thereof.</w:t>
      </w:r>
    </w:p>
    <w:p w14:paraId="7B8EFC9B" w14:textId="77777777" w:rsidR="009460FD" w:rsidRPr="002B6B9C" w:rsidRDefault="009460FD" w:rsidP="00CE7F2F">
      <w:pPr>
        <w:jc w:val="both"/>
        <w:rPr>
          <w:rFonts w:ascii="Times New Roman" w:hAnsi="Times New Roman" w:cs="Times New Roman"/>
        </w:rPr>
      </w:pPr>
    </w:p>
    <w:p w14:paraId="15993337" w14:textId="77777777" w:rsidR="006757B9" w:rsidRDefault="006757B9" w:rsidP="00CE7F2F">
      <w:pPr>
        <w:jc w:val="both"/>
        <w:rPr>
          <w:rFonts w:ascii="Times New Roman" w:hAnsi="Times New Roman" w:cs="Times New Roman"/>
        </w:rPr>
        <w:sectPr w:rsidR="006757B9" w:rsidSect="000F2AEC">
          <w:headerReference w:type="even" r:id="rId63"/>
          <w:headerReference w:type="default" r:id="rId64"/>
          <w:headerReference w:type="first" r:id="rId65"/>
          <w:pgSz w:w="11906" w:h="16838" w:code="9"/>
          <w:pgMar w:top="1440" w:right="1440" w:bottom="1440" w:left="1440" w:header="709" w:footer="709" w:gutter="0"/>
          <w:cols w:space="708"/>
          <w:titlePg/>
          <w:docGrid w:linePitch="360"/>
        </w:sectPr>
      </w:pPr>
    </w:p>
    <w:p w14:paraId="2538C114" w14:textId="77777777" w:rsidR="00081049" w:rsidRPr="00B708CF" w:rsidRDefault="00081049" w:rsidP="001B48DB">
      <w:pPr>
        <w:pStyle w:val="NumberlessSectionHeading"/>
        <w:spacing w:before="0"/>
        <w:ind w:right="0"/>
      </w:pPr>
      <w:bookmarkStart w:id="167" w:name="_Toc2256880"/>
      <w:r w:rsidRPr="00B708CF">
        <w:lastRenderedPageBreak/>
        <w:t>APPENDIX B</w:t>
      </w:r>
      <w:bookmarkEnd w:id="167"/>
    </w:p>
    <w:p w14:paraId="666EDA00" w14:textId="5B08F33C" w:rsidR="00081049" w:rsidRPr="00B708CF" w:rsidRDefault="00081049" w:rsidP="00B708CF">
      <w:pPr>
        <w:spacing w:before="100" w:beforeAutospacing="1" w:after="100" w:afterAutospacing="1"/>
        <w:jc w:val="both"/>
        <w:outlineLvl w:val="0"/>
        <w:rPr>
          <w:rFonts w:ascii="Times New Roman" w:eastAsia="Times New Roman" w:hAnsi="Times New Roman" w:cs="Times New Roman"/>
          <w:b/>
          <w:bCs/>
          <w:kern w:val="36"/>
        </w:rPr>
      </w:pPr>
      <w:r w:rsidRPr="00B708CF">
        <w:rPr>
          <w:rFonts w:ascii="Times New Roman" w:eastAsia="Times New Roman" w:hAnsi="Times New Roman" w:cs="Times New Roman"/>
          <w:b/>
          <w:bCs/>
          <w:kern w:val="36"/>
        </w:rPr>
        <w:t>Succession Act 2006 (NSW)</w:t>
      </w:r>
      <w:r w:rsidR="000778CF" w:rsidRPr="00B708CF">
        <w:rPr>
          <w:rFonts w:ascii="Times New Roman" w:eastAsia="Times New Roman" w:hAnsi="Times New Roman" w:cs="Times New Roman"/>
          <w:b/>
          <w:bCs/>
          <w:kern w:val="36"/>
        </w:rPr>
        <w:t xml:space="preserve"> </w:t>
      </w:r>
      <w:r w:rsidR="002034F2" w:rsidRPr="00B708CF">
        <w:rPr>
          <w:rFonts w:ascii="Times New Roman" w:eastAsia="Times New Roman" w:hAnsi="Times New Roman" w:cs="Times New Roman"/>
          <w:b/>
          <w:bCs/>
          <w:kern w:val="36"/>
        </w:rPr>
        <w:t>No 80</w:t>
      </w:r>
    </w:p>
    <w:p w14:paraId="078D68EE" w14:textId="2FA8DB88" w:rsidR="00B708CF" w:rsidRPr="00B708CF" w:rsidRDefault="00B708CF" w:rsidP="00B708CF">
      <w:pPr>
        <w:spacing w:before="100" w:beforeAutospacing="1" w:after="100" w:afterAutospacing="1"/>
        <w:jc w:val="both"/>
        <w:outlineLvl w:val="0"/>
        <w:rPr>
          <w:rFonts w:ascii="Times New Roman" w:eastAsia="Times New Roman" w:hAnsi="Times New Roman" w:cs="Times New Roman"/>
          <w:b/>
          <w:bCs/>
          <w:kern w:val="36"/>
        </w:rPr>
      </w:pPr>
      <w:r w:rsidRPr="00B708CF">
        <w:rPr>
          <w:rFonts w:ascii="Times New Roman" w:eastAsia="Times New Roman" w:hAnsi="Times New Roman" w:cs="Times New Roman"/>
          <w:b/>
          <w:bCs/>
          <w:kern w:val="36"/>
        </w:rPr>
        <w:t>Chapter 3 Family Provision</w:t>
      </w:r>
    </w:p>
    <w:p w14:paraId="067E8CA9" w14:textId="1219EC5D" w:rsidR="00081049" w:rsidRPr="00B708CF" w:rsidRDefault="00B708CF" w:rsidP="00B708CF">
      <w:pPr>
        <w:spacing w:before="100" w:beforeAutospacing="1" w:after="100" w:afterAutospacing="1"/>
        <w:jc w:val="both"/>
        <w:outlineLvl w:val="0"/>
        <w:rPr>
          <w:rFonts w:ascii="Times New Roman" w:eastAsia="Times New Roman" w:hAnsi="Times New Roman" w:cs="Times New Roman"/>
          <w:b/>
          <w:bCs/>
          <w:kern w:val="36"/>
        </w:rPr>
      </w:pPr>
      <w:r w:rsidRPr="00B708CF">
        <w:rPr>
          <w:rFonts w:ascii="Times New Roman" w:eastAsia="Times New Roman" w:hAnsi="Times New Roman" w:cs="Times New Roman"/>
          <w:b/>
          <w:bCs/>
          <w:kern w:val="36"/>
        </w:rPr>
        <w:t>Part 3.1 Application of Chapter</w:t>
      </w:r>
    </w:p>
    <w:p w14:paraId="3FE6F215" w14:textId="3E0C2490" w:rsidR="00081049" w:rsidRPr="002B6B9C" w:rsidRDefault="00081049" w:rsidP="00B708CF">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 xml:space="preserve">55 </w:t>
      </w:r>
      <w:r w:rsidR="00257294">
        <w:rPr>
          <w:rFonts w:ascii="Times New Roman" w:eastAsia="Times New Roman" w:hAnsi="Times New Roman" w:cs="Times New Roman"/>
          <w:b/>
          <w:bCs/>
        </w:rPr>
        <w:tab/>
      </w:r>
      <w:r w:rsidRPr="002B6B9C">
        <w:rPr>
          <w:rFonts w:ascii="Times New Roman" w:eastAsia="Times New Roman" w:hAnsi="Times New Roman" w:cs="Times New Roman"/>
          <w:b/>
          <w:bCs/>
        </w:rPr>
        <w:t xml:space="preserve">Interpretation </w:t>
      </w:r>
    </w:p>
    <w:p w14:paraId="19E1DC6F" w14:textId="053F028B" w:rsidR="00081049" w:rsidRPr="002B6B9C" w:rsidRDefault="00081049" w:rsidP="00B708CF">
      <w:pPr>
        <w:spacing w:before="120" w:after="120"/>
        <w:ind w:left="426" w:hanging="426"/>
        <w:jc w:val="both"/>
        <w:rPr>
          <w:rFonts w:ascii="Times New Roman" w:eastAsia="Times New Roman" w:hAnsi="Times New Roman" w:cs="Times New Roman"/>
        </w:rPr>
      </w:pPr>
      <w:bookmarkStart w:id="168" w:name="clause"/>
      <w:bookmarkEnd w:id="168"/>
      <w:r w:rsidRPr="002B6B9C">
        <w:rPr>
          <w:rFonts w:ascii="Times New Roman" w:eastAsia="Times New Roman" w:hAnsi="Times New Roman" w:cs="Times New Roman"/>
        </w:rPr>
        <w:t>(1)</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For the purposes of this Chapter, </w:t>
      </w:r>
      <w:bookmarkStart w:id="169" w:name="administration"/>
      <w:bookmarkEnd w:id="169"/>
      <w:r w:rsidRPr="00B708CF">
        <w:rPr>
          <w:rFonts w:ascii="Times New Roman" w:eastAsia="Times New Roman" w:hAnsi="Times New Roman" w:cs="Times New Roman"/>
          <w:b/>
          <w:bCs/>
          <w:i/>
        </w:rPr>
        <w:t>administration</w:t>
      </w:r>
      <w:r w:rsidRPr="002B6B9C">
        <w:rPr>
          <w:rFonts w:ascii="Times New Roman" w:eastAsia="Times New Roman" w:hAnsi="Times New Roman" w:cs="Times New Roman"/>
          <w:b/>
          <w:bCs/>
        </w:rPr>
        <w:t xml:space="preserve"> </w:t>
      </w:r>
      <w:r w:rsidRPr="002B6B9C">
        <w:rPr>
          <w:rFonts w:ascii="Times New Roman" w:eastAsia="Times New Roman" w:hAnsi="Times New Roman" w:cs="Times New Roman"/>
        </w:rPr>
        <w:t xml:space="preserve">is granted in respect of the estate of a deceased person if: </w:t>
      </w:r>
    </w:p>
    <w:p w14:paraId="08D248C6" w14:textId="0386CDAE"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probate of the will of the deceased person is granted in New South Wales or granted outside New South Wales but sealed in accordance with section 107(1) of the </w:t>
      </w:r>
      <w:r w:rsidRPr="002B6B9C">
        <w:rPr>
          <w:rFonts w:ascii="Times New Roman" w:eastAsia="Times New Roman" w:hAnsi="Times New Roman" w:cs="Times New Roman"/>
          <w:i/>
          <w:iCs/>
        </w:rPr>
        <w:t>Probate and Administration Act 1898</w:t>
      </w:r>
      <w:r w:rsidRPr="002B6B9C">
        <w:rPr>
          <w:rFonts w:ascii="Times New Roman" w:eastAsia="Times New Roman" w:hAnsi="Times New Roman" w:cs="Times New Roman"/>
        </w:rPr>
        <w:t xml:space="preserve">, or </w:t>
      </w:r>
    </w:p>
    <w:p w14:paraId="063E7B1F" w14:textId="4A851EAA"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letters of administration of the estate of the deceased person are granted in New South Wales or granted outside New South Wales but sealed in accordance with section 107(1) of the </w:t>
      </w:r>
      <w:r w:rsidRPr="002B6B9C">
        <w:rPr>
          <w:rFonts w:ascii="Times New Roman" w:eastAsia="Times New Roman" w:hAnsi="Times New Roman" w:cs="Times New Roman"/>
          <w:i/>
          <w:iCs/>
        </w:rPr>
        <w:t>Probate and Administration Act 1898</w:t>
      </w:r>
      <w:r w:rsidRPr="002B6B9C">
        <w:rPr>
          <w:rFonts w:ascii="Times New Roman" w:eastAsia="Times New Roman" w:hAnsi="Times New Roman" w:cs="Times New Roman"/>
        </w:rPr>
        <w:t xml:space="preserve">, whether the letters were granted with or without a will annexed and whether for general, special or limited purposes, or </w:t>
      </w:r>
    </w:p>
    <w:p w14:paraId="260607AA" w14:textId="360D244F"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an order is made under section 24 or 25 of the </w:t>
      </w:r>
      <w:r w:rsidRPr="002B6B9C">
        <w:rPr>
          <w:rFonts w:ascii="Times New Roman" w:eastAsia="Times New Roman" w:hAnsi="Times New Roman" w:cs="Times New Roman"/>
          <w:i/>
          <w:iCs/>
        </w:rPr>
        <w:t xml:space="preserve">NSW Trustee and Guardian Act 2009 </w:t>
      </w:r>
      <w:r w:rsidRPr="002B6B9C">
        <w:rPr>
          <w:rFonts w:ascii="Times New Roman" w:eastAsia="Times New Roman" w:hAnsi="Times New Roman" w:cs="Times New Roman"/>
        </w:rPr>
        <w:t xml:space="preserve">in respect of the estate of the deceased person, or </w:t>
      </w:r>
    </w:p>
    <w:p w14:paraId="5060CF76" w14:textId="053D3504"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(d)</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an election is made by the NSW Trustee and Guardian under Division 1 of Part 3.2 of the </w:t>
      </w:r>
      <w:r w:rsidRPr="002B6B9C">
        <w:rPr>
          <w:rFonts w:ascii="Times New Roman" w:eastAsia="Times New Roman" w:hAnsi="Times New Roman" w:cs="Times New Roman"/>
          <w:i/>
          <w:iCs/>
        </w:rPr>
        <w:t xml:space="preserve">NSW Trustee and Guardian Act 2009 </w:t>
      </w:r>
      <w:r w:rsidRPr="002B6B9C">
        <w:rPr>
          <w:rFonts w:ascii="Times New Roman" w:eastAsia="Times New Roman" w:hAnsi="Times New Roman" w:cs="Times New Roman"/>
        </w:rPr>
        <w:t xml:space="preserve">in respect of the estate of the deceased person, or </w:t>
      </w:r>
    </w:p>
    <w:p w14:paraId="2D03BF61" w14:textId="0237C134"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(e)</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an election is made by a trustee company under section 15A or 15AA of the </w:t>
      </w:r>
      <w:r w:rsidRPr="002B6B9C">
        <w:rPr>
          <w:rFonts w:ascii="Times New Roman" w:eastAsia="Times New Roman" w:hAnsi="Times New Roman" w:cs="Times New Roman"/>
          <w:i/>
          <w:iCs/>
        </w:rPr>
        <w:t xml:space="preserve">Trustee Companies Act 1964 </w:t>
      </w:r>
      <w:r w:rsidRPr="002B6B9C">
        <w:rPr>
          <w:rFonts w:ascii="Times New Roman" w:eastAsia="Times New Roman" w:hAnsi="Times New Roman" w:cs="Times New Roman"/>
        </w:rPr>
        <w:t xml:space="preserve">in respect of the estate of the deceased person. </w:t>
      </w:r>
    </w:p>
    <w:p w14:paraId="1FDCD3A2" w14:textId="51A68AD0" w:rsidR="00081049" w:rsidRPr="002B6B9C" w:rsidRDefault="00081049" w:rsidP="00B708CF">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(2)</w:t>
      </w:r>
      <w:r w:rsidR="00B708CF">
        <w:rPr>
          <w:rFonts w:ascii="Times New Roman" w:eastAsia="Times New Roman" w:hAnsi="Times New Roman" w:cs="Times New Roman"/>
        </w:rPr>
        <w:tab/>
      </w:r>
      <w:r w:rsidRPr="002B6B9C">
        <w:rPr>
          <w:rFonts w:ascii="Times New Roman" w:eastAsia="Times New Roman" w:hAnsi="Times New Roman" w:cs="Times New Roman"/>
        </w:rPr>
        <w:t>For the purposes of this Chapter, the</w:t>
      </w:r>
      <w:bookmarkStart w:id="170" w:name="legal_representative"/>
      <w:bookmarkEnd w:id="170"/>
      <w:r w:rsidR="00B708CF">
        <w:rPr>
          <w:rFonts w:ascii="Times New Roman" w:eastAsia="Times New Roman" w:hAnsi="Times New Roman" w:cs="Times New Roman"/>
        </w:rPr>
        <w:t xml:space="preserve"> </w:t>
      </w:r>
      <w:r w:rsidRPr="00B708CF">
        <w:rPr>
          <w:rFonts w:ascii="Times New Roman" w:eastAsia="Times New Roman" w:hAnsi="Times New Roman" w:cs="Times New Roman"/>
          <w:b/>
          <w:i/>
        </w:rPr>
        <w:t>legal representative</w:t>
      </w:r>
      <w:r w:rsidRPr="00B708CF">
        <w:rPr>
          <w:rFonts w:ascii="Times New Roman" w:eastAsia="Times New Roman" w:hAnsi="Times New Roman" w:cs="Times New Roman"/>
        </w:rPr>
        <w:t xml:space="preserve"> </w:t>
      </w:r>
      <w:r w:rsidRPr="002B6B9C">
        <w:rPr>
          <w:rFonts w:ascii="Times New Roman" w:eastAsia="Times New Roman" w:hAnsi="Times New Roman" w:cs="Times New Roman"/>
        </w:rPr>
        <w:t>of the estate is the person to whom administration is granted.</w:t>
      </w:r>
    </w:p>
    <w:p w14:paraId="6ECF998C" w14:textId="421B40F8" w:rsidR="00081049" w:rsidRPr="002B6B9C" w:rsidRDefault="00081049" w:rsidP="00B708CF">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(3)</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A reference in this Chapter to a </w:t>
      </w:r>
      <w:bookmarkStart w:id="171" w:name="person_entitled_to_exercise_a_power"/>
      <w:bookmarkEnd w:id="171"/>
      <w:r w:rsidRPr="00B708CF">
        <w:rPr>
          <w:rFonts w:ascii="Times New Roman" w:eastAsia="Times New Roman" w:hAnsi="Times New Roman" w:cs="Times New Roman"/>
          <w:b/>
          <w:i/>
        </w:rPr>
        <w:t>person entitled to exercise a power</w:t>
      </w:r>
      <w:r w:rsidRPr="00B708CF">
        <w:rPr>
          <w:rFonts w:ascii="Times New Roman" w:eastAsia="Times New Roman" w:hAnsi="Times New Roman" w:cs="Times New Roman"/>
        </w:rPr>
        <w:t xml:space="preserve"> </w:t>
      </w:r>
      <w:r w:rsidRPr="002B6B9C">
        <w:rPr>
          <w:rFonts w:ascii="Times New Roman" w:eastAsia="Times New Roman" w:hAnsi="Times New Roman" w:cs="Times New Roman"/>
        </w:rPr>
        <w:t xml:space="preserve">means a person entitled to exercise a power, whether or not the power: </w:t>
      </w:r>
    </w:p>
    <w:p w14:paraId="2D4275FD" w14:textId="33C94ED8"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is absolute or conditional, or </w:t>
      </w:r>
    </w:p>
    <w:p w14:paraId="69B53490" w14:textId="6493EA59"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arises under a trust or in some other manner, or </w:t>
      </w:r>
    </w:p>
    <w:p w14:paraId="67AE675B" w14:textId="376D10F7" w:rsidR="00081049" w:rsidRPr="002B6B9C" w:rsidRDefault="00081049" w:rsidP="00B708CF">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B708CF">
        <w:rPr>
          <w:rFonts w:ascii="Times New Roman" w:eastAsia="Times New Roman" w:hAnsi="Times New Roman" w:cs="Times New Roman"/>
        </w:rPr>
        <w:tab/>
      </w:r>
      <w:r w:rsidRPr="002B6B9C">
        <w:rPr>
          <w:rFonts w:ascii="Times New Roman" w:eastAsia="Times New Roman" w:hAnsi="Times New Roman" w:cs="Times New Roman"/>
        </w:rPr>
        <w:t xml:space="preserve">is to be exercised solely by the person or by the person together with one or more other persons (whether jointly or severally). </w:t>
      </w:r>
    </w:p>
    <w:p w14:paraId="6649E78D" w14:textId="15FCE034" w:rsidR="00081049" w:rsidRPr="002B6B9C" w:rsidRDefault="00081049" w:rsidP="00B708CF">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(4)</w:t>
      </w:r>
      <w:r w:rsidR="00B708CF">
        <w:rPr>
          <w:rFonts w:ascii="Times New Roman" w:eastAsia="Times New Roman" w:hAnsi="Times New Roman" w:cs="Times New Roman"/>
        </w:rPr>
        <w:tab/>
      </w:r>
      <w:r w:rsidRPr="002B6B9C">
        <w:rPr>
          <w:rFonts w:ascii="Times New Roman" w:eastAsia="Times New Roman" w:hAnsi="Times New Roman" w:cs="Times New Roman"/>
        </w:rPr>
        <w:t>A reference in this Chapter to</w:t>
      </w:r>
      <w:bookmarkStart w:id="172" w:name="property_held_by_a_person"/>
      <w:bookmarkEnd w:id="172"/>
      <w:r w:rsidR="00B708CF">
        <w:rPr>
          <w:rFonts w:ascii="Times New Roman" w:eastAsia="Times New Roman" w:hAnsi="Times New Roman" w:cs="Times New Roman"/>
        </w:rPr>
        <w:t xml:space="preserve"> </w:t>
      </w:r>
      <w:r w:rsidRPr="00B708CF">
        <w:rPr>
          <w:rFonts w:ascii="Times New Roman" w:eastAsia="Times New Roman" w:hAnsi="Times New Roman" w:cs="Times New Roman"/>
          <w:b/>
          <w:i/>
        </w:rPr>
        <w:t>property held by a person</w:t>
      </w:r>
      <w:r w:rsidRPr="00B708CF">
        <w:rPr>
          <w:rFonts w:ascii="Times New Roman" w:eastAsia="Times New Roman" w:hAnsi="Times New Roman" w:cs="Times New Roman"/>
        </w:rPr>
        <w:t xml:space="preserve"> </w:t>
      </w:r>
      <w:r w:rsidRPr="002B6B9C">
        <w:rPr>
          <w:rFonts w:ascii="Times New Roman" w:eastAsia="Times New Roman" w:hAnsi="Times New Roman" w:cs="Times New Roman"/>
        </w:rPr>
        <w:t xml:space="preserve">includes property in relation to which the person is entitled to exercise a power of appointment or disposition in favour of himself or herself. </w:t>
      </w:r>
    </w:p>
    <w:p w14:paraId="6F3E5FBC" w14:textId="761D5ACC" w:rsidR="00081049" w:rsidRPr="00257294" w:rsidRDefault="00257294" w:rsidP="00257294">
      <w:pPr>
        <w:spacing w:before="100" w:beforeAutospacing="1" w:after="100" w:afterAutospacing="1"/>
        <w:jc w:val="both"/>
        <w:outlineLvl w:val="0"/>
        <w:rPr>
          <w:rFonts w:ascii="Times New Roman" w:hAnsi="Times New Roman" w:cs="Times New Roman"/>
        </w:rPr>
      </w:pPr>
      <w:r w:rsidRPr="006F26E2">
        <w:rPr>
          <w:rFonts w:ascii="Times New Roman" w:eastAsia="Times New Roman" w:hAnsi="Times New Roman" w:cs="Times New Roman"/>
          <w:bCs/>
          <w:kern w:val="36"/>
        </w:rPr>
        <w:t>…</w:t>
      </w:r>
    </w:p>
    <w:p w14:paraId="46EBA469" w14:textId="4987D3E2" w:rsidR="00081049" w:rsidRPr="00257294" w:rsidRDefault="00081049" w:rsidP="00257294">
      <w:pPr>
        <w:keepNext/>
        <w:spacing w:before="100" w:beforeAutospacing="1" w:after="100" w:afterAutospacing="1"/>
        <w:jc w:val="both"/>
        <w:outlineLvl w:val="0"/>
        <w:rPr>
          <w:rFonts w:ascii="Times New Roman" w:eastAsia="Times New Roman" w:hAnsi="Times New Roman" w:cs="Times New Roman"/>
          <w:b/>
          <w:bCs/>
          <w:kern w:val="36"/>
        </w:rPr>
      </w:pPr>
      <w:r w:rsidRPr="00257294">
        <w:rPr>
          <w:rFonts w:ascii="Times New Roman" w:eastAsia="Times New Roman" w:hAnsi="Times New Roman" w:cs="Times New Roman"/>
          <w:b/>
          <w:bCs/>
          <w:kern w:val="36"/>
        </w:rPr>
        <w:t>P</w:t>
      </w:r>
      <w:r w:rsidR="00257294">
        <w:rPr>
          <w:rFonts w:ascii="Times New Roman" w:eastAsia="Times New Roman" w:hAnsi="Times New Roman" w:cs="Times New Roman"/>
          <w:b/>
          <w:bCs/>
          <w:kern w:val="36"/>
        </w:rPr>
        <w:t>art</w:t>
      </w:r>
      <w:r w:rsidRPr="00257294">
        <w:rPr>
          <w:rFonts w:ascii="Times New Roman" w:eastAsia="Times New Roman" w:hAnsi="Times New Roman" w:cs="Times New Roman"/>
          <w:b/>
          <w:bCs/>
          <w:kern w:val="36"/>
        </w:rPr>
        <w:t xml:space="preserve"> 3.3 – </w:t>
      </w:r>
      <w:r w:rsidR="00257294">
        <w:rPr>
          <w:rFonts w:ascii="Times New Roman" w:eastAsia="Times New Roman" w:hAnsi="Times New Roman" w:cs="Times New Roman"/>
          <w:b/>
          <w:bCs/>
          <w:kern w:val="36"/>
        </w:rPr>
        <w:t>N</w:t>
      </w:r>
      <w:r w:rsidR="00257294" w:rsidRPr="00257294">
        <w:rPr>
          <w:rFonts w:ascii="Times New Roman" w:eastAsia="Times New Roman" w:hAnsi="Times New Roman" w:cs="Times New Roman"/>
          <w:b/>
          <w:bCs/>
          <w:kern w:val="36"/>
        </w:rPr>
        <w:t xml:space="preserve">otional </w:t>
      </w:r>
      <w:r w:rsidR="00257294">
        <w:rPr>
          <w:rFonts w:ascii="Times New Roman" w:eastAsia="Times New Roman" w:hAnsi="Times New Roman" w:cs="Times New Roman"/>
          <w:b/>
          <w:bCs/>
          <w:kern w:val="36"/>
        </w:rPr>
        <w:t>E</w:t>
      </w:r>
      <w:r w:rsidR="00257294" w:rsidRPr="00257294">
        <w:rPr>
          <w:rFonts w:ascii="Times New Roman" w:eastAsia="Times New Roman" w:hAnsi="Times New Roman" w:cs="Times New Roman"/>
          <w:b/>
          <w:bCs/>
          <w:kern w:val="36"/>
        </w:rPr>
        <w:t xml:space="preserve">state </w:t>
      </w:r>
      <w:r w:rsidR="00257294">
        <w:rPr>
          <w:rFonts w:ascii="Times New Roman" w:eastAsia="Times New Roman" w:hAnsi="Times New Roman" w:cs="Times New Roman"/>
          <w:b/>
          <w:bCs/>
          <w:kern w:val="36"/>
        </w:rPr>
        <w:t>O</w:t>
      </w:r>
      <w:r w:rsidR="00257294" w:rsidRPr="00257294">
        <w:rPr>
          <w:rFonts w:ascii="Times New Roman" w:eastAsia="Times New Roman" w:hAnsi="Times New Roman" w:cs="Times New Roman"/>
          <w:b/>
          <w:bCs/>
          <w:kern w:val="36"/>
        </w:rPr>
        <w:t>rders</w:t>
      </w:r>
    </w:p>
    <w:p w14:paraId="3540806D" w14:textId="71D5C730" w:rsidR="00081049" w:rsidRPr="002B6B9C" w:rsidRDefault="00081049" w:rsidP="00257294">
      <w:pPr>
        <w:keepNext/>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74</w:t>
      </w:r>
      <w:r w:rsidR="00257294">
        <w:rPr>
          <w:rFonts w:ascii="Times New Roman" w:eastAsia="Times New Roman" w:hAnsi="Times New Roman" w:cs="Times New Roman"/>
          <w:b/>
          <w:bCs/>
        </w:rPr>
        <w:tab/>
      </w:r>
      <w:r w:rsidRPr="002B6B9C">
        <w:rPr>
          <w:rFonts w:ascii="Times New Roman" w:eastAsia="Times New Roman" w:hAnsi="Times New Roman" w:cs="Times New Roman"/>
          <w:b/>
          <w:bCs/>
        </w:rPr>
        <w:t xml:space="preserve">Definition </w:t>
      </w:r>
    </w:p>
    <w:p w14:paraId="77ED8C0C" w14:textId="77777777" w:rsidR="00257294" w:rsidRDefault="00081049" w:rsidP="00257294">
      <w:pPr>
        <w:keepNext/>
        <w:spacing w:before="120" w:after="120"/>
        <w:jc w:val="both"/>
        <w:rPr>
          <w:rFonts w:ascii="Times New Roman" w:hAnsi="Times New Roman" w:cs="Times New Roman"/>
        </w:rPr>
      </w:pPr>
      <w:r w:rsidRPr="002B6B9C">
        <w:rPr>
          <w:rFonts w:ascii="Times New Roman" w:hAnsi="Times New Roman" w:cs="Times New Roman"/>
        </w:rPr>
        <w:t>In this Part:</w:t>
      </w:r>
      <w:r w:rsidR="00257294">
        <w:rPr>
          <w:rFonts w:ascii="Times New Roman" w:hAnsi="Times New Roman" w:cs="Times New Roman"/>
        </w:rPr>
        <w:t xml:space="preserve"> </w:t>
      </w:r>
    </w:p>
    <w:p w14:paraId="068BB4FC" w14:textId="682B47EF" w:rsidR="00081049" w:rsidRPr="002B6B9C" w:rsidRDefault="00081049" w:rsidP="00B708CF">
      <w:pPr>
        <w:spacing w:before="120" w:after="120"/>
        <w:jc w:val="both"/>
        <w:rPr>
          <w:rFonts w:ascii="Times New Roman" w:hAnsi="Times New Roman" w:cs="Times New Roman"/>
        </w:rPr>
      </w:pPr>
      <w:r w:rsidRPr="00257294">
        <w:rPr>
          <w:rFonts w:ascii="Times New Roman" w:hAnsi="Times New Roman" w:cs="Times New Roman"/>
          <w:b/>
          <w:bCs/>
          <w:i/>
        </w:rPr>
        <w:t>relevant property transaction</w:t>
      </w:r>
      <w:r w:rsidRPr="002B6B9C">
        <w:rPr>
          <w:rFonts w:ascii="Times New Roman" w:hAnsi="Times New Roman" w:cs="Times New Roman"/>
          <w:b/>
          <w:bCs/>
        </w:rPr>
        <w:t xml:space="preserve"> </w:t>
      </w:r>
      <w:r w:rsidRPr="002B6B9C">
        <w:rPr>
          <w:rFonts w:ascii="Times New Roman" w:hAnsi="Times New Roman" w:cs="Times New Roman"/>
        </w:rPr>
        <w:t xml:space="preserve">means a transaction or circumstance affecting property and described in section 75 or 76. </w:t>
      </w:r>
    </w:p>
    <w:p w14:paraId="0EF197B9" w14:textId="779F860F" w:rsidR="00081049" w:rsidRPr="002B6B9C" w:rsidRDefault="00081049" w:rsidP="00257294">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lastRenderedPageBreak/>
        <w:t>75</w:t>
      </w:r>
      <w:r w:rsidR="00257294">
        <w:rPr>
          <w:rFonts w:ascii="Times New Roman" w:eastAsia="Times New Roman" w:hAnsi="Times New Roman" w:cs="Times New Roman"/>
          <w:b/>
          <w:bCs/>
        </w:rPr>
        <w:tab/>
      </w:r>
      <w:r w:rsidRPr="002B6B9C">
        <w:rPr>
          <w:rFonts w:ascii="Times New Roman" w:eastAsia="Times New Roman" w:hAnsi="Times New Roman" w:cs="Times New Roman"/>
          <w:b/>
          <w:bCs/>
        </w:rPr>
        <w:t xml:space="preserve">Transactions that are relevant property transactions </w:t>
      </w:r>
    </w:p>
    <w:p w14:paraId="655657CA" w14:textId="212F06BB" w:rsidR="00081049" w:rsidRPr="002B6B9C" w:rsidRDefault="00081049" w:rsidP="00927108">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(1)</w:t>
      </w:r>
      <w:r w:rsidR="00927108">
        <w:rPr>
          <w:rFonts w:ascii="Times New Roman" w:eastAsia="Times New Roman" w:hAnsi="Times New Roman" w:cs="Times New Roman"/>
        </w:rPr>
        <w:tab/>
      </w:r>
      <w:r w:rsidRPr="002B6B9C">
        <w:rPr>
          <w:rFonts w:ascii="Times New Roman" w:eastAsia="Times New Roman" w:hAnsi="Times New Roman" w:cs="Times New Roman"/>
        </w:rPr>
        <w:t xml:space="preserve">A person enters into a relevant property transaction if the person does, directly or indirectly, or does not do, any act that (immediately or at some later time) results in property being: </w:t>
      </w:r>
    </w:p>
    <w:p w14:paraId="3C72DA71" w14:textId="08F93078" w:rsidR="00081049" w:rsidRPr="002B6B9C" w:rsidRDefault="00081049" w:rsidP="00927108">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held by another person (whether or not as trustee), or </w:t>
      </w:r>
    </w:p>
    <w:p w14:paraId="1D32F6C5" w14:textId="2B49D7E2" w:rsidR="00081049" w:rsidRPr="002B6B9C" w:rsidRDefault="00081049" w:rsidP="00927108">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subject to a trust, </w:t>
      </w:r>
    </w:p>
    <w:p w14:paraId="4731B59D" w14:textId="77777777" w:rsidR="00081049" w:rsidRPr="002B6B9C" w:rsidRDefault="00081049" w:rsidP="00AB34A4">
      <w:pPr>
        <w:spacing w:before="120" w:after="120"/>
        <w:ind w:left="426"/>
        <w:jc w:val="both"/>
        <w:rPr>
          <w:rFonts w:ascii="Times New Roman" w:eastAsia="Times New Roman" w:hAnsi="Times New Roman" w:cs="Times New Roman"/>
        </w:rPr>
      </w:pPr>
      <w:r w:rsidRPr="002B6B9C">
        <w:rPr>
          <w:rFonts w:ascii="Times New Roman" w:eastAsia="Times New Roman" w:hAnsi="Times New Roman" w:cs="Times New Roman"/>
        </w:rPr>
        <w:t xml:space="preserve">and full valuable consideration is not given to the person for doing or not doing the act. </w:t>
      </w:r>
    </w:p>
    <w:p w14:paraId="00B506E8" w14:textId="5E130FC9" w:rsidR="00081049" w:rsidRPr="002B6B9C"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(2)</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The fact that a person has entered into a relevant property transaction affecting property does not prevent the person from being taken to have entered into another relevant property transaction if the person subsequently does, or does not do, an act affecting the same property the subject of the first transaction. </w:t>
      </w:r>
    </w:p>
    <w:p w14:paraId="32CD4A3B" w14:textId="5A3367C1" w:rsidR="00081049" w:rsidRPr="002B6B9C"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(3)</w:t>
      </w:r>
      <w:r w:rsidR="00AB34A4">
        <w:rPr>
          <w:rFonts w:ascii="Times New Roman" w:eastAsia="Times New Roman" w:hAnsi="Times New Roman" w:cs="Times New Roman"/>
        </w:rPr>
        <w:tab/>
      </w:r>
      <w:r w:rsidRPr="002B6B9C">
        <w:rPr>
          <w:rFonts w:ascii="Times New Roman" w:eastAsia="Times New Roman" w:hAnsi="Times New Roman" w:cs="Times New Roman"/>
        </w:rPr>
        <w:t>The making of a will by a person, or the omission of a person to make a will, does not constitute an act or omission for the purposes of subsection (1), except in so far as it constitutes a failure to exercise a power of appointment or disposition in relation to property that is not in the person</w:t>
      </w:r>
      <w:r w:rsidR="00180B6B">
        <w:rPr>
          <w:rFonts w:ascii="Times New Roman" w:eastAsia="Times New Roman" w:hAnsi="Times New Roman" w:cs="Times New Roman"/>
        </w:rPr>
        <w:t>’</w:t>
      </w:r>
      <w:r w:rsidRPr="002B6B9C">
        <w:rPr>
          <w:rFonts w:ascii="Times New Roman" w:eastAsia="Times New Roman" w:hAnsi="Times New Roman" w:cs="Times New Roman"/>
        </w:rPr>
        <w:t xml:space="preserve">s estate. </w:t>
      </w:r>
    </w:p>
    <w:p w14:paraId="502ED835" w14:textId="52D8F575" w:rsidR="00081049" w:rsidRPr="002B6B9C" w:rsidRDefault="00081049" w:rsidP="00AB34A4">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76</w:t>
      </w:r>
      <w:r w:rsidR="00AB34A4">
        <w:rPr>
          <w:rFonts w:ascii="Times New Roman" w:eastAsia="Times New Roman" w:hAnsi="Times New Roman" w:cs="Times New Roman"/>
          <w:b/>
          <w:bCs/>
        </w:rPr>
        <w:tab/>
      </w:r>
      <w:r w:rsidRPr="002B6B9C">
        <w:rPr>
          <w:rFonts w:ascii="Times New Roman" w:eastAsia="Times New Roman" w:hAnsi="Times New Roman" w:cs="Times New Roman"/>
          <w:b/>
          <w:bCs/>
        </w:rPr>
        <w:t xml:space="preserve">Examples of relevant property transactions </w:t>
      </w:r>
    </w:p>
    <w:p w14:paraId="302936E2" w14:textId="548B69DE" w:rsidR="00081049" w:rsidRPr="002B6B9C"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 xml:space="preserve">(1) The circumstances set out in subsection (2), subject to full valuable consideration not being given, constitute the basis of a relevant property transaction for the purposes of section 75. </w:t>
      </w:r>
    </w:p>
    <w:p w14:paraId="6CD58689" w14:textId="4010253D" w:rsidR="00081049" w:rsidRPr="002B6B9C"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(2)</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The circumstances are as follows: </w:t>
      </w:r>
    </w:p>
    <w:p w14:paraId="56973A04" w14:textId="26682C8D" w:rsidR="00081049" w:rsidRPr="002B6B9C" w:rsidRDefault="00081049" w:rsidP="00AB34A4">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if a person is entitled to exercise a power to appoint, or dispose of, property that is not in the person's estate and does not exercise that power before ceasing (because of death or the occurrence of any other event) to be entitled to do so, with the result that the property becomes held by another person (whether or not as trustee) or subject to a trust or another person (immediately or at some later time) becomes, or continues to be, entitled to exercise the power, </w:t>
      </w:r>
    </w:p>
    <w:p w14:paraId="02999C39" w14:textId="073AFC8A" w:rsidR="00081049" w:rsidRPr="002B6B9C" w:rsidRDefault="00081049" w:rsidP="00AB34A4">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if a person holds an interest in property as a joint tenant and the person does not sever that interest before ceasing (because of death or the occurrence of any other event) to be entitled to do so, with the result that, on the person's death, the property becomes, by operation of the right of survivorship, held by another person (whether or not as trustee) or subject to a trust, </w:t>
      </w:r>
    </w:p>
    <w:p w14:paraId="5A0AF858" w14:textId="798EFF32" w:rsidR="00081049" w:rsidRPr="002B6B9C" w:rsidRDefault="00081049" w:rsidP="00AB34A4">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if a person holds an interest in property in which another interest is held by another person (whether or not as trustee) or is subject to a trust, and the person is entitled to exercise a power to extinguish the other interest in the property and the power is not exercised before the person ceases (because of death or the occurrence of any other event) to be so entitled with the result that the other interest in the property continues to be so held or subject to the trust, </w:t>
      </w:r>
    </w:p>
    <w:p w14:paraId="71E6264E" w14:textId="047833B9" w:rsidR="00081049" w:rsidRPr="002B6B9C" w:rsidRDefault="00081049" w:rsidP="00AB34A4">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(d)</w:t>
      </w:r>
      <w:r w:rsidR="00AB34A4">
        <w:rPr>
          <w:rFonts w:ascii="Times New Roman" w:eastAsia="Times New Roman" w:hAnsi="Times New Roman" w:cs="Times New Roman"/>
        </w:rPr>
        <w:tab/>
      </w:r>
      <w:r w:rsidRPr="002B6B9C">
        <w:rPr>
          <w:rFonts w:ascii="Times New Roman" w:eastAsia="Times New Roman" w:hAnsi="Times New Roman" w:cs="Times New Roman"/>
        </w:rPr>
        <w:t>if a person is entitled, in relation to a life assurance policy on the person</w:t>
      </w:r>
      <w:r w:rsidR="00AB34A4">
        <w:rPr>
          <w:rFonts w:ascii="Times New Roman" w:eastAsia="Times New Roman" w:hAnsi="Times New Roman" w:cs="Times New Roman"/>
        </w:rPr>
        <w:t>’</w:t>
      </w:r>
      <w:r w:rsidRPr="002B6B9C">
        <w:rPr>
          <w:rFonts w:ascii="Times New Roman" w:eastAsia="Times New Roman" w:hAnsi="Times New Roman" w:cs="Times New Roman"/>
        </w:rPr>
        <w:t xml:space="preserve">s life under which money is payable on the person's death or if some other event occurs to a person other than the legal representative of the person's estate, to exercise a power: </w:t>
      </w:r>
    </w:p>
    <w:p w14:paraId="2558631E" w14:textId="5AE52CE1" w:rsidR="00081049" w:rsidRPr="002B6B9C" w:rsidRDefault="00081049" w:rsidP="00AB34A4">
      <w:pPr>
        <w:spacing w:before="120" w:after="120"/>
        <w:ind w:left="1276" w:hanging="425"/>
        <w:jc w:val="both"/>
        <w:rPr>
          <w:rFonts w:ascii="Times New Roman" w:eastAsia="Times New Roman" w:hAnsi="Times New Roman" w:cs="Times New Roman"/>
        </w:rPr>
      </w:pPr>
      <w:r w:rsidRPr="002B6B9C">
        <w:rPr>
          <w:rFonts w:ascii="Times New Roman" w:eastAsia="Times New Roman" w:hAnsi="Times New Roman" w:cs="Times New Roman"/>
        </w:rPr>
        <w:t>(i)</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to substitute a person or a trust for the person to whom, or trust subject to which, money is payable under the policy, or </w:t>
      </w:r>
    </w:p>
    <w:p w14:paraId="4ADF3536" w14:textId="2EB5E00B" w:rsidR="00081049" w:rsidRPr="002B6B9C" w:rsidRDefault="00081049" w:rsidP="00AB34A4">
      <w:pPr>
        <w:spacing w:before="120" w:after="120"/>
        <w:ind w:left="1276" w:hanging="425"/>
        <w:jc w:val="both"/>
        <w:rPr>
          <w:rFonts w:ascii="Times New Roman" w:eastAsia="Times New Roman" w:hAnsi="Times New Roman" w:cs="Times New Roman"/>
        </w:rPr>
      </w:pPr>
      <w:r w:rsidRPr="002B6B9C">
        <w:rPr>
          <w:rFonts w:ascii="Times New Roman" w:eastAsia="Times New Roman" w:hAnsi="Times New Roman" w:cs="Times New Roman"/>
        </w:rPr>
        <w:t>(ii)</w:t>
      </w:r>
      <w:r w:rsidR="00AB34A4">
        <w:rPr>
          <w:rFonts w:ascii="Times New Roman" w:eastAsia="Times New Roman" w:hAnsi="Times New Roman" w:cs="Times New Roman"/>
        </w:rPr>
        <w:tab/>
      </w:r>
      <w:r w:rsidRPr="002B6B9C">
        <w:rPr>
          <w:rFonts w:ascii="Times New Roman" w:eastAsia="Times New Roman" w:hAnsi="Times New Roman" w:cs="Times New Roman"/>
        </w:rPr>
        <w:t xml:space="preserve">to surrender or otherwise deal with the policy, </w:t>
      </w:r>
    </w:p>
    <w:p w14:paraId="7009451C" w14:textId="77777777" w:rsidR="00081049" w:rsidRPr="002B6B9C" w:rsidRDefault="00081049" w:rsidP="00AB34A4">
      <w:pPr>
        <w:spacing w:before="120" w:after="120"/>
        <w:ind w:left="851"/>
        <w:jc w:val="both"/>
        <w:rPr>
          <w:rFonts w:ascii="Times New Roman" w:eastAsia="Times New Roman" w:hAnsi="Times New Roman" w:cs="Times New Roman"/>
        </w:rPr>
      </w:pPr>
      <w:r w:rsidRPr="002B6B9C">
        <w:rPr>
          <w:rFonts w:ascii="Times New Roman" w:eastAsia="Times New Roman" w:hAnsi="Times New Roman" w:cs="Times New Roman"/>
        </w:rPr>
        <w:t xml:space="preserve">and the person does not exercise that power before ceasing (because of death or the occurrence of any other event) to be entitled to do so, </w:t>
      </w:r>
    </w:p>
    <w:p w14:paraId="2EAD43FA" w14:textId="300B42AA" w:rsidR="00081049" w:rsidRPr="002B6B9C" w:rsidRDefault="00081049" w:rsidP="00CF33C7">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(e)</w:t>
      </w:r>
      <w:r w:rsidR="00CF33C7">
        <w:rPr>
          <w:rFonts w:ascii="Times New Roman" w:eastAsia="Times New Roman" w:hAnsi="Times New Roman" w:cs="Times New Roman"/>
        </w:rPr>
        <w:tab/>
      </w:r>
      <w:r w:rsidRPr="002B6B9C">
        <w:rPr>
          <w:rFonts w:ascii="Times New Roman" w:eastAsia="Times New Roman" w:hAnsi="Times New Roman" w:cs="Times New Roman"/>
        </w:rPr>
        <w:t xml:space="preserve">if a person who is a member of, or a participant in, a body (corporate or unincorporate), association, scheme, fund or plan, dies and property (immediately or at some later time) becomes held by another person (whether or not as trustee) or subject to a trust because of the </w:t>
      </w:r>
      <w:r w:rsidRPr="002B6B9C">
        <w:rPr>
          <w:rFonts w:ascii="Times New Roman" w:eastAsia="Times New Roman" w:hAnsi="Times New Roman" w:cs="Times New Roman"/>
        </w:rPr>
        <w:lastRenderedPageBreak/>
        <w:t>person's membership or participation and the person</w:t>
      </w:r>
      <w:r w:rsidR="00CF33C7">
        <w:rPr>
          <w:rFonts w:ascii="Times New Roman" w:eastAsia="Times New Roman" w:hAnsi="Times New Roman" w:cs="Times New Roman"/>
        </w:rPr>
        <w:t>’</w:t>
      </w:r>
      <w:r w:rsidRPr="002B6B9C">
        <w:rPr>
          <w:rFonts w:ascii="Times New Roman" w:eastAsia="Times New Roman" w:hAnsi="Times New Roman" w:cs="Times New Roman"/>
        </w:rPr>
        <w:t xml:space="preserve">s death or the occurrence of any other event, </w:t>
      </w:r>
    </w:p>
    <w:p w14:paraId="48158A96" w14:textId="5B42A9E8" w:rsidR="00081049" w:rsidRPr="002B6B9C" w:rsidRDefault="00081049" w:rsidP="00CF33C7">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(f)</w:t>
      </w:r>
      <w:r w:rsidR="00CF33C7">
        <w:rPr>
          <w:rFonts w:ascii="Times New Roman" w:eastAsia="Times New Roman" w:hAnsi="Times New Roman" w:cs="Times New Roman"/>
        </w:rPr>
        <w:tab/>
      </w:r>
      <w:r w:rsidRPr="002B6B9C">
        <w:rPr>
          <w:rFonts w:ascii="Times New Roman" w:eastAsia="Times New Roman" w:hAnsi="Times New Roman" w:cs="Times New Roman"/>
        </w:rPr>
        <w:t>if a person enters into a contract disposing of property out of the person</w:t>
      </w:r>
      <w:r w:rsidR="00CF33C7">
        <w:rPr>
          <w:rFonts w:ascii="Times New Roman" w:eastAsia="Times New Roman" w:hAnsi="Times New Roman" w:cs="Times New Roman"/>
        </w:rPr>
        <w:t>’</w:t>
      </w:r>
      <w:r w:rsidRPr="002B6B9C">
        <w:rPr>
          <w:rFonts w:ascii="Times New Roman" w:eastAsia="Times New Roman" w:hAnsi="Times New Roman" w:cs="Times New Roman"/>
        </w:rPr>
        <w:t>s estate, whether or not the disposition is to take effect before, on or after the person</w:t>
      </w:r>
      <w:r w:rsidR="00CF33C7">
        <w:rPr>
          <w:rFonts w:ascii="Times New Roman" w:eastAsia="Times New Roman" w:hAnsi="Times New Roman" w:cs="Times New Roman"/>
        </w:rPr>
        <w:t>’</w:t>
      </w:r>
      <w:r w:rsidRPr="002B6B9C">
        <w:rPr>
          <w:rFonts w:ascii="Times New Roman" w:eastAsia="Times New Roman" w:hAnsi="Times New Roman" w:cs="Times New Roman"/>
        </w:rPr>
        <w:t>s death or under the person</w:t>
      </w:r>
      <w:r w:rsidR="00B768D5">
        <w:rPr>
          <w:rFonts w:ascii="Times New Roman" w:eastAsia="Times New Roman" w:hAnsi="Times New Roman" w:cs="Times New Roman"/>
        </w:rPr>
        <w:t>’</w:t>
      </w:r>
      <w:r w:rsidRPr="002B6B9C">
        <w:rPr>
          <w:rFonts w:ascii="Times New Roman" w:eastAsia="Times New Roman" w:hAnsi="Times New Roman" w:cs="Times New Roman"/>
        </w:rPr>
        <w:t xml:space="preserve">s will or otherwise. </w:t>
      </w:r>
    </w:p>
    <w:p w14:paraId="2CFB77FD" w14:textId="09592772" w:rsidR="00081049" w:rsidRPr="002B6B9C"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(3)</w:t>
      </w:r>
      <w:r w:rsidR="00CF33C7">
        <w:rPr>
          <w:rFonts w:ascii="Times New Roman" w:eastAsia="Times New Roman" w:hAnsi="Times New Roman" w:cs="Times New Roman"/>
        </w:rPr>
        <w:tab/>
      </w:r>
      <w:r w:rsidRPr="002B6B9C">
        <w:rPr>
          <w:rFonts w:ascii="Times New Roman" w:eastAsia="Times New Roman" w:hAnsi="Times New Roman" w:cs="Times New Roman"/>
        </w:rPr>
        <w:t xml:space="preserve">Nothing in this section prevents any other act or omission from constituting the basis of a relevant property transaction for the purposes of section 75. </w:t>
      </w:r>
    </w:p>
    <w:p w14:paraId="4653A35F" w14:textId="36098115" w:rsidR="00081049" w:rsidRDefault="00081049" w:rsidP="00AB34A4">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(4)</w:t>
      </w:r>
      <w:r w:rsidR="00CF33C7">
        <w:rPr>
          <w:rFonts w:ascii="Times New Roman" w:eastAsia="Times New Roman" w:hAnsi="Times New Roman" w:cs="Times New Roman"/>
        </w:rPr>
        <w:tab/>
      </w:r>
      <w:r w:rsidRPr="002B6B9C">
        <w:rPr>
          <w:rFonts w:ascii="Times New Roman" w:eastAsia="Times New Roman" w:hAnsi="Times New Roman" w:cs="Times New Roman"/>
        </w:rPr>
        <w:t xml:space="preserve">For the purposes of this Chapter, in the circumstances described in subsection (2) (b), a person is not given full or any valuable consideration for not severing an interest in property held as a joint tenant merely because, by not severing that interest, the person retains, until his or her death, the benefit of the right of survivorship in respect of that property. </w:t>
      </w:r>
    </w:p>
    <w:p w14:paraId="25A9E516" w14:textId="67DB15C5" w:rsidR="00180B6B" w:rsidRPr="002B6B9C" w:rsidRDefault="00180B6B" w:rsidP="00AB34A4">
      <w:pPr>
        <w:spacing w:before="120" w:after="120"/>
        <w:ind w:left="426" w:hanging="426"/>
        <w:jc w:val="both"/>
        <w:rPr>
          <w:rFonts w:ascii="Times New Roman" w:eastAsia="Times New Roman" w:hAnsi="Times New Roman" w:cs="Times New Roman"/>
        </w:rPr>
      </w:pPr>
      <w:r>
        <w:rPr>
          <w:rFonts w:ascii="Times New Roman" w:eastAsia="Times New Roman" w:hAnsi="Times New Roman" w:cs="Times New Roman"/>
        </w:rPr>
        <w:t>…</w:t>
      </w:r>
    </w:p>
    <w:p w14:paraId="1AD2D67A" w14:textId="04BEA524" w:rsidR="00081049" w:rsidRPr="002B6B9C" w:rsidRDefault="00081049" w:rsidP="00180B6B">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80</w:t>
      </w:r>
      <w:r w:rsidR="00180B6B">
        <w:rPr>
          <w:rFonts w:ascii="Times New Roman" w:eastAsia="Times New Roman" w:hAnsi="Times New Roman" w:cs="Times New Roman"/>
          <w:b/>
          <w:bCs/>
        </w:rPr>
        <w:tab/>
      </w:r>
      <w:r w:rsidRPr="002B6B9C">
        <w:rPr>
          <w:rFonts w:ascii="Times New Roman" w:eastAsia="Times New Roman" w:hAnsi="Times New Roman" w:cs="Times New Roman"/>
          <w:b/>
          <w:bCs/>
        </w:rPr>
        <w:t xml:space="preserve">Notional estate order may be made where estate affected by relevant property transaction </w:t>
      </w:r>
    </w:p>
    <w:p w14:paraId="257AC70F" w14:textId="79D16C93" w:rsidR="00081049" w:rsidRPr="002B6B9C" w:rsidRDefault="00081049" w:rsidP="00180B6B">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(1)</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The Court may, on application by an applicant for a family provision order or on its own motion, make a notional estate order designating property specified in the order as notional estate of a deceased person if the Court is satisfied that the deceased person entered into a relevant property transaction before his or her death and that the transaction is a transaction to which this section applies. </w:t>
      </w:r>
    </w:p>
    <w:p w14:paraId="723361E3" w14:textId="25B19CD5" w:rsidR="00081049" w:rsidRPr="002B6B9C" w:rsidRDefault="00081049" w:rsidP="00180B6B">
      <w:pPr>
        <w:spacing w:before="120" w:after="120"/>
        <w:ind w:left="426"/>
        <w:jc w:val="both"/>
        <w:rPr>
          <w:rFonts w:ascii="Times New Roman" w:eastAsia="Times New Roman" w:hAnsi="Times New Roman" w:cs="Times New Roman"/>
        </w:rPr>
      </w:pPr>
      <w:r w:rsidRPr="00180B6B">
        <w:rPr>
          <w:rFonts w:ascii="Times New Roman" w:eastAsia="Times New Roman" w:hAnsi="Times New Roman" w:cs="Times New Roman"/>
          <w:b/>
        </w:rPr>
        <w:t>Note</w:t>
      </w:r>
      <w:r w:rsidR="00180B6B" w:rsidRPr="00180B6B">
        <w:rPr>
          <w:rFonts w:ascii="Times New Roman" w:eastAsia="Times New Roman" w:hAnsi="Times New Roman" w:cs="Times New Roman"/>
        </w:rPr>
        <w:t xml:space="preserve">. </w:t>
      </w:r>
      <w:r w:rsidRPr="00180B6B">
        <w:rPr>
          <w:rFonts w:ascii="Times New Roman" w:eastAsia="Times New Roman" w:hAnsi="Times New Roman" w:cs="Times New Roman"/>
        </w:rPr>
        <w:t>The kinds of transactions that constitute relevant property transactions are set out in sections 75 and 76.</w:t>
      </w:r>
      <w:r w:rsidRPr="002B6B9C">
        <w:rPr>
          <w:rFonts w:ascii="Times New Roman" w:eastAsia="Times New Roman" w:hAnsi="Times New Roman" w:cs="Times New Roman"/>
        </w:rPr>
        <w:t xml:space="preserve"> </w:t>
      </w:r>
    </w:p>
    <w:p w14:paraId="6DA1B09F" w14:textId="4E65B5E4" w:rsidR="00081049" w:rsidRPr="002B6B9C" w:rsidRDefault="00081049" w:rsidP="00180B6B">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 xml:space="preserve">(2) This section applies to the following relevant property transactions: </w:t>
      </w:r>
    </w:p>
    <w:p w14:paraId="6F01BA4C" w14:textId="08479339" w:rsidR="00081049" w:rsidRPr="002B6B9C" w:rsidRDefault="00081049" w:rsidP="00180B6B">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a transaction that took effect within 3 years before the date of the death of the deceased person and was entered into with the intention, wholly or partly, of denying or limiting provision being made out of the estate of the deceased person for the maintenance, education or advancement in life of any person who is entitled to apply for a family provision order, </w:t>
      </w:r>
    </w:p>
    <w:p w14:paraId="3054DD3D" w14:textId="59555D1B" w:rsidR="00081049" w:rsidRPr="002B6B9C" w:rsidRDefault="00081049" w:rsidP="00180B6B">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a transaction that took effect within one year before the date of the death of the deceased person and was entered into when the deceased person had a moral obligation to make adequate provision, by will or otherwise, for the proper maintenance, education or advancement in life of any person who is entitled to apply for a family provision order which was substantially greater than any moral obligation of the deceased person to enter into the transaction, </w:t>
      </w:r>
    </w:p>
    <w:p w14:paraId="42B828BA" w14:textId="42A9A8A5" w:rsidR="00081049" w:rsidRPr="002B6B9C" w:rsidRDefault="00081049" w:rsidP="00180B6B">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180B6B">
        <w:rPr>
          <w:rFonts w:ascii="Times New Roman" w:eastAsia="Times New Roman" w:hAnsi="Times New Roman" w:cs="Times New Roman"/>
        </w:rPr>
        <w:tab/>
      </w:r>
      <w:r w:rsidRPr="002B6B9C">
        <w:rPr>
          <w:rFonts w:ascii="Times New Roman" w:eastAsia="Times New Roman" w:hAnsi="Times New Roman" w:cs="Times New Roman"/>
        </w:rPr>
        <w:t>a transaction that took effect or is to take effect on or after the deceased person</w:t>
      </w:r>
      <w:r w:rsidR="00180B6B">
        <w:rPr>
          <w:rFonts w:ascii="Times New Roman" w:eastAsia="Times New Roman" w:hAnsi="Times New Roman" w:cs="Times New Roman"/>
        </w:rPr>
        <w:t>’</w:t>
      </w:r>
      <w:r w:rsidRPr="002B6B9C">
        <w:rPr>
          <w:rFonts w:ascii="Times New Roman" w:eastAsia="Times New Roman" w:hAnsi="Times New Roman" w:cs="Times New Roman"/>
        </w:rPr>
        <w:t xml:space="preserve">s death. </w:t>
      </w:r>
    </w:p>
    <w:p w14:paraId="36D0300C" w14:textId="70B0DBBE" w:rsidR="00081049" w:rsidRPr="002B6B9C" w:rsidRDefault="00081049" w:rsidP="00180B6B">
      <w:pPr>
        <w:spacing w:before="120" w:after="120"/>
        <w:ind w:left="426" w:hanging="426"/>
        <w:jc w:val="both"/>
        <w:rPr>
          <w:rFonts w:ascii="Times New Roman" w:eastAsia="Times New Roman" w:hAnsi="Times New Roman" w:cs="Times New Roman"/>
        </w:rPr>
      </w:pPr>
      <w:r w:rsidRPr="002B6B9C">
        <w:rPr>
          <w:rFonts w:ascii="Times New Roman" w:eastAsia="Times New Roman" w:hAnsi="Times New Roman" w:cs="Times New Roman"/>
        </w:rPr>
        <w:t>(3)</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Property may be designated as notional estate by a notional estate order under this section if it is property that is held by, or on trust for: </w:t>
      </w:r>
    </w:p>
    <w:p w14:paraId="6BD00CAE" w14:textId="0823DFDA" w:rsidR="00081049" w:rsidRPr="002B6B9C" w:rsidRDefault="00081049" w:rsidP="00180B6B">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a person by whom property became held (whether or not as trustee) as the result of a relevant property transaction, or </w:t>
      </w:r>
    </w:p>
    <w:p w14:paraId="278364A0" w14:textId="208AB39A" w:rsidR="00081049" w:rsidRPr="002B6B9C" w:rsidRDefault="00081049" w:rsidP="00180B6B">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180B6B">
        <w:rPr>
          <w:rFonts w:ascii="Times New Roman" w:eastAsia="Times New Roman" w:hAnsi="Times New Roman" w:cs="Times New Roman"/>
        </w:rPr>
        <w:tab/>
      </w:r>
      <w:r w:rsidRPr="002B6B9C">
        <w:rPr>
          <w:rFonts w:ascii="Times New Roman" w:eastAsia="Times New Roman" w:hAnsi="Times New Roman" w:cs="Times New Roman"/>
        </w:rPr>
        <w:t xml:space="preserve">the object of a trust for which property became held on trust as the result of a relevant property transaction, </w:t>
      </w:r>
    </w:p>
    <w:p w14:paraId="76B819E0" w14:textId="283A398C" w:rsidR="00081049" w:rsidRPr="002B6B9C" w:rsidRDefault="00081049" w:rsidP="00180B6B">
      <w:pPr>
        <w:spacing w:before="120" w:after="120"/>
        <w:ind w:left="426"/>
        <w:jc w:val="both"/>
        <w:rPr>
          <w:rFonts w:ascii="Times New Roman" w:eastAsia="Times New Roman" w:hAnsi="Times New Roman" w:cs="Times New Roman"/>
        </w:rPr>
      </w:pPr>
      <w:r w:rsidRPr="002B6B9C">
        <w:rPr>
          <w:rFonts w:ascii="Times New Roman" w:eastAsia="Times New Roman" w:hAnsi="Times New Roman" w:cs="Times New Roman"/>
        </w:rPr>
        <w:t xml:space="preserve">whether or not the property was the subject of the relevant property transaction. </w:t>
      </w:r>
    </w:p>
    <w:p w14:paraId="458FFAC3" w14:textId="4FE2BBE6" w:rsidR="00081049" w:rsidRPr="002B6B9C" w:rsidRDefault="00DA15B9" w:rsidP="00B708CF">
      <w:pPr>
        <w:spacing w:before="120" w:after="120"/>
        <w:jc w:val="both"/>
        <w:rPr>
          <w:rFonts w:ascii="Times New Roman" w:hAnsi="Times New Roman" w:cs="Times New Roman"/>
        </w:rPr>
      </w:pPr>
      <w:r>
        <w:rPr>
          <w:rFonts w:ascii="Times New Roman" w:hAnsi="Times New Roman" w:cs="Times New Roman"/>
        </w:rPr>
        <w:t>…</w:t>
      </w:r>
    </w:p>
    <w:p w14:paraId="3F93D6AB" w14:textId="32A4C268" w:rsidR="00081049" w:rsidRPr="007477B6" w:rsidRDefault="00081049" w:rsidP="007477B6">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87</w:t>
      </w:r>
      <w:r w:rsidR="007477B6">
        <w:rPr>
          <w:rFonts w:ascii="Times New Roman" w:eastAsia="Times New Roman" w:hAnsi="Times New Roman" w:cs="Times New Roman"/>
          <w:b/>
          <w:bCs/>
        </w:rPr>
        <w:tab/>
      </w:r>
      <w:r w:rsidRPr="002B6B9C">
        <w:rPr>
          <w:rFonts w:ascii="Times New Roman" w:eastAsia="Times New Roman" w:hAnsi="Times New Roman" w:cs="Times New Roman"/>
          <w:b/>
          <w:bCs/>
        </w:rPr>
        <w:t xml:space="preserve">General matters that must be considered by Court </w:t>
      </w:r>
    </w:p>
    <w:p w14:paraId="259F3112" w14:textId="74222E69" w:rsidR="00081049" w:rsidRPr="002B6B9C" w:rsidRDefault="00081049" w:rsidP="00B708CF">
      <w:pPr>
        <w:spacing w:before="120" w:after="120"/>
        <w:jc w:val="both"/>
        <w:outlineLvl w:val="3"/>
        <w:rPr>
          <w:rFonts w:ascii="Times New Roman" w:eastAsia="Times New Roman" w:hAnsi="Times New Roman" w:cs="Times New Roman"/>
          <w:b/>
          <w:bCs/>
        </w:rPr>
      </w:pPr>
      <w:r w:rsidRPr="002B6B9C">
        <w:rPr>
          <w:rFonts w:ascii="Times New Roman" w:hAnsi="Times New Roman" w:cs="Times New Roman"/>
        </w:rPr>
        <w:t xml:space="preserve">The Court must not make a notional estate order unless it has considered the following: </w:t>
      </w:r>
    </w:p>
    <w:p w14:paraId="672A35EF" w14:textId="7F019080" w:rsidR="00081049" w:rsidRPr="002B6B9C" w:rsidRDefault="00081049" w:rsidP="007477B6">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lastRenderedPageBreak/>
        <w:t>(a)</w:t>
      </w:r>
      <w:r w:rsidR="007477B6">
        <w:rPr>
          <w:rFonts w:ascii="Times New Roman" w:eastAsia="Times New Roman" w:hAnsi="Times New Roman" w:cs="Times New Roman"/>
        </w:rPr>
        <w:tab/>
      </w:r>
      <w:r w:rsidRPr="002B6B9C">
        <w:rPr>
          <w:rFonts w:ascii="Times New Roman" w:eastAsia="Times New Roman" w:hAnsi="Times New Roman" w:cs="Times New Roman"/>
        </w:rPr>
        <w:t xml:space="preserve">the importance of not interfering with reasonable expectations in relation to property, </w:t>
      </w:r>
    </w:p>
    <w:p w14:paraId="59640D14" w14:textId="562C9D4D" w:rsidR="00081049" w:rsidRPr="002B6B9C" w:rsidRDefault="00081049" w:rsidP="007477B6">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7477B6">
        <w:rPr>
          <w:rFonts w:ascii="Times New Roman" w:eastAsia="Times New Roman" w:hAnsi="Times New Roman" w:cs="Times New Roman"/>
        </w:rPr>
        <w:tab/>
      </w:r>
      <w:r w:rsidRPr="002B6B9C">
        <w:rPr>
          <w:rFonts w:ascii="Times New Roman" w:eastAsia="Times New Roman" w:hAnsi="Times New Roman" w:cs="Times New Roman"/>
        </w:rPr>
        <w:t xml:space="preserve">the substantial justice and merits involved in making or refusing to make the order, </w:t>
      </w:r>
    </w:p>
    <w:p w14:paraId="6E56B0BF" w14:textId="4F44FB18" w:rsidR="00081049" w:rsidRPr="002B6B9C" w:rsidRDefault="00081049" w:rsidP="007477B6">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7477B6">
        <w:rPr>
          <w:rFonts w:ascii="Times New Roman" w:eastAsia="Times New Roman" w:hAnsi="Times New Roman" w:cs="Times New Roman"/>
        </w:rPr>
        <w:tab/>
      </w:r>
      <w:r w:rsidRPr="002B6B9C">
        <w:rPr>
          <w:rFonts w:ascii="Times New Roman" w:eastAsia="Times New Roman" w:hAnsi="Times New Roman" w:cs="Times New Roman"/>
        </w:rPr>
        <w:t xml:space="preserve">any other matter it considers relevant in the circumstances. </w:t>
      </w:r>
    </w:p>
    <w:p w14:paraId="5FCC136C" w14:textId="35AC0641" w:rsidR="00081049" w:rsidRPr="002B6B9C" w:rsidRDefault="00081049" w:rsidP="007477B6">
      <w:pPr>
        <w:spacing w:before="240" w:after="120"/>
        <w:ind w:left="426" w:hanging="426"/>
        <w:jc w:val="both"/>
        <w:outlineLvl w:val="3"/>
        <w:rPr>
          <w:rFonts w:ascii="Times New Roman" w:eastAsia="Times New Roman" w:hAnsi="Times New Roman" w:cs="Times New Roman"/>
          <w:b/>
          <w:bCs/>
        </w:rPr>
      </w:pPr>
      <w:r w:rsidRPr="002B6B9C">
        <w:rPr>
          <w:rFonts w:ascii="Times New Roman" w:eastAsia="Times New Roman" w:hAnsi="Times New Roman" w:cs="Times New Roman"/>
          <w:b/>
          <w:bCs/>
        </w:rPr>
        <w:t>88</w:t>
      </w:r>
      <w:r w:rsidR="007477B6">
        <w:rPr>
          <w:rFonts w:ascii="Times New Roman" w:eastAsia="Times New Roman" w:hAnsi="Times New Roman" w:cs="Times New Roman"/>
          <w:b/>
          <w:bCs/>
        </w:rPr>
        <w:tab/>
      </w:r>
      <w:r w:rsidRPr="002B6B9C">
        <w:rPr>
          <w:rFonts w:ascii="Times New Roman" w:eastAsia="Times New Roman" w:hAnsi="Times New Roman" w:cs="Times New Roman"/>
          <w:b/>
          <w:bCs/>
        </w:rPr>
        <w:t xml:space="preserve">Estate must not be sufficient for provision or order as to costs </w:t>
      </w:r>
    </w:p>
    <w:p w14:paraId="33120727" w14:textId="4B8C61A5" w:rsidR="00081049" w:rsidRPr="002B6B9C" w:rsidRDefault="00081049" w:rsidP="00B708CF">
      <w:pPr>
        <w:spacing w:before="120" w:after="120"/>
        <w:jc w:val="both"/>
        <w:rPr>
          <w:rFonts w:ascii="Times New Roman" w:hAnsi="Times New Roman" w:cs="Times New Roman"/>
        </w:rPr>
      </w:pPr>
      <w:r w:rsidRPr="002B6B9C">
        <w:rPr>
          <w:rFonts w:ascii="Times New Roman" w:hAnsi="Times New Roman" w:cs="Times New Roman"/>
        </w:rPr>
        <w:t xml:space="preserve">The Court must not make a notional estate order unless it is satisfied that: </w:t>
      </w:r>
    </w:p>
    <w:p w14:paraId="55A932BE" w14:textId="0DCD4F7B" w:rsidR="00081049" w:rsidRPr="002B6B9C" w:rsidRDefault="00081049" w:rsidP="00443CD0">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(a)</w:t>
      </w:r>
      <w:r w:rsidR="00443CD0">
        <w:rPr>
          <w:rFonts w:ascii="Times New Roman" w:eastAsia="Times New Roman" w:hAnsi="Times New Roman" w:cs="Times New Roman"/>
        </w:rPr>
        <w:tab/>
      </w:r>
      <w:r w:rsidRPr="002B6B9C">
        <w:rPr>
          <w:rFonts w:ascii="Times New Roman" w:eastAsia="Times New Roman" w:hAnsi="Times New Roman" w:cs="Times New Roman"/>
        </w:rPr>
        <w:t xml:space="preserve">the deceased person left no estate, or </w:t>
      </w:r>
    </w:p>
    <w:p w14:paraId="570C791D" w14:textId="46CF69D8" w:rsidR="00081049" w:rsidRPr="002B6B9C" w:rsidRDefault="00081049" w:rsidP="00443CD0">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(b)</w:t>
      </w:r>
      <w:r w:rsidR="00443CD0">
        <w:rPr>
          <w:rFonts w:ascii="Times New Roman" w:eastAsia="Times New Roman" w:hAnsi="Times New Roman" w:cs="Times New Roman"/>
        </w:rPr>
        <w:tab/>
      </w:r>
      <w:r w:rsidRPr="002B6B9C">
        <w:rPr>
          <w:rFonts w:ascii="Times New Roman" w:eastAsia="Times New Roman" w:hAnsi="Times New Roman" w:cs="Times New Roman"/>
        </w:rPr>
        <w:t>the deceased person</w:t>
      </w:r>
      <w:r w:rsidR="00443CD0">
        <w:rPr>
          <w:rFonts w:ascii="Times New Roman" w:eastAsia="Times New Roman" w:hAnsi="Times New Roman" w:cs="Times New Roman"/>
        </w:rPr>
        <w:t>’</w:t>
      </w:r>
      <w:r w:rsidRPr="002B6B9C">
        <w:rPr>
          <w:rFonts w:ascii="Times New Roman" w:eastAsia="Times New Roman" w:hAnsi="Times New Roman" w:cs="Times New Roman"/>
        </w:rPr>
        <w:t xml:space="preserve">s estate is insufficient for the making of the family provision order, or any order as to costs, that the Court is of the opinion should be made, or </w:t>
      </w:r>
    </w:p>
    <w:p w14:paraId="148F426D" w14:textId="02B3B249" w:rsidR="00081049" w:rsidRPr="002B6B9C" w:rsidRDefault="00081049" w:rsidP="00443CD0">
      <w:pPr>
        <w:spacing w:before="120" w:after="120"/>
        <w:ind w:left="851" w:hanging="425"/>
        <w:jc w:val="both"/>
        <w:rPr>
          <w:rFonts w:ascii="Times New Roman" w:eastAsia="Times New Roman" w:hAnsi="Times New Roman" w:cs="Times New Roman"/>
        </w:rPr>
      </w:pPr>
      <w:r w:rsidRPr="002B6B9C">
        <w:rPr>
          <w:rFonts w:ascii="Times New Roman" w:eastAsia="Times New Roman" w:hAnsi="Times New Roman" w:cs="Times New Roman"/>
        </w:rPr>
        <w:t>(c)</w:t>
      </w:r>
      <w:r w:rsidR="00443CD0">
        <w:rPr>
          <w:rFonts w:ascii="Times New Roman" w:eastAsia="Times New Roman" w:hAnsi="Times New Roman" w:cs="Times New Roman"/>
        </w:rPr>
        <w:tab/>
      </w:r>
      <w:r w:rsidRPr="002B6B9C">
        <w:rPr>
          <w:rFonts w:ascii="Times New Roman" w:eastAsia="Times New Roman" w:hAnsi="Times New Roman" w:cs="Times New Roman"/>
        </w:rPr>
        <w:t>provision should not be made wholly out of the deceased person</w:t>
      </w:r>
      <w:r w:rsidR="00443CD0">
        <w:rPr>
          <w:rFonts w:ascii="Times New Roman" w:eastAsia="Times New Roman" w:hAnsi="Times New Roman" w:cs="Times New Roman"/>
        </w:rPr>
        <w:t>’</w:t>
      </w:r>
      <w:r w:rsidRPr="002B6B9C">
        <w:rPr>
          <w:rFonts w:ascii="Times New Roman" w:eastAsia="Times New Roman" w:hAnsi="Times New Roman" w:cs="Times New Roman"/>
        </w:rPr>
        <w:t xml:space="preserve">s estate because there are other persons entitled to apply for family provision orders or because there are special circumstances. </w:t>
      </w:r>
    </w:p>
    <w:p w14:paraId="56F410DC" w14:textId="77777777" w:rsidR="00081049" w:rsidRPr="002F0E6F" w:rsidRDefault="00081049" w:rsidP="00081049"/>
    <w:p w14:paraId="6C37A9C7" w14:textId="77777777" w:rsidR="00081049" w:rsidRPr="002F0E6F" w:rsidRDefault="00081049" w:rsidP="004B1CD1"/>
    <w:p w14:paraId="2E7919AD" w14:textId="77777777" w:rsidR="005D3626" w:rsidRPr="002F0E6F" w:rsidRDefault="005D3626" w:rsidP="004B1CD1"/>
    <w:p w14:paraId="76DAC85A" w14:textId="77777777" w:rsidR="005D3626" w:rsidRPr="002F0E6F" w:rsidRDefault="005D3626" w:rsidP="004B1CD1"/>
    <w:p w14:paraId="424521FA" w14:textId="77777777" w:rsidR="005D3626" w:rsidRPr="002F0E6F" w:rsidRDefault="005D3626" w:rsidP="004B1CD1"/>
    <w:sectPr w:rsidR="005D3626" w:rsidRPr="002F0E6F" w:rsidSect="000F2AEC">
      <w:headerReference w:type="even" r:id="rId66"/>
      <w:headerReference w:type="default" r:id="rId67"/>
      <w:headerReference w:type="first" r:id="rId6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D050" w14:textId="77777777" w:rsidR="0041359D" w:rsidRDefault="0041359D" w:rsidP="0059627F">
      <w:r>
        <w:separator/>
      </w:r>
    </w:p>
  </w:endnote>
  <w:endnote w:type="continuationSeparator" w:id="0">
    <w:p w14:paraId="1F349995" w14:textId="77777777" w:rsidR="0041359D" w:rsidRDefault="0041359D" w:rsidP="005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9295" w14:textId="77777777" w:rsidR="00780FA1" w:rsidRPr="004140BF" w:rsidRDefault="00780FA1" w:rsidP="00165678">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32</w:t>
    </w:r>
    <w:r w:rsidRPr="004140BF">
      <w:rPr>
        <w:rStyle w:val="PageNumber"/>
        <w:rFonts w:ascii="Times New Roman" w:hAnsi="Times New Roman" w:cs="Times New Roman"/>
        <w:sz w:val="20"/>
        <w:szCs w:val="20"/>
      </w:rPr>
      <w:fldChar w:fldCharType="end"/>
    </w:r>
  </w:p>
  <w:p w14:paraId="59A15364" w14:textId="77777777" w:rsidR="00780FA1" w:rsidRPr="00000032" w:rsidRDefault="00780FA1" w:rsidP="00165678">
    <w:pPr>
      <w:pStyle w:val="Footer"/>
      <w:ind w:right="360" w:firstLine="360"/>
      <w:rPr>
        <w:rStyle w:val="PageNumber"/>
        <w:rFonts w:ascii="Times New Roman" w:hAnsi="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C87D" w14:textId="7A1BD726" w:rsidR="00780FA1" w:rsidRPr="004140BF" w:rsidRDefault="00780FA1" w:rsidP="004140BF">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8</w:t>
    </w:r>
    <w:r w:rsidRPr="004140BF">
      <w:rPr>
        <w:rStyle w:val="PageNumber"/>
        <w:rFonts w:ascii="Times New Roman" w:hAnsi="Times New Roman" w:cs="Times New Roman"/>
        <w:sz w:val="20"/>
        <w:szCs w:val="20"/>
      </w:rPr>
      <w:fldChar w:fldCharType="end"/>
    </w:r>
  </w:p>
  <w:p w14:paraId="5BAE2772" w14:textId="77777777" w:rsidR="00780FA1" w:rsidRDefault="00780FA1" w:rsidP="004140B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85F2" w14:textId="77777777" w:rsidR="00780FA1" w:rsidRPr="003D5F61" w:rsidRDefault="00780FA1" w:rsidP="004140BF">
    <w:pPr>
      <w:pStyle w:val="Footer"/>
      <w:framePr w:wrap="none" w:vAnchor="text" w:hAnchor="margin" w:xAlign="outside" w:y="1"/>
      <w:rPr>
        <w:rStyle w:val="PageNumber"/>
        <w:rFonts w:ascii="Times New Roman" w:hAnsi="Times New Roman" w:cs="Times New Roman"/>
        <w:sz w:val="20"/>
        <w:szCs w:val="20"/>
      </w:rPr>
    </w:pPr>
    <w:r w:rsidRPr="003D5F61">
      <w:rPr>
        <w:rStyle w:val="PageNumber"/>
        <w:rFonts w:ascii="Times New Roman" w:hAnsi="Times New Roman" w:cs="Times New Roman"/>
        <w:sz w:val="20"/>
        <w:szCs w:val="20"/>
      </w:rPr>
      <w:fldChar w:fldCharType="begin"/>
    </w:r>
    <w:r w:rsidRPr="003D5F61">
      <w:rPr>
        <w:rStyle w:val="PageNumber"/>
        <w:rFonts w:ascii="Times New Roman" w:hAnsi="Times New Roman" w:cs="Times New Roman"/>
        <w:sz w:val="20"/>
        <w:szCs w:val="20"/>
      </w:rPr>
      <w:instrText xml:space="preserve">PAGE  </w:instrText>
    </w:r>
    <w:r w:rsidRPr="003D5F61">
      <w:rPr>
        <w:rStyle w:val="PageNumber"/>
        <w:rFonts w:ascii="Times New Roman" w:hAnsi="Times New Roman" w:cs="Times New Roman"/>
        <w:sz w:val="20"/>
        <w:szCs w:val="20"/>
      </w:rPr>
      <w:fldChar w:fldCharType="separate"/>
    </w:r>
    <w:r w:rsidRPr="003D5F61">
      <w:rPr>
        <w:rStyle w:val="PageNumber"/>
        <w:rFonts w:ascii="Times New Roman" w:hAnsi="Times New Roman" w:cs="Times New Roman"/>
        <w:noProof/>
        <w:sz w:val="20"/>
        <w:szCs w:val="20"/>
      </w:rPr>
      <w:t>7</w:t>
    </w:r>
    <w:r w:rsidRPr="003D5F61">
      <w:rPr>
        <w:rStyle w:val="PageNumber"/>
        <w:rFonts w:ascii="Times New Roman" w:hAnsi="Times New Roman" w:cs="Times New Roman"/>
        <w:sz w:val="20"/>
        <w:szCs w:val="20"/>
      </w:rPr>
      <w:fldChar w:fldCharType="end"/>
    </w:r>
  </w:p>
  <w:p w14:paraId="7C6F42D7" w14:textId="77777777" w:rsidR="00780FA1" w:rsidRDefault="00780FA1" w:rsidP="000F2AEC">
    <w:pPr>
      <w:pStyle w:val="Footer"/>
      <w:tabs>
        <w:tab w:val="clear" w:pos="8640"/>
        <w:tab w:val="right" w:pos="8312"/>
      </w:tabs>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039152"/>
      <w:docPartObj>
        <w:docPartGallery w:val="Page Numbers (Bottom of Page)"/>
        <w:docPartUnique/>
      </w:docPartObj>
    </w:sdtPr>
    <w:sdtEndPr>
      <w:rPr>
        <w:rStyle w:val="PageNumber"/>
      </w:rPr>
    </w:sdtEndPr>
    <w:sdtContent>
      <w:p w14:paraId="7BC6C2A7"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13266B25" w14:textId="77777777" w:rsidR="00780FA1" w:rsidRDefault="00780FA1" w:rsidP="002C3BE8">
    <w:pPr>
      <w:pStyle w:val="Footer"/>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AB74" w14:textId="77777777" w:rsidR="00780FA1" w:rsidRPr="004140BF" w:rsidRDefault="00780FA1" w:rsidP="004140BF">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8</w:t>
    </w:r>
    <w:r w:rsidRPr="004140BF">
      <w:rPr>
        <w:rStyle w:val="PageNumber"/>
        <w:rFonts w:ascii="Times New Roman" w:hAnsi="Times New Roman" w:cs="Times New Roman"/>
        <w:sz w:val="20"/>
        <w:szCs w:val="20"/>
      </w:rPr>
      <w:fldChar w:fldCharType="end"/>
    </w:r>
  </w:p>
  <w:p w14:paraId="73653D9B" w14:textId="77777777" w:rsidR="00780FA1" w:rsidRDefault="00780FA1" w:rsidP="004140BF">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045846"/>
      <w:docPartObj>
        <w:docPartGallery w:val="Page Numbers (Bottom of Page)"/>
        <w:docPartUnique/>
      </w:docPartObj>
    </w:sdtPr>
    <w:sdtEndPr>
      <w:rPr>
        <w:rStyle w:val="PageNumber"/>
      </w:rPr>
    </w:sdtEndPr>
    <w:sdtContent>
      <w:p w14:paraId="560A6423"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67B06D27" w14:textId="77777777" w:rsidR="00780FA1" w:rsidRDefault="00780FA1" w:rsidP="002C3BE8">
    <w:pPr>
      <w:pStyle w:val="Footer"/>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C7C9" w14:textId="77777777" w:rsidR="00780FA1" w:rsidRPr="004140BF" w:rsidRDefault="00780FA1" w:rsidP="004140BF">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8</w:t>
    </w:r>
    <w:r w:rsidRPr="004140BF">
      <w:rPr>
        <w:rStyle w:val="PageNumber"/>
        <w:rFonts w:ascii="Times New Roman" w:hAnsi="Times New Roman" w:cs="Times New Roman"/>
        <w:sz w:val="20"/>
        <w:szCs w:val="20"/>
      </w:rPr>
      <w:fldChar w:fldCharType="end"/>
    </w:r>
  </w:p>
  <w:p w14:paraId="74F3347F" w14:textId="77777777" w:rsidR="00780FA1" w:rsidRPr="00B17AF6" w:rsidRDefault="00780FA1" w:rsidP="004140BF">
    <w:pPr>
      <w:pStyle w:val="Footer"/>
      <w:ind w:right="360" w:firstLine="360"/>
      <w:rPr>
        <w:rFonts w:ascii="Times New Roman" w:hAnsi="Times New Roman" w:cs="Times New Roman"/>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606F" w14:textId="77777777" w:rsidR="00780FA1" w:rsidRPr="003D5F61" w:rsidRDefault="00780FA1" w:rsidP="004140BF">
    <w:pPr>
      <w:pStyle w:val="Footer"/>
      <w:framePr w:wrap="none" w:vAnchor="text" w:hAnchor="margin" w:xAlign="outside" w:y="1"/>
      <w:rPr>
        <w:rStyle w:val="PageNumber"/>
        <w:rFonts w:ascii="Times New Roman" w:hAnsi="Times New Roman" w:cs="Times New Roman"/>
        <w:sz w:val="20"/>
        <w:szCs w:val="20"/>
      </w:rPr>
    </w:pPr>
    <w:r w:rsidRPr="003D5F61">
      <w:rPr>
        <w:rStyle w:val="PageNumber"/>
        <w:rFonts w:ascii="Times New Roman" w:hAnsi="Times New Roman" w:cs="Times New Roman"/>
        <w:sz w:val="20"/>
        <w:szCs w:val="20"/>
      </w:rPr>
      <w:fldChar w:fldCharType="begin"/>
    </w:r>
    <w:r w:rsidRPr="003D5F61">
      <w:rPr>
        <w:rStyle w:val="PageNumber"/>
        <w:rFonts w:ascii="Times New Roman" w:hAnsi="Times New Roman" w:cs="Times New Roman"/>
        <w:sz w:val="20"/>
        <w:szCs w:val="20"/>
      </w:rPr>
      <w:instrText xml:space="preserve">PAGE  </w:instrText>
    </w:r>
    <w:r w:rsidRPr="003D5F61">
      <w:rPr>
        <w:rStyle w:val="PageNumber"/>
        <w:rFonts w:ascii="Times New Roman" w:hAnsi="Times New Roman" w:cs="Times New Roman"/>
        <w:sz w:val="20"/>
        <w:szCs w:val="20"/>
      </w:rPr>
      <w:fldChar w:fldCharType="separate"/>
    </w:r>
    <w:r w:rsidRPr="003D5F61">
      <w:rPr>
        <w:rStyle w:val="PageNumber"/>
        <w:rFonts w:ascii="Times New Roman" w:hAnsi="Times New Roman" w:cs="Times New Roman"/>
        <w:noProof/>
        <w:sz w:val="20"/>
        <w:szCs w:val="20"/>
      </w:rPr>
      <w:t>7</w:t>
    </w:r>
    <w:r w:rsidRPr="003D5F61">
      <w:rPr>
        <w:rStyle w:val="PageNumber"/>
        <w:rFonts w:ascii="Times New Roman" w:hAnsi="Times New Roman" w:cs="Times New Roman"/>
        <w:sz w:val="20"/>
        <w:szCs w:val="20"/>
      </w:rPr>
      <w:fldChar w:fldCharType="end"/>
    </w:r>
  </w:p>
  <w:p w14:paraId="5AAE6C1F" w14:textId="77777777" w:rsidR="00780FA1" w:rsidRDefault="00780FA1" w:rsidP="000F2AEC">
    <w:pPr>
      <w:pStyle w:val="Footer"/>
      <w:tabs>
        <w:tab w:val="clear" w:pos="8640"/>
        <w:tab w:val="right" w:pos="8312"/>
      </w:tabs>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9671329"/>
      <w:docPartObj>
        <w:docPartGallery w:val="Page Numbers (Bottom of Page)"/>
        <w:docPartUnique/>
      </w:docPartObj>
    </w:sdtPr>
    <w:sdtEndPr>
      <w:rPr>
        <w:rStyle w:val="PageNumber"/>
      </w:rPr>
    </w:sdtEndPr>
    <w:sdtContent>
      <w:p w14:paraId="08F6D5D1"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00756D39" w14:textId="77777777" w:rsidR="00780FA1" w:rsidRDefault="00780FA1" w:rsidP="002C3BE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FA92" w14:textId="77777777" w:rsidR="00780FA1" w:rsidRPr="004140BF" w:rsidRDefault="00780FA1" w:rsidP="00165678">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v</w:t>
    </w:r>
    <w:r w:rsidRPr="004140BF">
      <w:rPr>
        <w:rStyle w:val="PageNumber"/>
        <w:rFonts w:ascii="Times New Roman" w:hAnsi="Times New Roman" w:cs="Times New Roman"/>
        <w:sz w:val="20"/>
        <w:szCs w:val="20"/>
      </w:rPr>
      <w:fldChar w:fldCharType="end"/>
    </w:r>
  </w:p>
  <w:p w14:paraId="028FBDA9" w14:textId="77777777" w:rsidR="00780FA1" w:rsidRPr="00C37965" w:rsidRDefault="00780FA1" w:rsidP="00165678">
    <w:pPr>
      <w:pStyle w:val="Footer"/>
      <w:ind w:right="360" w:firstLine="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512" w14:textId="1F703874" w:rsidR="00780FA1" w:rsidRDefault="00780FA1" w:rsidP="002C3BE8">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3F1B" w14:textId="317CA5E8" w:rsidR="00780FA1" w:rsidRDefault="00780FA1" w:rsidP="004140BF">
    <w:pPr>
      <w:pStyle w:val="Footer"/>
      <w:framePr w:wrap="none" w:vAnchor="text" w:hAnchor="margin" w:xAlign="outside" w:y="1"/>
      <w:rPr>
        <w:rStyle w:val="PageNumber"/>
      </w:rPr>
    </w:pPr>
  </w:p>
  <w:p w14:paraId="7D43E03F" w14:textId="77777777" w:rsidR="00780FA1" w:rsidRDefault="00780FA1" w:rsidP="002C3BE8">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542105"/>
      <w:docPartObj>
        <w:docPartGallery w:val="Page Numbers (Bottom of Page)"/>
        <w:docPartUnique/>
      </w:docPartObj>
    </w:sdtPr>
    <w:sdtEndPr>
      <w:rPr>
        <w:rStyle w:val="PageNumber"/>
      </w:rPr>
    </w:sdtEndPr>
    <w:sdtContent>
      <w:p w14:paraId="0AAC4E4C"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0F446705" w14:textId="77777777" w:rsidR="00780FA1" w:rsidRDefault="00780FA1" w:rsidP="002C3BE8">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1064" w14:textId="77777777" w:rsidR="00780FA1" w:rsidRPr="004140BF" w:rsidRDefault="00780FA1" w:rsidP="00165678">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32</w:t>
    </w:r>
    <w:r w:rsidRPr="004140BF">
      <w:rPr>
        <w:rStyle w:val="PageNumber"/>
        <w:rFonts w:ascii="Times New Roman" w:hAnsi="Times New Roman" w:cs="Times New Roman"/>
        <w:sz w:val="20"/>
        <w:szCs w:val="20"/>
      </w:rPr>
      <w:fldChar w:fldCharType="end"/>
    </w:r>
  </w:p>
  <w:p w14:paraId="005D7CBC" w14:textId="77777777" w:rsidR="00780FA1" w:rsidRPr="00000032" w:rsidRDefault="00780FA1" w:rsidP="00165678">
    <w:pPr>
      <w:pStyle w:val="Footer"/>
      <w:ind w:right="360" w:firstLine="360"/>
      <w:rPr>
        <w:rStyle w:val="PageNumbe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5F24" w14:textId="77777777" w:rsidR="00780FA1" w:rsidRPr="004140BF" w:rsidRDefault="00780FA1" w:rsidP="00165678">
    <w:pPr>
      <w:pStyle w:val="Footer"/>
      <w:framePr w:wrap="none" w:vAnchor="text" w:hAnchor="margin" w:xAlign="outside" w:y="1"/>
      <w:rPr>
        <w:rStyle w:val="PageNumber"/>
        <w:rFonts w:ascii="Times New Roman" w:hAnsi="Times New Roman" w:cs="Times New Roman"/>
        <w:sz w:val="20"/>
        <w:szCs w:val="20"/>
      </w:rPr>
    </w:pPr>
    <w:r w:rsidRPr="004140BF">
      <w:rPr>
        <w:rStyle w:val="PageNumber"/>
        <w:rFonts w:ascii="Times New Roman" w:hAnsi="Times New Roman" w:cs="Times New Roman"/>
        <w:sz w:val="20"/>
        <w:szCs w:val="20"/>
      </w:rPr>
      <w:fldChar w:fldCharType="begin"/>
    </w:r>
    <w:r w:rsidRPr="004140BF">
      <w:rPr>
        <w:rStyle w:val="PageNumber"/>
        <w:rFonts w:ascii="Times New Roman" w:hAnsi="Times New Roman" w:cs="Times New Roman"/>
        <w:sz w:val="20"/>
        <w:szCs w:val="20"/>
      </w:rPr>
      <w:instrText xml:space="preserve"> PAGE </w:instrText>
    </w:r>
    <w:r w:rsidRPr="004140BF">
      <w:rPr>
        <w:rStyle w:val="PageNumber"/>
        <w:rFonts w:ascii="Times New Roman" w:hAnsi="Times New Roman" w:cs="Times New Roman"/>
        <w:sz w:val="20"/>
        <w:szCs w:val="20"/>
      </w:rPr>
      <w:fldChar w:fldCharType="separate"/>
    </w:r>
    <w:r w:rsidRPr="004140BF">
      <w:rPr>
        <w:rStyle w:val="PageNumber"/>
        <w:rFonts w:ascii="Times New Roman" w:hAnsi="Times New Roman" w:cs="Times New Roman"/>
        <w:noProof/>
        <w:sz w:val="20"/>
        <w:szCs w:val="20"/>
      </w:rPr>
      <w:t>v</w:t>
    </w:r>
    <w:r w:rsidRPr="004140BF">
      <w:rPr>
        <w:rStyle w:val="PageNumber"/>
        <w:rFonts w:ascii="Times New Roman" w:hAnsi="Times New Roman" w:cs="Times New Roman"/>
        <w:sz w:val="20"/>
        <w:szCs w:val="20"/>
      </w:rPr>
      <w:fldChar w:fldCharType="end"/>
    </w:r>
  </w:p>
  <w:p w14:paraId="304EC118" w14:textId="77777777" w:rsidR="00780FA1" w:rsidRPr="00C37965" w:rsidRDefault="00780FA1" w:rsidP="00165678">
    <w:pPr>
      <w:pStyle w:val="Footer"/>
      <w:ind w:right="360" w:firstLine="360"/>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764607"/>
      <w:docPartObj>
        <w:docPartGallery w:val="Page Numbers (Bottom of Page)"/>
        <w:docPartUnique/>
      </w:docPartObj>
    </w:sdtPr>
    <w:sdtEndPr>
      <w:rPr>
        <w:rStyle w:val="PageNumber"/>
      </w:rPr>
    </w:sdtEndPr>
    <w:sdtContent>
      <w:p w14:paraId="050682A1"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65CE0738" w14:textId="77777777" w:rsidR="00780FA1" w:rsidRDefault="00780FA1" w:rsidP="002C3BE8">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136848"/>
      <w:docPartObj>
        <w:docPartGallery w:val="Page Numbers (Bottom of Page)"/>
        <w:docPartUnique/>
      </w:docPartObj>
    </w:sdtPr>
    <w:sdtEndPr>
      <w:rPr>
        <w:rStyle w:val="PageNumber"/>
      </w:rPr>
    </w:sdtEndPr>
    <w:sdtContent>
      <w:p w14:paraId="7DBB43F5" w14:textId="77777777" w:rsidR="00780FA1" w:rsidRDefault="00780FA1" w:rsidP="004140BF">
        <w:pPr>
          <w:pStyle w:val="Footer"/>
          <w:framePr w:wrap="none" w:vAnchor="text" w:hAnchor="margin" w:xAlign="outside" w:y="1"/>
          <w:rPr>
            <w:rStyle w:val="PageNumber"/>
          </w:rPr>
        </w:pPr>
        <w:r w:rsidRPr="002C3BE8">
          <w:rPr>
            <w:rStyle w:val="PageNumber"/>
            <w:rFonts w:ascii="Times New Roman" w:hAnsi="Times New Roman" w:cs="Times New Roman"/>
            <w:sz w:val="20"/>
            <w:szCs w:val="20"/>
          </w:rPr>
          <w:fldChar w:fldCharType="begin"/>
        </w:r>
        <w:r w:rsidRPr="002C3BE8">
          <w:rPr>
            <w:rStyle w:val="PageNumber"/>
            <w:rFonts w:ascii="Times New Roman" w:hAnsi="Times New Roman" w:cs="Times New Roman"/>
            <w:sz w:val="20"/>
            <w:szCs w:val="20"/>
          </w:rPr>
          <w:instrText xml:space="preserve"> PAGE </w:instrText>
        </w:r>
        <w:r w:rsidRPr="002C3BE8">
          <w:rPr>
            <w:rStyle w:val="PageNumber"/>
            <w:rFonts w:ascii="Times New Roman" w:hAnsi="Times New Roman" w:cs="Times New Roman"/>
            <w:sz w:val="20"/>
            <w:szCs w:val="20"/>
          </w:rPr>
          <w:fldChar w:fldCharType="separate"/>
        </w:r>
        <w:r w:rsidRPr="002C3BE8">
          <w:rPr>
            <w:rStyle w:val="PageNumber"/>
            <w:rFonts w:ascii="Times New Roman" w:hAnsi="Times New Roman" w:cs="Times New Roman"/>
            <w:noProof/>
            <w:sz w:val="20"/>
            <w:szCs w:val="20"/>
          </w:rPr>
          <w:t>ii</w:t>
        </w:r>
        <w:r w:rsidRPr="002C3BE8">
          <w:rPr>
            <w:rStyle w:val="PageNumber"/>
            <w:rFonts w:ascii="Times New Roman" w:hAnsi="Times New Roman" w:cs="Times New Roman"/>
            <w:sz w:val="20"/>
            <w:szCs w:val="20"/>
          </w:rPr>
          <w:fldChar w:fldCharType="end"/>
        </w:r>
      </w:p>
    </w:sdtContent>
  </w:sdt>
  <w:p w14:paraId="142B104F" w14:textId="77777777" w:rsidR="00780FA1" w:rsidRDefault="00780FA1" w:rsidP="002C3BE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BEAA" w14:textId="77777777" w:rsidR="0041359D" w:rsidRDefault="0041359D" w:rsidP="0059627F">
      <w:r>
        <w:separator/>
      </w:r>
    </w:p>
  </w:footnote>
  <w:footnote w:type="continuationSeparator" w:id="0">
    <w:p w14:paraId="79F705F9" w14:textId="77777777" w:rsidR="0041359D" w:rsidRDefault="0041359D" w:rsidP="0059627F">
      <w:r>
        <w:continuationSeparator/>
      </w:r>
    </w:p>
  </w:footnote>
  <w:footnote w:id="1">
    <w:p w14:paraId="158D9245" w14:textId="6497F95F" w:rsidR="00780FA1" w:rsidRPr="00865AC1" w:rsidRDefault="00780FA1" w:rsidP="004079DF">
      <w:pPr>
        <w:pStyle w:val="FootnoteTextTLRI"/>
        <w:jc w:val="left"/>
        <w:rPr>
          <w:lang w:val="en-AU"/>
        </w:rPr>
      </w:pPr>
      <w:r w:rsidRPr="00865AC1">
        <w:rPr>
          <w:rStyle w:val="FootnoteReference"/>
          <w:lang w:val="en-AU"/>
        </w:rPr>
        <w:footnoteRef/>
      </w:r>
      <w:r w:rsidRPr="00865AC1">
        <w:rPr>
          <w:lang w:val="en-AU"/>
        </w:rPr>
        <w:tab/>
        <w:t>Supreme Court of Tasmania – Probate and Administration &lt;</w:t>
      </w:r>
      <w:hyperlink r:id="rId1" w:history="1">
        <w:r w:rsidRPr="00865AC1">
          <w:rPr>
            <w:rStyle w:val="Hyperlink"/>
            <w:color w:val="auto"/>
            <w:u w:val="none"/>
            <w:lang w:val="en-AU"/>
          </w:rPr>
          <w:t>https://www.supremecourt.tas.gov.au/probate_and_administration</w:t>
        </w:r>
      </w:hyperlink>
      <w:r w:rsidRPr="00865AC1">
        <w:rPr>
          <w:lang w:val="en-AU"/>
        </w:rPr>
        <w:t xml:space="preserve">&gt;. </w:t>
      </w:r>
    </w:p>
  </w:footnote>
  <w:footnote w:id="2">
    <w:p w14:paraId="73310D6C" w14:textId="59945E2B" w:rsidR="00780FA1" w:rsidRPr="00865AC1" w:rsidRDefault="00780FA1" w:rsidP="004079DF">
      <w:pPr>
        <w:pStyle w:val="FootnoteTextTLRI"/>
        <w:rPr>
          <w:lang w:val="en-AU"/>
        </w:rPr>
      </w:pPr>
      <w:r w:rsidRPr="00865AC1">
        <w:rPr>
          <w:rStyle w:val="FootnoteReference"/>
          <w:lang w:val="en-AU"/>
        </w:rPr>
        <w:footnoteRef/>
      </w:r>
      <w:r w:rsidRPr="00865AC1">
        <w:rPr>
          <w:lang w:val="en-AU"/>
        </w:rPr>
        <w:tab/>
        <w:t>Ibid.</w:t>
      </w:r>
    </w:p>
  </w:footnote>
  <w:footnote w:id="3">
    <w:p w14:paraId="1B44968D" w14:textId="6739A318" w:rsidR="00780FA1" w:rsidRPr="00865AC1" w:rsidRDefault="00780FA1" w:rsidP="00607671">
      <w:pPr>
        <w:pStyle w:val="FootnoteTextTLRI"/>
        <w:rPr>
          <w:lang w:val="en-AU"/>
        </w:rPr>
      </w:pPr>
      <w:r w:rsidRPr="00865AC1">
        <w:rPr>
          <w:rStyle w:val="FootnoteReference"/>
          <w:lang w:val="en-AU"/>
        </w:rPr>
        <w:footnoteRef/>
      </w:r>
      <w:r w:rsidRPr="00865AC1">
        <w:rPr>
          <w:lang w:val="en-AU"/>
        </w:rPr>
        <w:tab/>
        <w:t xml:space="preserve">In Tasmania, these laws are contained within the </w:t>
      </w:r>
      <w:r w:rsidRPr="00865AC1">
        <w:rPr>
          <w:i/>
          <w:iCs/>
          <w:lang w:val="en-AU"/>
        </w:rPr>
        <w:t>Intestacy Act 2010</w:t>
      </w:r>
      <w:r w:rsidRPr="00865AC1">
        <w:rPr>
          <w:lang w:val="en-AU"/>
        </w:rPr>
        <w:t xml:space="preserve"> (Tas).</w:t>
      </w:r>
    </w:p>
  </w:footnote>
  <w:footnote w:id="4">
    <w:p w14:paraId="31506309" w14:textId="45E1367A" w:rsidR="00780FA1" w:rsidRPr="00865AC1" w:rsidRDefault="00780FA1" w:rsidP="00607671">
      <w:pPr>
        <w:pStyle w:val="FootnoteTextTLRI"/>
        <w:rPr>
          <w:lang w:val="en-AU"/>
        </w:rPr>
      </w:pPr>
      <w:r w:rsidRPr="00865AC1">
        <w:rPr>
          <w:rStyle w:val="FootnoteReference"/>
          <w:lang w:val="en-AU"/>
        </w:rPr>
        <w:footnoteRef/>
      </w:r>
      <w:r w:rsidRPr="00865AC1">
        <w:rPr>
          <w:lang w:val="en-AU"/>
        </w:rPr>
        <w:tab/>
      </w:r>
      <w:r w:rsidRPr="00865AC1">
        <w:rPr>
          <w:i/>
          <w:lang w:val="en-AU"/>
        </w:rPr>
        <w:t>Testator’s Family Maintenance Act 1912</w:t>
      </w:r>
      <w:r w:rsidRPr="00865AC1">
        <w:rPr>
          <w:lang w:val="en-AU"/>
        </w:rPr>
        <w:t xml:space="preserve"> (Tas)</w:t>
      </w:r>
      <w:r>
        <w:rPr>
          <w:lang w:val="en-AU"/>
        </w:rPr>
        <w:t xml:space="preserve"> (‘</w:t>
      </w:r>
      <w:r w:rsidRPr="00B56067">
        <w:rPr>
          <w:i/>
          <w:lang w:val="en-AU"/>
        </w:rPr>
        <w:t>TFM Act</w:t>
      </w:r>
      <w:r>
        <w:rPr>
          <w:lang w:val="en-AU"/>
        </w:rPr>
        <w:t>’)</w:t>
      </w:r>
      <w:r w:rsidRPr="00865AC1">
        <w:rPr>
          <w:lang w:val="en-AU"/>
        </w:rPr>
        <w:t xml:space="preserve">; </w:t>
      </w:r>
      <w:r w:rsidRPr="00865AC1">
        <w:rPr>
          <w:i/>
          <w:lang w:val="en-AU"/>
        </w:rPr>
        <w:t>Family Provision Act 1969</w:t>
      </w:r>
      <w:r w:rsidRPr="00865AC1">
        <w:rPr>
          <w:lang w:val="en-AU"/>
        </w:rPr>
        <w:t xml:space="preserve"> (ACT); </w:t>
      </w:r>
      <w:r w:rsidRPr="00865AC1">
        <w:rPr>
          <w:i/>
          <w:lang w:val="en-AU"/>
        </w:rPr>
        <w:t>Succession Act 2006</w:t>
      </w:r>
      <w:r w:rsidRPr="00865AC1">
        <w:rPr>
          <w:lang w:val="en-AU"/>
        </w:rPr>
        <w:t xml:space="preserve"> (NSW) Pt 3.2; </w:t>
      </w:r>
      <w:r w:rsidRPr="00865AC1">
        <w:rPr>
          <w:i/>
          <w:lang w:val="en-AU"/>
        </w:rPr>
        <w:t>Family Provision Act 1970</w:t>
      </w:r>
      <w:r w:rsidRPr="00865AC1">
        <w:rPr>
          <w:lang w:val="en-AU"/>
        </w:rPr>
        <w:t xml:space="preserve"> (NT); </w:t>
      </w:r>
      <w:r w:rsidRPr="00865AC1">
        <w:rPr>
          <w:i/>
          <w:lang w:val="en-AU"/>
        </w:rPr>
        <w:t>Succession Act 1981</w:t>
      </w:r>
      <w:r w:rsidRPr="00865AC1">
        <w:rPr>
          <w:lang w:val="en-AU"/>
        </w:rPr>
        <w:t xml:space="preserve"> (Qld) Pt 4; </w:t>
      </w:r>
      <w:r w:rsidRPr="00865AC1">
        <w:rPr>
          <w:i/>
          <w:lang w:val="en-AU"/>
        </w:rPr>
        <w:t>Inheritance (Family Provision) Act 1972</w:t>
      </w:r>
      <w:r w:rsidRPr="00865AC1">
        <w:rPr>
          <w:lang w:val="en-AU"/>
        </w:rPr>
        <w:t xml:space="preserve"> (SA); </w:t>
      </w:r>
      <w:r w:rsidRPr="00865AC1">
        <w:rPr>
          <w:i/>
          <w:lang w:val="en-AU"/>
        </w:rPr>
        <w:t>Administration and Probate Act 1958</w:t>
      </w:r>
      <w:r w:rsidRPr="00865AC1">
        <w:rPr>
          <w:lang w:val="en-AU"/>
        </w:rPr>
        <w:t xml:space="preserve"> (Vic) Pt IV; </w:t>
      </w:r>
      <w:r w:rsidRPr="00865AC1">
        <w:rPr>
          <w:i/>
          <w:lang w:val="en-AU"/>
        </w:rPr>
        <w:t>Family Provision Act 1972</w:t>
      </w:r>
      <w:r w:rsidRPr="00865AC1">
        <w:rPr>
          <w:lang w:val="en-AU"/>
        </w:rPr>
        <w:t xml:space="preserve"> (WA).</w:t>
      </w:r>
    </w:p>
  </w:footnote>
  <w:footnote w:id="5">
    <w:p w14:paraId="73F41281" w14:textId="71620A93" w:rsidR="00780FA1" w:rsidRPr="00865AC1" w:rsidRDefault="00780FA1" w:rsidP="00607671">
      <w:pPr>
        <w:pStyle w:val="FootnoteTextTLRI"/>
        <w:rPr>
          <w:lang w:val="en-AU"/>
        </w:rPr>
      </w:pPr>
      <w:r w:rsidRPr="00865AC1">
        <w:rPr>
          <w:rStyle w:val="FootnoteReference"/>
          <w:lang w:val="en-AU"/>
        </w:rPr>
        <w:footnoteRef/>
      </w:r>
      <w:r w:rsidRPr="00865AC1">
        <w:rPr>
          <w:lang w:val="en-AU"/>
        </w:rPr>
        <w:tab/>
      </w:r>
      <w:r>
        <w:rPr>
          <w:i/>
          <w:lang w:val="en-AU"/>
        </w:rPr>
        <w:t>TFM</w:t>
      </w:r>
      <w:r w:rsidRPr="00865AC1">
        <w:rPr>
          <w:i/>
          <w:lang w:val="en-AU"/>
        </w:rPr>
        <w:t xml:space="preserve"> Act </w:t>
      </w:r>
      <w:r>
        <w:rPr>
          <w:lang w:val="en-AU"/>
        </w:rPr>
        <w:t xml:space="preserve">(n </w:t>
      </w:r>
      <w:r>
        <w:rPr>
          <w:lang w:val="en-AU"/>
        </w:rPr>
        <w:fldChar w:fldCharType="begin"/>
      </w:r>
      <w:r>
        <w:rPr>
          <w:lang w:val="en-AU"/>
        </w:rPr>
        <w:instrText xml:space="preserve"> NOTEREF _Ref2242859 \h </w:instrText>
      </w:r>
      <w:r>
        <w:rPr>
          <w:lang w:val="en-AU"/>
        </w:rPr>
      </w:r>
      <w:r>
        <w:rPr>
          <w:lang w:val="en-AU"/>
        </w:rPr>
        <w:fldChar w:fldCharType="separate"/>
      </w:r>
      <w:r w:rsidR="00A276CE">
        <w:rPr>
          <w:lang w:val="en-AU"/>
        </w:rPr>
        <w:t>4</w:t>
      </w:r>
      <w:r>
        <w:rPr>
          <w:lang w:val="en-AU"/>
        </w:rPr>
        <w:fldChar w:fldCharType="end"/>
      </w:r>
      <w:r>
        <w:rPr>
          <w:lang w:val="en-AU"/>
        </w:rPr>
        <w:t>)</w:t>
      </w:r>
      <w:r w:rsidRPr="00865AC1">
        <w:rPr>
          <w:lang w:val="en-AU"/>
        </w:rPr>
        <w:t xml:space="preserve"> s 3(1).</w:t>
      </w:r>
    </w:p>
  </w:footnote>
  <w:footnote w:id="6">
    <w:p w14:paraId="41ABBDD4" w14:textId="378ABA3E" w:rsidR="00780FA1" w:rsidRPr="00865AC1" w:rsidRDefault="00780FA1" w:rsidP="00607671">
      <w:pPr>
        <w:pStyle w:val="FootnoteTextTLRI"/>
        <w:rPr>
          <w:lang w:val="en-AU"/>
        </w:rPr>
      </w:pPr>
      <w:r w:rsidRPr="00865AC1">
        <w:rPr>
          <w:rStyle w:val="FootnoteReference"/>
          <w:lang w:val="en-AU"/>
        </w:rPr>
        <w:footnoteRef/>
      </w:r>
      <w:r w:rsidRPr="00865AC1">
        <w:rPr>
          <w:lang w:val="en-AU"/>
        </w:rPr>
        <w:tab/>
        <w:t xml:space="preserve">The </w:t>
      </w:r>
      <w:r w:rsidRPr="00865AC1">
        <w:rPr>
          <w:i/>
          <w:lang w:val="en-AU"/>
        </w:rPr>
        <w:t>Probate Rules 2017</w:t>
      </w:r>
      <w:r w:rsidRPr="00865AC1">
        <w:rPr>
          <w:lang w:val="en-AU"/>
        </w:rPr>
        <w:t xml:space="preserve"> (Tas) require those applying to the Court for a Grant to file an inventory of the estate with their application: s 35(1). That inventory must contain details of ‘</w:t>
      </w:r>
      <w:r w:rsidRPr="00865AC1">
        <w:rPr>
          <w:color w:val="000000"/>
          <w:shd w:val="clear" w:color="auto" w:fill="FFFFFF"/>
          <w:lang w:val="en-AU"/>
        </w:rPr>
        <w:t>the real and personal estate which the deceased possessed, or was entitled to, at the time of his or her death’: s 35(2)(a).</w:t>
      </w:r>
    </w:p>
  </w:footnote>
  <w:footnote w:id="7">
    <w:p w14:paraId="7576CE94" w14:textId="6AD914F3" w:rsidR="00780FA1" w:rsidRPr="00865AC1" w:rsidRDefault="00780FA1" w:rsidP="00607671">
      <w:pPr>
        <w:pStyle w:val="FootnoteTextTLRI"/>
        <w:rPr>
          <w:lang w:val="en-AU"/>
        </w:rPr>
      </w:pPr>
      <w:r w:rsidRPr="00865AC1">
        <w:rPr>
          <w:rStyle w:val="FootnoteReference"/>
          <w:lang w:val="en-AU"/>
        </w:rPr>
        <w:footnoteRef/>
      </w:r>
      <w:r w:rsidRPr="00865AC1">
        <w:rPr>
          <w:lang w:val="en-AU"/>
        </w:rPr>
        <w:tab/>
      </w:r>
      <w:r w:rsidRPr="00865AC1">
        <w:rPr>
          <w:i/>
          <w:lang w:val="en-AU"/>
        </w:rPr>
        <w:t>Succession Act 2006</w:t>
      </w:r>
      <w:r w:rsidRPr="00865AC1">
        <w:rPr>
          <w:lang w:val="en-AU"/>
        </w:rPr>
        <w:t xml:space="preserve"> (NSW) Pt 3.2.</w:t>
      </w:r>
    </w:p>
  </w:footnote>
  <w:footnote w:id="8">
    <w:p w14:paraId="69DFFD5F" w14:textId="3D2E9A85" w:rsidR="00780FA1" w:rsidRPr="00865AC1" w:rsidRDefault="00780FA1" w:rsidP="001E2C6D">
      <w:pPr>
        <w:pStyle w:val="FootnoteTextTLRI"/>
        <w:rPr>
          <w:lang w:val="en-AU"/>
        </w:rPr>
      </w:pPr>
      <w:r w:rsidRPr="00865AC1">
        <w:rPr>
          <w:rStyle w:val="FootnoteReference"/>
          <w:lang w:val="en-AU"/>
        </w:rPr>
        <w:footnoteRef/>
      </w:r>
      <w:r w:rsidRPr="00865AC1">
        <w:rPr>
          <w:lang w:val="en-AU"/>
        </w:rPr>
        <w:tab/>
        <w:t xml:space="preserve">Ken Mackie, </w:t>
      </w:r>
      <w:r w:rsidRPr="00865AC1">
        <w:rPr>
          <w:i/>
          <w:lang w:val="en-AU"/>
        </w:rPr>
        <w:t>Principles of Australian Succession Law</w:t>
      </w:r>
      <w:r w:rsidRPr="00865AC1">
        <w:rPr>
          <w:lang w:val="en-AU"/>
        </w:rPr>
        <w:t xml:space="preserve"> (LexisNexis Butterworths, 3</w:t>
      </w:r>
      <w:r w:rsidRPr="00865AC1">
        <w:rPr>
          <w:vertAlign w:val="superscript"/>
          <w:lang w:val="en-AU"/>
        </w:rPr>
        <w:t>rd</w:t>
      </w:r>
      <w:r w:rsidRPr="00865AC1">
        <w:rPr>
          <w:lang w:val="en-AU"/>
        </w:rPr>
        <w:t xml:space="preserve"> ed, 2017) [1.10]. </w:t>
      </w:r>
    </w:p>
  </w:footnote>
  <w:footnote w:id="9">
    <w:p w14:paraId="51081E38" w14:textId="40F65DDD" w:rsidR="00780FA1" w:rsidRPr="00865AC1" w:rsidRDefault="00780FA1" w:rsidP="00F64CC4">
      <w:pPr>
        <w:pStyle w:val="FootnoteTextTLRI"/>
        <w:rPr>
          <w:lang w:val="en-AU"/>
        </w:rPr>
      </w:pPr>
      <w:r w:rsidRPr="00865AC1">
        <w:rPr>
          <w:rStyle w:val="FootnoteReference"/>
          <w:lang w:val="en-AU"/>
        </w:rPr>
        <w:footnoteRef/>
      </w:r>
      <w:r w:rsidRPr="00865AC1">
        <w:rPr>
          <w:lang w:val="en-AU"/>
        </w:rPr>
        <w:tab/>
        <w:t xml:space="preserve">See John Stuart Mill, </w:t>
      </w:r>
      <w:r w:rsidRPr="00865AC1">
        <w:rPr>
          <w:i/>
          <w:lang w:val="en-AU"/>
        </w:rPr>
        <w:t>Principles of Political Economy</w:t>
      </w:r>
      <w:r w:rsidRPr="00865AC1">
        <w:rPr>
          <w:lang w:val="en-AU"/>
        </w:rPr>
        <w:t xml:space="preserve"> (Longman, 1848).</w:t>
      </w:r>
    </w:p>
  </w:footnote>
  <w:footnote w:id="10">
    <w:p w14:paraId="3F7C3C16" w14:textId="54F7CFE6" w:rsidR="00780FA1" w:rsidRPr="00865AC1" w:rsidRDefault="00780FA1" w:rsidP="00F64CC4">
      <w:pPr>
        <w:pStyle w:val="FootnoteTextTLRI"/>
        <w:rPr>
          <w:lang w:val="en-AU"/>
        </w:rPr>
      </w:pPr>
      <w:r w:rsidRPr="00865AC1">
        <w:rPr>
          <w:rStyle w:val="FootnoteReference"/>
          <w:lang w:val="en-AU"/>
        </w:rPr>
        <w:footnoteRef/>
      </w:r>
      <w:r w:rsidRPr="00865AC1">
        <w:rPr>
          <w:lang w:val="en-AU"/>
        </w:rPr>
        <w:tab/>
        <w:t xml:space="preserve">Rosalind Croucher and Prue Vines, </w:t>
      </w:r>
      <w:r w:rsidRPr="00865AC1">
        <w:rPr>
          <w:i/>
          <w:lang w:val="en-AU"/>
        </w:rPr>
        <w:t>Succession: Families, Property and Death</w:t>
      </w:r>
      <w:r w:rsidRPr="00865AC1">
        <w:rPr>
          <w:lang w:val="en-AU"/>
        </w:rPr>
        <w:t xml:space="preserve"> (LexisNexis Butterworths, 2014) 13–14.</w:t>
      </w:r>
    </w:p>
  </w:footnote>
  <w:footnote w:id="11">
    <w:p w14:paraId="1C19E77E" w14:textId="07CA8B0E" w:rsidR="00780FA1" w:rsidRPr="00865AC1" w:rsidRDefault="00780FA1" w:rsidP="00F64CC4">
      <w:pPr>
        <w:pStyle w:val="FootnoteTextTLRI"/>
        <w:rPr>
          <w:lang w:val="en-AU"/>
        </w:rPr>
      </w:pPr>
      <w:r w:rsidRPr="00865AC1">
        <w:rPr>
          <w:rStyle w:val="FootnoteReference"/>
          <w:lang w:val="en-AU"/>
        </w:rPr>
        <w:footnoteRef/>
      </w:r>
      <w:r w:rsidRPr="00865AC1">
        <w:rPr>
          <w:lang w:val="en-AU"/>
        </w:rPr>
        <w:tab/>
        <w:t xml:space="preserve">Mackie (n </w:t>
      </w:r>
      <w:r w:rsidRPr="00865AC1">
        <w:rPr>
          <w:lang w:val="en-AU"/>
        </w:rPr>
        <w:fldChar w:fldCharType="begin"/>
      </w:r>
      <w:r w:rsidRPr="00865AC1">
        <w:rPr>
          <w:lang w:val="en-AU"/>
        </w:rPr>
        <w:instrText xml:space="preserve"> NOTEREF _Ref1471803 \h </w:instrText>
      </w:r>
      <w:r w:rsidRPr="00865AC1">
        <w:rPr>
          <w:lang w:val="en-AU"/>
        </w:rPr>
      </w:r>
      <w:r w:rsidRPr="00865AC1">
        <w:rPr>
          <w:lang w:val="en-AU"/>
        </w:rPr>
        <w:fldChar w:fldCharType="separate"/>
      </w:r>
      <w:r w:rsidR="00A276CE">
        <w:rPr>
          <w:lang w:val="en-AU"/>
        </w:rPr>
        <w:t>8</w:t>
      </w:r>
      <w:r w:rsidRPr="00865AC1">
        <w:rPr>
          <w:lang w:val="en-AU"/>
        </w:rPr>
        <w:fldChar w:fldCharType="end"/>
      </w:r>
      <w:r w:rsidRPr="00865AC1">
        <w:rPr>
          <w:lang w:val="en-AU"/>
        </w:rPr>
        <w:t>) [1.11].</w:t>
      </w:r>
    </w:p>
  </w:footnote>
  <w:footnote w:id="12">
    <w:p w14:paraId="7A3C70F9" w14:textId="38A84F91" w:rsidR="00780FA1" w:rsidRPr="00865AC1" w:rsidRDefault="00780FA1" w:rsidP="00F64CC4">
      <w:pPr>
        <w:pStyle w:val="FootnoteTextTLRI"/>
        <w:rPr>
          <w:lang w:val="en-AU"/>
        </w:rPr>
      </w:pPr>
      <w:r w:rsidRPr="00865AC1">
        <w:rPr>
          <w:rStyle w:val="FootnoteReference"/>
          <w:lang w:val="en-AU"/>
        </w:rPr>
        <w:footnoteRef/>
      </w:r>
      <w:r w:rsidRPr="00865AC1">
        <w:rPr>
          <w:lang w:val="en-AU"/>
        </w:rPr>
        <w:tab/>
        <w:t xml:space="preserve">Thomas Atkinson, </w:t>
      </w:r>
      <w:r w:rsidRPr="00865AC1">
        <w:rPr>
          <w:rStyle w:val="a-size-extra-large3"/>
          <w:i/>
          <w:lang w:val="en-AU"/>
        </w:rPr>
        <w:t>Handbook of the Law of Wills and Other Principles of Succession: Including Intestacy and Administration of Decedents’ Estates</w:t>
      </w:r>
      <w:r w:rsidRPr="00865AC1">
        <w:rPr>
          <w:rStyle w:val="a-size-extra-large3"/>
          <w:lang w:val="en-AU"/>
        </w:rPr>
        <w:t xml:space="preserve"> (West Academic Publishing, 2</w:t>
      </w:r>
      <w:r w:rsidRPr="00865AC1">
        <w:rPr>
          <w:rStyle w:val="a-size-extra-large3"/>
          <w:vertAlign w:val="superscript"/>
          <w:lang w:val="en-AU"/>
        </w:rPr>
        <w:t xml:space="preserve">nd </w:t>
      </w:r>
      <w:r w:rsidRPr="00865AC1">
        <w:rPr>
          <w:rStyle w:val="a-size-extra-large3"/>
          <w:lang w:val="en-AU"/>
        </w:rPr>
        <w:t>ed, 1953) 36.</w:t>
      </w:r>
      <w:r w:rsidRPr="00865AC1">
        <w:rPr>
          <w:lang w:val="en-AU"/>
        </w:rPr>
        <w:t xml:space="preserve"> </w:t>
      </w:r>
    </w:p>
  </w:footnote>
  <w:footnote w:id="13">
    <w:p w14:paraId="32B39934" w14:textId="0E869A8A" w:rsidR="00780FA1" w:rsidRPr="00865AC1" w:rsidRDefault="00780FA1" w:rsidP="00F64CC4">
      <w:pPr>
        <w:pStyle w:val="FootnoteTextTLRI"/>
        <w:rPr>
          <w:lang w:val="en-AU"/>
        </w:rPr>
      </w:pPr>
      <w:r w:rsidRPr="00865AC1">
        <w:rPr>
          <w:rStyle w:val="FootnoteReference"/>
          <w:lang w:val="en-AU"/>
        </w:rPr>
        <w:footnoteRef/>
      </w:r>
      <w:r w:rsidRPr="00865AC1">
        <w:rPr>
          <w:lang w:val="en-AU"/>
        </w:rPr>
        <w:tab/>
        <w:t xml:space="preserve">John De Groot and Bruce Nickel, </w:t>
      </w:r>
      <w:r w:rsidRPr="00865AC1">
        <w:rPr>
          <w:i/>
          <w:lang w:val="en-AU"/>
        </w:rPr>
        <w:t>Family Provision in Australia</w:t>
      </w:r>
      <w:r w:rsidRPr="00865AC1">
        <w:rPr>
          <w:lang w:val="en-AU"/>
        </w:rPr>
        <w:t xml:space="preserve"> (Lexis Nexis Butterworth, 4</w:t>
      </w:r>
      <w:r w:rsidRPr="00865AC1">
        <w:rPr>
          <w:vertAlign w:val="superscript"/>
          <w:lang w:val="en-AU"/>
        </w:rPr>
        <w:t>th</w:t>
      </w:r>
      <w:r w:rsidRPr="00865AC1">
        <w:rPr>
          <w:lang w:val="en-AU"/>
        </w:rPr>
        <w:t xml:space="preserve"> ed, 2012) 3–4.</w:t>
      </w:r>
    </w:p>
  </w:footnote>
  <w:footnote w:id="14">
    <w:p w14:paraId="2F0920C8" w14:textId="7F2E30EF" w:rsidR="00780FA1" w:rsidRPr="00865AC1" w:rsidRDefault="00780FA1" w:rsidP="00A66B8A">
      <w:pPr>
        <w:pStyle w:val="FootnoteTextTLRI"/>
        <w:rPr>
          <w:lang w:val="en-AU"/>
        </w:rPr>
      </w:pPr>
      <w:r w:rsidRPr="00865AC1">
        <w:rPr>
          <w:rStyle w:val="FootnoteReference"/>
          <w:lang w:val="en-AU"/>
        </w:rPr>
        <w:footnoteRef/>
      </w:r>
      <w:r w:rsidRPr="00865AC1">
        <w:rPr>
          <w:lang w:val="en-AU"/>
        </w:rPr>
        <w:tab/>
      </w:r>
      <w:r w:rsidRPr="00865AC1">
        <w:rPr>
          <w:i/>
          <w:lang w:val="en-AU"/>
        </w:rPr>
        <w:t>Widows and Young Children Maintenance Act 1906</w:t>
      </w:r>
      <w:r w:rsidRPr="00865AC1">
        <w:rPr>
          <w:lang w:val="en-AU"/>
        </w:rPr>
        <w:t xml:space="preserve"> (Vic); </w:t>
      </w:r>
      <w:r>
        <w:rPr>
          <w:i/>
          <w:lang w:val="en-AU"/>
        </w:rPr>
        <w:t>TFM</w:t>
      </w:r>
      <w:r w:rsidRPr="00865AC1">
        <w:rPr>
          <w:i/>
          <w:lang w:val="en-AU"/>
        </w:rPr>
        <w:t xml:space="preserve"> Act </w:t>
      </w:r>
      <w:r>
        <w:rPr>
          <w:lang w:val="en-AU"/>
        </w:rPr>
        <w:t xml:space="preserve">(n </w:t>
      </w:r>
      <w:r>
        <w:rPr>
          <w:lang w:val="en-AU"/>
        </w:rPr>
        <w:fldChar w:fldCharType="begin"/>
      </w:r>
      <w:r>
        <w:rPr>
          <w:lang w:val="en-AU"/>
        </w:rPr>
        <w:instrText xml:space="preserve"> NOTEREF _Ref2242859 \h </w:instrText>
      </w:r>
      <w:r>
        <w:rPr>
          <w:lang w:val="en-AU"/>
        </w:rPr>
      </w:r>
      <w:r>
        <w:rPr>
          <w:lang w:val="en-AU"/>
        </w:rPr>
        <w:fldChar w:fldCharType="separate"/>
      </w:r>
      <w:r w:rsidR="00A276CE">
        <w:rPr>
          <w:lang w:val="en-AU"/>
        </w:rPr>
        <w:t>4</w:t>
      </w:r>
      <w:r>
        <w:rPr>
          <w:lang w:val="en-AU"/>
        </w:rPr>
        <w:fldChar w:fldCharType="end"/>
      </w:r>
      <w:r>
        <w:rPr>
          <w:lang w:val="en-AU"/>
        </w:rPr>
        <w:t>)</w:t>
      </w:r>
      <w:r w:rsidRPr="00865AC1">
        <w:rPr>
          <w:lang w:val="en-AU"/>
        </w:rPr>
        <w:t xml:space="preserve">; </w:t>
      </w:r>
      <w:r w:rsidRPr="00865AC1">
        <w:rPr>
          <w:i/>
          <w:lang w:val="en-AU"/>
        </w:rPr>
        <w:t>Testator’s Family Maintenance Act 1914</w:t>
      </w:r>
      <w:r w:rsidRPr="00865AC1">
        <w:rPr>
          <w:lang w:val="en-AU"/>
        </w:rPr>
        <w:t xml:space="preserve"> (Qld); </w:t>
      </w:r>
      <w:r w:rsidRPr="00865AC1">
        <w:rPr>
          <w:i/>
          <w:lang w:val="en-AU"/>
        </w:rPr>
        <w:t>Testator’s Family Maintenance and Guardianship of Infants Act 1916</w:t>
      </w:r>
      <w:r w:rsidRPr="00865AC1">
        <w:rPr>
          <w:lang w:val="en-AU"/>
        </w:rPr>
        <w:t xml:space="preserve"> (NSW); </w:t>
      </w:r>
      <w:r w:rsidRPr="00865AC1">
        <w:rPr>
          <w:i/>
          <w:lang w:val="en-AU"/>
        </w:rPr>
        <w:t>Testator’s Family Maintenance Act 1918</w:t>
      </w:r>
      <w:r w:rsidRPr="00865AC1">
        <w:rPr>
          <w:lang w:val="en-AU"/>
        </w:rPr>
        <w:t xml:space="preserve"> (SA); </w:t>
      </w:r>
      <w:r w:rsidRPr="00865AC1">
        <w:rPr>
          <w:i/>
          <w:lang w:val="en-AU"/>
        </w:rPr>
        <w:t>Guardianship of Infants Act 1920</w:t>
      </w:r>
      <w:r w:rsidRPr="00865AC1">
        <w:rPr>
          <w:lang w:val="en-AU"/>
        </w:rPr>
        <w:t xml:space="preserve"> (WA); </w:t>
      </w:r>
      <w:r w:rsidRPr="00865AC1">
        <w:rPr>
          <w:i/>
          <w:lang w:val="en-AU"/>
        </w:rPr>
        <w:t>Administration and Probate Ordinance 1929</w:t>
      </w:r>
      <w:r w:rsidRPr="00865AC1">
        <w:rPr>
          <w:lang w:val="en-AU"/>
        </w:rPr>
        <w:t xml:space="preserve"> (ACT); </w:t>
      </w:r>
      <w:r w:rsidRPr="00865AC1">
        <w:rPr>
          <w:i/>
          <w:lang w:val="en-AU"/>
        </w:rPr>
        <w:t>Testator’s Family Maintenance Ordinance 1929</w:t>
      </w:r>
      <w:r w:rsidRPr="00865AC1">
        <w:rPr>
          <w:lang w:val="en-AU"/>
        </w:rPr>
        <w:t xml:space="preserve"> (NT).</w:t>
      </w:r>
    </w:p>
  </w:footnote>
  <w:footnote w:id="15">
    <w:p w14:paraId="0C3B57AD" w14:textId="5A9930AA" w:rsidR="00780FA1" w:rsidRPr="00865AC1" w:rsidRDefault="00780FA1" w:rsidP="00A66B8A">
      <w:pPr>
        <w:pStyle w:val="FootnoteTextTLRI"/>
        <w:rPr>
          <w:lang w:val="en-AU"/>
        </w:rPr>
      </w:pPr>
      <w:r w:rsidRPr="00865AC1">
        <w:rPr>
          <w:rStyle w:val="FootnoteReference"/>
          <w:lang w:val="en-AU"/>
        </w:rPr>
        <w:footnoteRef/>
      </w:r>
      <w:r w:rsidRPr="00865AC1">
        <w:rPr>
          <w:lang w:val="en-AU"/>
        </w:rPr>
        <w:tab/>
      </w:r>
      <w:r w:rsidRPr="00865AC1">
        <w:rPr>
          <w:i/>
          <w:lang w:val="en-AU"/>
        </w:rPr>
        <w:t>Inheritance (Family Provision) Act 1938</w:t>
      </w:r>
      <w:r w:rsidRPr="00865AC1">
        <w:rPr>
          <w:lang w:val="en-AU"/>
        </w:rPr>
        <w:t xml:space="preserve"> 1 &amp; 2 Geo 6, c 45. For a brief history of family provision law see Gino Dal Pont and Ken Mackie, </w:t>
      </w:r>
      <w:r w:rsidRPr="00D902B1">
        <w:rPr>
          <w:i/>
          <w:lang w:val="en-AU"/>
        </w:rPr>
        <w:t>Law of Succession</w:t>
      </w:r>
      <w:r w:rsidRPr="00865AC1">
        <w:rPr>
          <w:lang w:val="en-AU"/>
        </w:rPr>
        <w:t xml:space="preserve"> </w:t>
      </w:r>
      <w:r>
        <w:rPr>
          <w:lang w:val="en-AU"/>
        </w:rPr>
        <w:t>(</w:t>
      </w:r>
      <w:r w:rsidRPr="00865AC1">
        <w:rPr>
          <w:lang w:val="en-AU"/>
        </w:rPr>
        <w:t>Lexis Nexis Butterworth</w:t>
      </w:r>
      <w:r>
        <w:rPr>
          <w:lang w:val="en-AU"/>
        </w:rPr>
        <w:t>,</w:t>
      </w:r>
      <w:r w:rsidRPr="00865AC1">
        <w:rPr>
          <w:lang w:val="en-AU"/>
        </w:rPr>
        <w:t xml:space="preserve"> 2</w:t>
      </w:r>
      <w:r w:rsidRPr="00865AC1">
        <w:rPr>
          <w:vertAlign w:val="superscript"/>
          <w:lang w:val="en-AU"/>
        </w:rPr>
        <w:t>nd</w:t>
      </w:r>
      <w:r w:rsidRPr="00865AC1">
        <w:rPr>
          <w:lang w:val="en-AU"/>
        </w:rPr>
        <w:t xml:space="preserve"> </w:t>
      </w:r>
      <w:r>
        <w:rPr>
          <w:lang w:val="en-AU"/>
        </w:rPr>
        <w:t>e</w:t>
      </w:r>
      <w:r w:rsidRPr="00865AC1">
        <w:rPr>
          <w:lang w:val="en-AU"/>
        </w:rPr>
        <w:t>d, 2017</w:t>
      </w:r>
      <w:r>
        <w:rPr>
          <w:lang w:val="en-AU"/>
        </w:rPr>
        <w:t>) [</w:t>
      </w:r>
      <w:r w:rsidRPr="00865AC1">
        <w:rPr>
          <w:lang w:val="en-AU"/>
        </w:rPr>
        <w:t>15.5</w:t>
      </w:r>
      <w:r>
        <w:rPr>
          <w:lang w:val="en-AU"/>
        </w:rPr>
        <w:t>]</w:t>
      </w:r>
      <w:r w:rsidRPr="00865AC1">
        <w:rPr>
          <w:lang w:val="en-AU"/>
        </w:rPr>
        <w:t>–</w:t>
      </w:r>
      <w:r>
        <w:rPr>
          <w:lang w:val="en-AU"/>
        </w:rPr>
        <w:t>[</w:t>
      </w:r>
      <w:r w:rsidRPr="00865AC1">
        <w:rPr>
          <w:lang w:val="en-AU"/>
        </w:rPr>
        <w:t>15.8</w:t>
      </w:r>
      <w:r>
        <w:rPr>
          <w:lang w:val="en-AU"/>
        </w:rPr>
        <w:t>].</w:t>
      </w:r>
    </w:p>
  </w:footnote>
  <w:footnote w:id="16">
    <w:p w14:paraId="5B9F321B" w14:textId="5DD30C52" w:rsidR="00780FA1" w:rsidRPr="00865AC1" w:rsidRDefault="00780FA1" w:rsidP="00A66B8A">
      <w:pPr>
        <w:pStyle w:val="FootnoteTextTLRI"/>
        <w:rPr>
          <w:lang w:val="en-AU"/>
        </w:rPr>
      </w:pPr>
      <w:r w:rsidRPr="00865AC1">
        <w:rPr>
          <w:rStyle w:val="FootnoteReference"/>
          <w:lang w:val="en-AU"/>
        </w:rPr>
        <w:footnoteRef/>
      </w:r>
      <w:r w:rsidRPr="00865AC1">
        <w:rPr>
          <w:lang w:val="en-AU"/>
        </w:rPr>
        <w:tab/>
        <w:t xml:space="preserve">New South Wales, </w:t>
      </w:r>
      <w:r w:rsidRPr="00D902B1">
        <w:rPr>
          <w:i/>
          <w:lang w:val="en-AU"/>
        </w:rPr>
        <w:t>Parliamentary Debates</w:t>
      </w:r>
      <w:r w:rsidRPr="00D902B1">
        <w:rPr>
          <w:lang w:val="en-AU"/>
        </w:rPr>
        <w:t>,</w:t>
      </w:r>
      <w:r w:rsidRPr="00865AC1">
        <w:rPr>
          <w:lang w:val="en-AU"/>
        </w:rPr>
        <w:t xml:space="preserve"> Legislative Assembly, 3 August 1916, 578 (D R Hall, Attorney General and Minister for Justice).</w:t>
      </w:r>
    </w:p>
  </w:footnote>
  <w:footnote w:id="17">
    <w:p w14:paraId="5E311D00" w14:textId="23E5B261" w:rsidR="00780FA1" w:rsidRPr="00865AC1" w:rsidRDefault="00780FA1" w:rsidP="00A66B8A">
      <w:pPr>
        <w:pStyle w:val="FootnoteTextTLRI"/>
        <w:rPr>
          <w:lang w:val="en-AU"/>
        </w:rPr>
      </w:pPr>
      <w:r w:rsidRPr="00865AC1">
        <w:rPr>
          <w:rStyle w:val="FootnoteReference"/>
          <w:lang w:val="en-AU"/>
        </w:rPr>
        <w:footnoteRef/>
      </w:r>
      <w:r w:rsidRPr="00865AC1">
        <w:rPr>
          <w:lang w:val="en-AU"/>
        </w:rPr>
        <w:tab/>
        <w:t xml:space="preserve">The </w:t>
      </w:r>
      <w:r>
        <w:rPr>
          <w:i/>
          <w:lang w:val="en-AU"/>
        </w:rPr>
        <w:t>TFM</w:t>
      </w:r>
      <w:r w:rsidRPr="00865AC1">
        <w:rPr>
          <w:i/>
          <w:lang w:val="en-AU"/>
        </w:rPr>
        <w:t xml:space="preserve"> Act</w:t>
      </w:r>
      <w:r w:rsidRPr="00865AC1">
        <w:rPr>
          <w:lang w:val="en-AU"/>
        </w:rPr>
        <w:t xml:space="preserve"> is set out in full in Appendix A</w:t>
      </w:r>
      <w:r>
        <w:rPr>
          <w:lang w:val="en-AU"/>
        </w:rPr>
        <w:t>.</w:t>
      </w:r>
    </w:p>
  </w:footnote>
  <w:footnote w:id="18">
    <w:p w14:paraId="433073BA" w14:textId="62F65EF7" w:rsidR="00780FA1" w:rsidRPr="00865AC1" w:rsidRDefault="00780FA1" w:rsidP="00A66B8A">
      <w:pPr>
        <w:pStyle w:val="FootnoteTextTLRI"/>
        <w:rPr>
          <w:lang w:val="en-AU"/>
        </w:rPr>
      </w:pPr>
      <w:r w:rsidRPr="00865AC1">
        <w:rPr>
          <w:rStyle w:val="FootnoteReference"/>
          <w:lang w:val="en-AU"/>
        </w:rPr>
        <w:footnoteRef/>
      </w:r>
      <w:r w:rsidRPr="00865AC1">
        <w:rPr>
          <w:lang w:val="en-AU"/>
        </w:rPr>
        <w:tab/>
        <w:t>Ibid s 3(1).</w:t>
      </w:r>
    </w:p>
  </w:footnote>
  <w:footnote w:id="19">
    <w:p w14:paraId="4E718D52" w14:textId="59BD3359"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 xml:space="preserve">This is the so-called ‘twin tasks’ approach. See </w:t>
      </w:r>
      <w:r w:rsidRPr="00A26E7A">
        <w:rPr>
          <w:i/>
          <w:lang w:val="en-AU"/>
        </w:rPr>
        <w:t>Singer v Berghouse</w:t>
      </w:r>
      <w:r w:rsidRPr="00A26E7A">
        <w:rPr>
          <w:lang w:val="en-AU"/>
        </w:rPr>
        <w:t xml:space="preserve"> (1994) 181 CLR 201, 15 (Mason CJ, Deane and McHugh JJ</w:t>
      </w:r>
      <w:r>
        <w:rPr>
          <w:lang w:val="en-AU"/>
        </w:rPr>
        <w:t>)</w:t>
      </w:r>
      <w:r w:rsidRPr="00865AC1">
        <w:rPr>
          <w:lang w:val="en-AU"/>
        </w:rPr>
        <w:t>.</w:t>
      </w:r>
    </w:p>
  </w:footnote>
  <w:footnote w:id="20">
    <w:p w14:paraId="754774AD" w14:textId="54510B44"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r>
      <w:r w:rsidRPr="00865AC1">
        <w:rPr>
          <w:i/>
          <w:lang w:val="en-AU"/>
        </w:rPr>
        <w:t>Bosch v Perpetual Trustee Co Ltd</w:t>
      </w:r>
      <w:r w:rsidRPr="00865AC1">
        <w:rPr>
          <w:lang w:val="en-AU"/>
        </w:rPr>
        <w:t xml:space="preserve"> (1938) AC 463.</w:t>
      </w:r>
    </w:p>
  </w:footnote>
  <w:footnote w:id="21">
    <w:p w14:paraId="515414A5" w14:textId="773B94F4"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 xml:space="preserve">See </w:t>
      </w:r>
      <w:r w:rsidRPr="00865AC1">
        <w:rPr>
          <w:i/>
          <w:lang w:val="en-AU"/>
        </w:rPr>
        <w:t>Foley v Ellis</w:t>
      </w:r>
      <w:r w:rsidRPr="00865AC1">
        <w:rPr>
          <w:lang w:val="en-AU"/>
        </w:rPr>
        <w:t xml:space="preserve"> [2008] NSWCA 288, [3] (Basten JA).</w:t>
      </w:r>
    </w:p>
  </w:footnote>
  <w:footnote w:id="22">
    <w:p w14:paraId="21A8EB44" w14:textId="30025572"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[1910] 29 NZLR 959, 972–3.</w:t>
      </w:r>
    </w:p>
  </w:footnote>
  <w:footnote w:id="23">
    <w:p w14:paraId="685643B4" w14:textId="68B2B94B"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Although not in New South Wales, where it is regarded as a ‘gloss’ on the legislati</w:t>
      </w:r>
      <w:r w:rsidR="00151AE1">
        <w:rPr>
          <w:lang w:val="en-AU"/>
        </w:rPr>
        <w:t>ve</w:t>
      </w:r>
      <w:r w:rsidRPr="00865AC1">
        <w:rPr>
          <w:lang w:val="en-AU"/>
        </w:rPr>
        <w:t xml:space="preserve"> provisions. </w:t>
      </w:r>
      <w:r w:rsidR="00AE24E5">
        <w:rPr>
          <w:lang w:val="en-AU"/>
        </w:rPr>
        <w:t>See for example,</w:t>
      </w:r>
      <w:r w:rsidRPr="00865AC1">
        <w:rPr>
          <w:lang w:val="en-AU"/>
        </w:rPr>
        <w:t xml:space="preserve"> </w:t>
      </w:r>
      <w:r w:rsidRPr="00865AC1">
        <w:rPr>
          <w:i/>
          <w:lang w:val="en-AU"/>
        </w:rPr>
        <w:t xml:space="preserve">Permanent Trustee Co Ltd v Fraser </w:t>
      </w:r>
      <w:r w:rsidRPr="00865AC1">
        <w:rPr>
          <w:lang w:val="en-AU"/>
        </w:rPr>
        <w:t>[1995] 36 NSWLR 24.</w:t>
      </w:r>
    </w:p>
  </w:footnote>
  <w:footnote w:id="24">
    <w:p w14:paraId="50702C7A" w14:textId="38F33DDE"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(2005) 312 ALR 692.</w:t>
      </w:r>
    </w:p>
  </w:footnote>
  <w:footnote w:id="25">
    <w:p w14:paraId="7A672739" w14:textId="741A36B8"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 xml:space="preserve">See </w:t>
      </w:r>
      <w:r>
        <w:rPr>
          <w:lang w:val="en-AU"/>
        </w:rPr>
        <w:t>for example</w:t>
      </w:r>
      <w:r w:rsidR="00AE24E5">
        <w:rPr>
          <w:lang w:val="en-AU"/>
        </w:rPr>
        <w:t>,</w:t>
      </w:r>
      <w:r w:rsidRPr="00865AC1">
        <w:rPr>
          <w:lang w:val="en-AU"/>
        </w:rPr>
        <w:t xml:space="preserve"> </w:t>
      </w:r>
      <w:r w:rsidRPr="00865AC1">
        <w:rPr>
          <w:i/>
          <w:lang w:val="en-AU"/>
        </w:rPr>
        <w:t>Lee v Hearn</w:t>
      </w:r>
      <w:r w:rsidRPr="00865AC1">
        <w:rPr>
          <w:lang w:val="en-AU"/>
        </w:rPr>
        <w:t xml:space="preserve"> </w:t>
      </w:r>
      <w:r>
        <w:rPr>
          <w:lang w:val="en-AU"/>
        </w:rPr>
        <w:t>[</w:t>
      </w:r>
      <w:r w:rsidRPr="00865AC1">
        <w:rPr>
          <w:lang w:val="en-AU"/>
        </w:rPr>
        <w:t>2005</w:t>
      </w:r>
      <w:r>
        <w:rPr>
          <w:lang w:val="en-AU"/>
        </w:rPr>
        <w:t>]</w:t>
      </w:r>
      <w:r w:rsidRPr="00865AC1">
        <w:rPr>
          <w:lang w:val="en-AU"/>
        </w:rPr>
        <w:t xml:space="preserve"> </w:t>
      </w:r>
      <w:r w:rsidRPr="00A26E7A">
        <w:rPr>
          <w:lang w:val="en-AU"/>
        </w:rPr>
        <w:t>VSCA 127, [8]</w:t>
      </w:r>
      <w:r w:rsidRPr="00865AC1">
        <w:rPr>
          <w:lang w:val="en-AU"/>
        </w:rPr>
        <w:t xml:space="preserve"> (Callaway JA). </w:t>
      </w:r>
    </w:p>
  </w:footnote>
  <w:footnote w:id="26">
    <w:p w14:paraId="24C23DB2" w14:textId="0174D33B"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r>
      <w:r>
        <w:rPr>
          <w:i/>
          <w:lang w:val="en-AU"/>
        </w:rPr>
        <w:t>TFM</w:t>
      </w:r>
      <w:r w:rsidRPr="00865AC1">
        <w:rPr>
          <w:i/>
          <w:lang w:val="en-AU"/>
        </w:rPr>
        <w:t xml:space="preserve"> Act </w:t>
      </w:r>
      <w:r>
        <w:rPr>
          <w:lang w:val="en-AU"/>
        </w:rPr>
        <w:t xml:space="preserve">(n </w:t>
      </w:r>
      <w:r>
        <w:rPr>
          <w:lang w:val="en-AU"/>
        </w:rPr>
        <w:fldChar w:fldCharType="begin"/>
      </w:r>
      <w:r>
        <w:rPr>
          <w:lang w:val="en-AU"/>
        </w:rPr>
        <w:instrText xml:space="preserve"> NOTEREF _Ref2242859 \h </w:instrText>
      </w:r>
      <w:r>
        <w:rPr>
          <w:lang w:val="en-AU"/>
        </w:rPr>
      </w:r>
      <w:r>
        <w:rPr>
          <w:lang w:val="en-AU"/>
        </w:rPr>
        <w:fldChar w:fldCharType="separate"/>
      </w:r>
      <w:r w:rsidR="00A276CE">
        <w:rPr>
          <w:lang w:val="en-AU"/>
        </w:rPr>
        <w:t>4</w:t>
      </w:r>
      <w:r>
        <w:rPr>
          <w:lang w:val="en-AU"/>
        </w:rPr>
        <w:fldChar w:fldCharType="end"/>
      </w:r>
      <w:r>
        <w:rPr>
          <w:lang w:val="en-AU"/>
        </w:rPr>
        <w:t>)</w:t>
      </w:r>
      <w:r w:rsidRPr="00865AC1">
        <w:rPr>
          <w:lang w:val="en-AU"/>
        </w:rPr>
        <w:t xml:space="preserve"> s 7.</w:t>
      </w:r>
    </w:p>
  </w:footnote>
  <w:footnote w:id="27">
    <w:p w14:paraId="029CFAD9" w14:textId="52018E44"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Ibid.</w:t>
      </w:r>
    </w:p>
  </w:footnote>
  <w:footnote w:id="28">
    <w:p w14:paraId="28B0901B" w14:textId="20BB9741"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Ibid s 8A.</w:t>
      </w:r>
    </w:p>
  </w:footnote>
  <w:footnote w:id="29">
    <w:p w14:paraId="40FF3E98" w14:textId="57A65634" w:rsidR="00780FA1" w:rsidRPr="00865AC1" w:rsidRDefault="00780FA1" w:rsidP="009F2095">
      <w:pPr>
        <w:pStyle w:val="FootnoteTextTLRI"/>
        <w:rPr>
          <w:lang w:val="en-AU"/>
        </w:rPr>
      </w:pPr>
      <w:r w:rsidRPr="00865AC1">
        <w:rPr>
          <w:rStyle w:val="FootnoteReference"/>
          <w:rFonts w:eastAsia="Times New Roman"/>
          <w:lang w:val="en-AU"/>
        </w:rPr>
        <w:footnoteRef/>
      </w:r>
      <w:r w:rsidRPr="00865AC1">
        <w:rPr>
          <w:lang w:val="en-AU"/>
        </w:rPr>
        <w:tab/>
        <w:t>Ibid s 8.</w:t>
      </w:r>
    </w:p>
  </w:footnote>
  <w:footnote w:id="30">
    <w:p w14:paraId="79EF409C" w14:textId="2345EE92"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Ibid s 2(1) definition of ‘spouse’.</w:t>
      </w:r>
    </w:p>
  </w:footnote>
  <w:footnote w:id="31">
    <w:p w14:paraId="6A8EA84A" w14:textId="32872782"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Defined to mean a child of the parent’s spouse, and a child whose natural parent was the spouse of that person at the time of the natural parent’s death: ibid, s 2(1) definition of ‘stepchild’.</w:t>
      </w:r>
    </w:p>
  </w:footnote>
  <w:footnote w:id="32">
    <w:p w14:paraId="7DDB1664" w14:textId="092DBCE2"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Ibid definition of ‘child’.</w:t>
      </w:r>
    </w:p>
  </w:footnote>
  <w:footnote w:id="33">
    <w:p w14:paraId="58F6EFAA" w14:textId="5F3180F9"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Ibid s 3A.</w:t>
      </w:r>
    </w:p>
  </w:footnote>
  <w:footnote w:id="34">
    <w:p w14:paraId="145537FC" w14:textId="4CE7414A"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r>
      <w:r w:rsidRPr="00865AC1">
        <w:rPr>
          <w:i/>
          <w:lang w:val="en-AU"/>
        </w:rPr>
        <w:t>Succession Act 2006</w:t>
      </w:r>
      <w:r w:rsidRPr="00865AC1">
        <w:rPr>
          <w:lang w:val="en-AU"/>
        </w:rPr>
        <w:t xml:space="preserve"> (NSW) s 57(1)(e); </w:t>
      </w:r>
      <w:r w:rsidRPr="00865AC1">
        <w:rPr>
          <w:i/>
          <w:lang w:val="en-AU"/>
        </w:rPr>
        <w:t>Administration and Probate Act 1958</w:t>
      </w:r>
      <w:r w:rsidRPr="00865AC1">
        <w:rPr>
          <w:lang w:val="en-AU"/>
        </w:rPr>
        <w:t xml:space="preserve"> (Vic) s 90, definition of ‘eligible person’, s 91(2)(b); </w:t>
      </w:r>
      <w:r w:rsidRPr="00865AC1">
        <w:rPr>
          <w:i/>
          <w:lang w:val="en-AU"/>
        </w:rPr>
        <w:t>Succession Act 1981</w:t>
      </w:r>
      <w:r w:rsidRPr="00865AC1">
        <w:rPr>
          <w:lang w:val="en-AU"/>
        </w:rPr>
        <w:t xml:space="preserve"> (Qld</w:t>
      </w:r>
      <w:r w:rsidRPr="00C71B62">
        <w:rPr>
          <w:lang w:val="en-AU"/>
        </w:rPr>
        <w:t xml:space="preserve">) </w:t>
      </w:r>
      <w:r w:rsidRPr="00DD0011">
        <w:rPr>
          <w:lang w:val="en-AU"/>
        </w:rPr>
        <w:t>ss 41(1), 40</w:t>
      </w:r>
      <w:r w:rsidRPr="00C71B62">
        <w:rPr>
          <w:lang w:val="en-AU"/>
        </w:rPr>
        <w:t xml:space="preserve"> (definition</w:t>
      </w:r>
      <w:r w:rsidRPr="00865AC1">
        <w:rPr>
          <w:lang w:val="en-AU"/>
        </w:rPr>
        <w:t xml:space="preserve"> of ‘dependant’).</w:t>
      </w:r>
    </w:p>
  </w:footnote>
  <w:footnote w:id="35">
    <w:p w14:paraId="24516F41" w14:textId="3C7D8AE3"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 xml:space="preserve">Defined to mean a close personal relationship (other than a marriage or a de facto relationship) between two adult persons, whether or not related by family, who are living together, one or each of whom provides the other with domestic support and personal care: </w:t>
      </w:r>
      <w:r w:rsidRPr="00865AC1">
        <w:rPr>
          <w:i/>
          <w:lang w:val="en-AU"/>
        </w:rPr>
        <w:t>Succession Act 2006</w:t>
      </w:r>
      <w:r w:rsidRPr="00865AC1">
        <w:rPr>
          <w:lang w:val="en-AU"/>
        </w:rPr>
        <w:t xml:space="preserve"> (NSW)</w:t>
      </w:r>
      <w:r>
        <w:rPr>
          <w:lang w:val="en-AU"/>
        </w:rPr>
        <w:t xml:space="preserve"> s</w:t>
      </w:r>
      <w:r w:rsidR="004376AD">
        <w:rPr>
          <w:lang w:val="en-AU"/>
        </w:rPr>
        <w:t xml:space="preserve"> </w:t>
      </w:r>
      <w:r w:rsidRPr="00865AC1">
        <w:rPr>
          <w:lang w:val="en-AU"/>
        </w:rPr>
        <w:t>3(3).</w:t>
      </w:r>
    </w:p>
  </w:footnote>
  <w:footnote w:id="36">
    <w:p w14:paraId="6325C6A2" w14:textId="122EBE60"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t>Ibid s</w:t>
      </w:r>
      <w:r>
        <w:rPr>
          <w:lang w:val="en-AU"/>
        </w:rPr>
        <w:t xml:space="preserve"> </w:t>
      </w:r>
      <w:r w:rsidRPr="00865AC1">
        <w:rPr>
          <w:lang w:val="en-AU"/>
        </w:rPr>
        <w:t>57(1)(f)</w:t>
      </w:r>
      <w:r>
        <w:rPr>
          <w:lang w:val="en-AU"/>
        </w:rPr>
        <w:t>.</w:t>
      </w:r>
    </w:p>
  </w:footnote>
  <w:footnote w:id="37">
    <w:p w14:paraId="3B4233A1" w14:textId="0B5508EA"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r>
      <w:r w:rsidRPr="00865AC1">
        <w:rPr>
          <w:i/>
          <w:lang w:val="en-AU"/>
        </w:rPr>
        <w:t>Administration and Probate Act 1958</w:t>
      </w:r>
      <w:r w:rsidRPr="00865AC1">
        <w:rPr>
          <w:lang w:val="en-AU"/>
        </w:rPr>
        <w:t xml:space="preserve"> (Vic) s</w:t>
      </w:r>
      <w:r>
        <w:rPr>
          <w:lang w:val="en-AU"/>
        </w:rPr>
        <w:t xml:space="preserve"> </w:t>
      </w:r>
      <w:r w:rsidRPr="00865AC1">
        <w:rPr>
          <w:lang w:val="en-AU"/>
        </w:rPr>
        <w:t xml:space="preserve">90, definition of </w:t>
      </w:r>
      <w:r>
        <w:rPr>
          <w:lang w:val="en-AU"/>
        </w:rPr>
        <w:t>‘</w:t>
      </w:r>
      <w:r w:rsidRPr="00865AC1">
        <w:rPr>
          <w:lang w:val="en-AU"/>
        </w:rPr>
        <w:t>eligible person</w:t>
      </w:r>
      <w:r>
        <w:rPr>
          <w:lang w:val="en-AU"/>
        </w:rPr>
        <w:t>’</w:t>
      </w:r>
      <w:r w:rsidRPr="00865AC1">
        <w:rPr>
          <w:lang w:val="en-AU"/>
        </w:rPr>
        <w:t xml:space="preserve">; </w:t>
      </w:r>
      <w:r w:rsidRPr="00865AC1">
        <w:rPr>
          <w:i/>
          <w:lang w:val="en-AU"/>
        </w:rPr>
        <w:t>Family Provision Act 1969</w:t>
      </w:r>
      <w:r w:rsidRPr="00865AC1">
        <w:rPr>
          <w:lang w:val="en-AU"/>
        </w:rPr>
        <w:t xml:space="preserve"> (ACT) ss 7(1)(e), 7(3); </w:t>
      </w:r>
      <w:r w:rsidRPr="00865AC1">
        <w:rPr>
          <w:i/>
          <w:lang w:val="en-AU"/>
        </w:rPr>
        <w:t>Family Provision Act 1972</w:t>
      </w:r>
      <w:r w:rsidRPr="00865AC1">
        <w:rPr>
          <w:lang w:val="en-AU"/>
        </w:rPr>
        <w:t xml:space="preserve"> (WA) s</w:t>
      </w:r>
      <w:r>
        <w:rPr>
          <w:lang w:val="en-AU"/>
        </w:rPr>
        <w:t xml:space="preserve"> </w:t>
      </w:r>
      <w:r w:rsidRPr="00865AC1">
        <w:rPr>
          <w:lang w:val="en-AU"/>
        </w:rPr>
        <w:t xml:space="preserve">7(1)(d); </w:t>
      </w:r>
      <w:r w:rsidRPr="00865AC1">
        <w:rPr>
          <w:i/>
          <w:lang w:val="en-AU"/>
        </w:rPr>
        <w:t>Inheritance (Family Provision) Act 1972</w:t>
      </w:r>
      <w:r w:rsidRPr="00865AC1">
        <w:rPr>
          <w:lang w:val="en-AU"/>
        </w:rPr>
        <w:t xml:space="preserve"> (SA) s</w:t>
      </w:r>
      <w:r>
        <w:rPr>
          <w:lang w:val="en-AU"/>
        </w:rPr>
        <w:t xml:space="preserve"> </w:t>
      </w:r>
      <w:r w:rsidRPr="00865AC1">
        <w:rPr>
          <w:lang w:val="en-AU"/>
        </w:rPr>
        <w:t xml:space="preserve">6(h); </w:t>
      </w:r>
      <w:r w:rsidRPr="00865AC1">
        <w:rPr>
          <w:i/>
          <w:lang w:val="en-AU"/>
        </w:rPr>
        <w:t>Family Provision Act 1970</w:t>
      </w:r>
      <w:r w:rsidRPr="00865AC1">
        <w:rPr>
          <w:lang w:val="en-AU"/>
        </w:rPr>
        <w:t xml:space="preserve"> (NT) ss 7(1)(e), 7(3)</w:t>
      </w:r>
      <w:r>
        <w:rPr>
          <w:lang w:val="en-AU"/>
        </w:rPr>
        <w:t>.</w:t>
      </w:r>
    </w:p>
  </w:footnote>
  <w:footnote w:id="38">
    <w:p w14:paraId="75C38E36" w14:textId="363D0E3B" w:rsidR="00780FA1" w:rsidRPr="00865AC1" w:rsidRDefault="00780FA1" w:rsidP="00324A8F">
      <w:pPr>
        <w:pStyle w:val="FootnoteTextTLRI"/>
        <w:rPr>
          <w:lang w:val="en-AU"/>
        </w:rPr>
      </w:pPr>
      <w:r w:rsidRPr="00865AC1">
        <w:rPr>
          <w:rStyle w:val="FootnoteReference"/>
          <w:rFonts w:eastAsia="Times New Roman"/>
          <w:lang w:val="en-AU"/>
        </w:rPr>
        <w:footnoteRef/>
      </w:r>
      <w:r w:rsidRPr="00865AC1">
        <w:rPr>
          <w:lang w:val="en-AU"/>
        </w:rPr>
        <w:tab/>
      </w:r>
      <w:r w:rsidRPr="00865AC1">
        <w:rPr>
          <w:i/>
          <w:lang w:val="en-AU"/>
        </w:rPr>
        <w:t>Inheritance (Family Provision) Act 1972</w:t>
      </w:r>
      <w:r w:rsidRPr="00865AC1">
        <w:rPr>
          <w:lang w:val="en-AU"/>
        </w:rPr>
        <w:t xml:space="preserve"> (SA)</w:t>
      </w:r>
      <w:r>
        <w:rPr>
          <w:lang w:val="en-AU"/>
        </w:rPr>
        <w:t xml:space="preserve"> s</w:t>
      </w:r>
      <w:r w:rsidRPr="00865AC1">
        <w:rPr>
          <w:lang w:val="en-AU"/>
        </w:rPr>
        <w:t xml:space="preserve"> 6(j).</w:t>
      </w:r>
    </w:p>
  </w:footnote>
  <w:footnote w:id="39">
    <w:p w14:paraId="20A0A2CF" w14:textId="779A96D2" w:rsidR="00780FA1" w:rsidRPr="00865AC1" w:rsidRDefault="00780FA1" w:rsidP="00694350">
      <w:pPr>
        <w:pStyle w:val="FootnoteTextTLRI"/>
      </w:pPr>
      <w:r w:rsidRPr="00865AC1">
        <w:rPr>
          <w:rStyle w:val="FootnoteReference"/>
          <w:rFonts w:ascii="Garamond" w:hAnsi="Garamond"/>
          <w:szCs w:val="20"/>
          <w:lang w:val="en-AU"/>
        </w:rPr>
        <w:footnoteRef/>
      </w:r>
      <w:r>
        <w:tab/>
      </w:r>
      <w:r w:rsidRPr="00865AC1">
        <w:t xml:space="preserve">Dal Pont and Mackie </w:t>
      </w:r>
      <w:r>
        <w:t xml:space="preserve">(n </w:t>
      </w:r>
      <w:r>
        <w:fldChar w:fldCharType="begin"/>
      </w:r>
      <w:r>
        <w:instrText xml:space="preserve"> NOTEREF _Ref1668849 \h </w:instrText>
      </w:r>
      <w:r>
        <w:fldChar w:fldCharType="separate"/>
      </w:r>
      <w:r w:rsidR="00A276CE">
        <w:t>15</w:t>
      </w:r>
      <w:r>
        <w:fldChar w:fldCharType="end"/>
      </w:r>
      <w:r>
        <w:t xml:space="preserve">) </w:t>
      </w:r>
      <w:r w:rsidRPr="00865AC1">
        <w:t>[20.3]</w:t>
      </w:r>
      <w:r>
        <w:t>.</w:t>
      </w:r>
    </w:p>
  </w:footnote>
  <w:footnote w:id="40">
    <w:p w14:paraId="3C337A15" w14:textId="06C790F8" w:rsidR="00780FA1" w:rsidRPr="00865AC1" w:rsidRDefault="00780FA1" w:rsidP="00694350">
      <w:pPr>
        <w:pStyle w:val="FootnoteTextTLRI"/>
      </w:pPr>
      <w:r w:rsidRPr="00865AC1">
        <w:rPr>
          <w:rStyle w:val="FootnoteReference"/>
          <w:rFonts w:ascii="Garamond" w:hAnsi="Garamond"/>
          <w:szCs w:val="20"/>
          <w:lang w:val="en-AU"/>
        </w:rPr>
        <w:footnoteRef/>
      </w:r>
      <w:r>
        <w:tab/>
        <w:t>A person’s estate can also include assets that they are entitled to, for example debts owed to them by third parties.</w:t>
      </w:r>
    </w:p>
  </w:footnote>
  <w:footnote w:id="41">
    <w:p w14:paraId="4D92A2DC" w14:textId="7A45A4EF" w:rsidR="00780FA1" w:rsidRPr="00FA29DE" w:rsidRDefault="00780FA1" w:rsidP="00FA29DE">
      <w:pPr>
        <w:pStyle w:val="FootnoteTextTLRI"/>
      </w:pPr>
      <w:r w:rsidRPr="00FA29DE">
        <w:rPr>
          <w:rStyle w:val="FootnoteReference"/>
        </w:rPr>
        <w:footnoteRef/>
      </w:r>
      <w:r>
        <w:tab/>
      </w:r>
      <w:r w:rsidRPr="00FA29DE">
        <w:t>(1998) 194 CLR</w:t>
      </w:r>
      <w:r>
        <w:t xml:space="preserve"> </w:t>
      </w:r>
      <w:r w:rsidRPr="00FA29DE">
        <w:t>457</w:t>
      </w:r>
      <w:r>
        <w:t>.</w:t>
      </w:r>
    </w:p>
  </w:footnote>
  <w:footnote w:id="42">
    <w:p w14:paraId="06CF1CEB" w14:textId="4ADC77A5" w:rsidR="00780FA1" w:rsidRPr="00FA29DE" w:rsidRDefault="00780FA1" w:rsidP="00FA29DE">
      <w:pPr>
        <w:pStyle w:val="FootnoteTextTLRI"/>
      </w:pPr>
      <w:r w:rsidRPr="00FA29DE">
        <w:rPr>
          <w:rStyle w:val="FootnoteReference"/>
        </w:rPr>
        <w:footnoteRef/>
      </w:r>
      <w:r>
        <w:tab/>
      </w:r>
      <w:r w:rsidRPr="00FA29DE">
        <w:t>(2003) 214 CLR 169</w:t>
      </w:r>
      <w:r>
        <w:t>.</w:t>
      </w:r>
    </w:p>
  </w:footnote>
  <w:footnote w:id="43">
    <w:p w14:paraId="24E92833" w14:textId="77777777" w:rsidR="00780FA1" w:rsidRPr="00FA29DE" w:rsidRDefault="00780FA1" w:rsidP="00C71B62">
      <w:pPr>
        <w:pStyle w:val="FootnoteTextTLRI"/>
      </w:pPr>
      <w:r w:rsidRPr="00FA29DE">
        <w:rPr>
          <w:rStyle w:val="FootnoteReference"/>
        </w:rPr>
        <w:footnoteRef/>
      </w:r>
      <w:r>
        <w:tab/>
      </w:r>
      <w:r w:rsidRPr="00664BF5">
        <w:rPr>
          <w:i/>
        </w:rPr>
        <w:t>Schaefer v Schumann</w:t>
      </w:r>
      <w:r w:rsidRPr="00FA29DE">
        <w:t xml:space="preserve"> [1972] AC 294</w:t>
      </w:r>
      <w:r>
        <w:t xml:space="preserve"> (‘</w:t>
      </w:r>
      <w:r w:rsidRPr="00664BF5">
        <w:rPr>
          <w:i/>
        </w:rPr>
        <w:t>Schaefer</w:t>
      </w:r>
      <w:r>
        <w:t>’).</w:t>
      </w:r>
    </w:p>
  </w:footnote>
  <w:footnote w:id="44">
    <w:p w14:paraId="3F7A3366" w14:textId="5054DD25" w:rsidR="00780FA1" w:rsidRPr="00664BF5" w:rsidRDefault="00780FA1" w:rsidP="00664BF5">
      <w:pPr>
        <w:pStyle w:val="FootnoteTextTLRI"/>
      </w:pPr>
      <w:r w:rsidRPr="00664BF5">
        <w:rPr>
          <w:rStyle w:val="FootnoteReference"/>
        </w:rPr>
        <w:footnoteRef/>
      </w:r>
      <w:r>
        <w:tab/>
      </w:r>
      <w:r w:rsidRPr="00664BF5">
        <w:t xml:space="preserve">The facts in </w:t>
      </w:r>
      <w:r w:rsidRPr="00664BF5">
        <w:rPr>
          <w:i/>
        </w:rPr>
        <w:t>Schaefer</w:t>
      </w:r>
      <w:r w:rsidRPr="00664BF5">
        <w:t>, ibid,</w:t>
      </w:r>
      <w:r>
        <w:rPr>
          <w:i/>
        </w:rPr>
        <w:t xml:space="preserve"> </w:t>
      </w:r>
      <w:r w:rsidRPr="00664BF5">
        <w:t>involved specific real estate. The result may have been different if the contract had simply related to all the estate or the residue of the estate. In other words, residue after all claims have been made against the estate, including family provision claims.</w:t>
      </w:r>
    </w:p>
  </w:footnote>
  <w:footnote w:id="45">
    <w:p w14:paraId="3A1B69BF" w14:textId="4FCE1305" w:rsidR="00780FA1" w:rsidRPr="00FA29DE" w:rsidRDefault="00780FA1" w:rsidP="00FA29DE">
      <w:pPr>
        <w:pStyle w:val="FootnoteTextTLRI"/>
      </w:pPr>
      <w:r w:rsidRPr="00FA29DE">
        <w:rPr>
          <w:rStyle w:val="FootnoteReference"/>
        </w:rPr>
        <w:footnoteRef/>
      </w:r>
      <w:r>
        <w:tab/>
      </w:r>
      <w:r w:rsidRPr="00A205CE">
        <w:rPr>
          <w:i/>
        </w:rPr>
        <w:t>Dillon v Public Trustee</w:t>
      </w:r>
      <w:r w:rsidRPr="00FA29DE">
        <w:t xml:space="preserve"> [1941] AC 294</w:t>
      </w:r>
      <w:r>
        <w:t>.</w:t>
      </w:r>
    </w:p>
  </w:footnote>
  <w:footnote w:id="46">
    <w:p w14:paraId="6FDD2BB0" w14:textId="358729B6" w:rsidR="00780FA1" w:rsidRPr="00FA29DE" w:rsidRDefault="00780FA1" w:rsidP="00FA29DE">
      <w:pPr>
        <w:pStyle w:val="FootnoteTextTLRI"/>
      </w:pPr>
      <w:r w:rsidRPr="00FA29DE">
        <w:rPr>
          <w:rStyle w:val="FootnoteReference"/>
        </w:rPr>
        <w:footnoteRef/>
      </w:r>
      <w:r>
        <w:tab/>
      </w:r>
      <w:r w:rsidRPr="00A205CE">
        <w:rPr>
          <w:i/>
        </w:rPr>
        <w:t>Calvert v Badenach</w:t>
      </w:r>
      <w:r w:rsidRPr="00FA29DE">
        <w:t xml:space="preserve"> </w:t>
      </w:r>
      <w:r w:rsidRPr="00A205CE">
        <w:t>[2015] TASFC 8</w:t>
      </w:r>
      <w:r w:rsidRPr="00FA29DE">
        <w:t>.</w:t>
      </w:r>
    </w:p>
  </w:footnote>
  <w:footnote w:id="47">
    <w:p w14:paraId="019A8EAC" w14:textId="5CE97D37" w:rsidR="00780FA1" w:rsidRPr="00FA29DE" w:rsidRDefault="00780FA1" w:rsidP="00FA29DE">
      <w:pPr>
        <w:pStyle w:val="FootnoteTextTLRI"/>
      </w:pPr>
      <w:r w:rsidRPr="00FA29DE">
        <w:rPr>
          <w:rStyle w:val="FootnoteReference"/>
        </w:rPr>
        <w:footnoteRef/>
      </w:r>
      <w:r>
        <w:tab/>
        <w:t xml:space="preserve">Ibid [74] (Porter J) quoting </w:t>
      </w:r>
      <w:r w:rsidRPr="00A205CE">
        <w:rPr>
          <w:i/>
        </w:rPr>
        <w:t>Barns v Barns</w:t>
      </w:r>
      <w:r w:rsidRPr="00FA29DE">
        <w:t xml:space="preserve"> (2003) 214 CLR 169</w:t>
      </w:r>
      <w:r>
        <w:t xml:space="preserve">, </w:t>
      </w:r>
      <w:r w:rsidRPr="00FA29DE">
        <w:t>184 [33]</w:t>
      </w:r>
      <w:r>
        <w:t xml:space="preserve"> (Gleeson CJ)</w:t>
      </w:r>
      <w:r w:rsidRPr="00FA29DE">
        <w:t>.</w:t>
      </w:r>
    </w:p>
  </w:footnote>
  <w:footnote w:id="48">
    <w:p w14:paraId="1F841863" w14:textId="645E173F" w:rsidR="00780FA1" w:rsidRPr="00EC56A4" w:rsidRDefault="00780FA1" w:rsidP="00EC56A4">
      <w:pPr>
        <w:pStyle w:val="FootnoteTextTLRI"/>
      </w:pPr>
      <w:r w:rsidRPr="00EC56A4">
        <w:rPr>
          <w:rStyle w:val="FootnoteReference"/>
        </w:rPr>
        <w:footnoteRef/>
      </w:r>
      <w:r>
        <w:tab/>
      </w:r>
      <w:r w:rsidRPr="00EC56A4">
        <w:t xml:space="preserve">Refer to </w:t>
      </w:r>
      <w:r w:rsidRPr="00796144">
        <w:t>[2.2.4</w:t>
      </w:r>
      <w:r w:rsidRPr="000C1E64">
        <w:t>]–[2.2.7]</w:t>
      </w:r>
      <w:r w:rsidRPr="00EC56A4">
        <w:t xml:space="preserve"> in relation to when gifts may be ineffective.</w:t>
      </w:r>
    </w:p>
  </w:footnote>
  <w:footnote w:id="49">
    <w:p w14:paraId="4839A2E8" w14:textId="1035BDE7" w:rsidR="00780FA1" w:rsidRPr="00EC56A4" w:rsidRDefault="00780FA1" w:rsidP="00EC56A4">
      <w:pPr>
        <w:pStyle w:val="FootnoteTextTLRI"/>
      </w:pPr>
      <w:r w:rsidRPr="00EC56A4">
        <w:rPr>
          <w:rStyle w:val="FootnoteReference"/>
        </w:rPr>
        <w:footnoteRef/>
      </w:r>
      <w:r>
        <w:tab/>
      </w:r>
      <w:r w:rsidRPr="00EC56A4">
        <w:t xml:space="preserve">There are many authorities but see </w:t>
      </w:r>
      <w:r w:rsidRPr="00EC56A4">
        <w:rPr>
          <w:i/>
        </w:rPr>
        <w:t>Re Richardson</w:t>
      </w:r>
      <w:r w:rsidRPr="00EC56A4">
        <w:t xml:space="preserve"> (1920) SALR 24</w:t>
      </w:r>
      <w:r>
        <w:t>,</w:t>
      </w:r>
      <w:r w:rsidRPr="00EC56A4">
        <w:t xml:space="preserve"> 40</w:t>
      </w:r>
      <w:r>
        <w:t>.</w:t>
      </w:r>
    </w:p>
  </w:footnote>
  <w:footnote w:id="50">
    <w:p w14:paraId="5BD36F6E" w14:textId="77777777" w:rsidR="00780FA1" w:rsidRPr="00865AC1" w:rsidRDefault="00780FA1" w:rsidP="00C71B62">
      <w:pPr>
        <w:pStyle w:val="FootnoteTextTLRI"/>
      </w:pPr>
      <w:r w:rsidRPr="00565D09">
        <w:rPr>
          <w:rStyle w:val="FootnoteReference"/>
          <w:rFonts w:eastAsia="Times"/>
          <w:szCs w:val="20"/>
        </w:rPr>
        <w:footnoteRef/>
      </w:r>
      <w:r>
        <w:tab/>
      </w:r>
      <w:r w:rsidRPr="00865AC1">
        <w:t xml:space="preserve">See </w:t>
      </w:r>
      <w:r w:rsidRPr="00CF18EE">
        <w:rPr>
          <w:i/>
        </w:rPr>
        <w:t>Badenach v Calvert</w:t>
      </w:r>
      <w:r w:rsidRPr="00865AC1">
        <w:t xml:space="preserve"> </w:t>
      </w:r>
      <w:r w:rsidRPr="00FE2868">
        <w:t>257 CLR 440</w:t>
      </w:r>
      <w:r>
        <w:t>.</w:t>
      </w:r>
    </w:p>
  </w:footnote>
  <w:footnote w:id="51">
    <w:p w14:paraId="702640EB" w14:textId="04DBC4D0" w:rsidR="00780FA1" w:rsidRPr="00865AC1" w:rsidRDefault="00780FA1" w:rsidP="00CF18EE">
      <w:pPr>
        <w:pStyle w:val="FootnoteTextTLRI"/>
      </w:pPr>
      <w:r w:rsidRPr="00565D09">
        <w:rPr>
          <w:rStyle w:val="FootnoteReference"/>
          <w:rFonts w:eastAsia="Times"/>
          <w:szCs w:val="20"/>
        </w:rPr>
        <w:footnoteRef/>
      </w:r>
      <w:r>
        <w:tab/>
      </w:r>
      <w:r w:rsidRPr="00865AC1">
        <w:t xml:space="preserve">The amount that the deceased’s daughter was ultimately awarded following making a TFM claim: see </w:t>
      </w:r>
      <w:r w:rsidRPr="00865AC1">
        <w:rPr>
          <w:i/>
        </w:rPr>
        <w:t xml:space="preserve">Doddridge v Badenach </w:t>
      </w:r>
      <w:r w:rsidRPr="00865AC1">
        <w:t>[2011] TASSC 34.</w:t>
      </w:r>
    </w:p>
  </w:footnote>
  <w:footnote w:id="52">
    <w:p w14:paraId="57036019" w14:textId="1BA4191A" w:rsidR="00780FA1" w:rsidRPr="00865AC1" w:rsidRDefault="00780FA1" w:rsidP="00CF18EE">
      <w:pPr>
        <w:pStyle w:val="FootnoteTextTLRI"/>
      </w:pPr>
      <w:r w:rsidRPr="00565D09">
        <w:rPr>
          <w:rStyle w:val="FootnoteReference"/>
          <w:rFonts w:eastAsia="Times"/>
          <w:szCs w:val="20"/>
        </w:rPr>
        <w:footnoteRef/>
      </w:r>
      <w:r>
        <w:tab/>
      </w:r>
      <w:r w:rsidRPr="00865AC1">
        <w:rPr>
          <w:i/>
          <w:iCs/>
          <w:color w:val="333333"/>
        </w:rPr>
        <w:t>Calvert v Baden</w:t>
      </w:r>
      <w:r w:rsidRPr="00865AC1">
        <w:rPr>
          <w:i/>
          <w:iCs/>
        </w:rPr>
        <w:t xml:space="preserve">ach </w:t>
      </w:r>
      <w:r w:rsidRPr="00CF18EE">
        <w:t>[2014] TASSC 61</w:t>
      </w:r>
      <w:r>
        <w:t>,</w:t>
      </w:r>
      <w:r w:rsidRPr="00865AC1">
        <w:t xml:space="preserve"> [3]</w:t>
      </w:r>
      <w:r>
        <w:t>–</w:t>
      </w:r>
      <w:r w:rsidRPr="00865AC1">
        <w:t xml:space="preserve">[4] </w:t>
      </w:r>
      <w:r>
        <w:t>(</w:t>
      </w:r>
      <w:r w:rsidRPr="00865AC1">
        <w:t>Blow CJ</w:t>
      </w:r>
      <w:r>
        <w:t>).</w:t>
      </w:r>
    </w:p>
  </w:footnote>
  <w:footnote w:id="53">
    <w:p w14:paraId="4FAFC817" w14:textId="0A6EFC36" w:rsidR="00780FA1" w:rsidRPr="00865AC1" w:rsidRDefault="00780FA1" w:rsidP="00CF18EE">
      <w:pPr>
        <w:pStyle w:val="FootnoteTextTLRI"/>
      </w:pPr>
      <w:r w:rsidRPr="00CF18EE">
        <w:rPr>
          <w:rStyle w:val="FootnoteReference"/>
          <w:rFonts w:eastAsia="Times"/>
          <w:szCs w:val="20"/>
          <w:lang w:val="x-none"/>
        </w:rPr>
        <w:footnoteRef/>
      </w:r>
      <w:r w:rsidRPr="00CF18EE">
        <w:tab/>
        <w:t>[1990] 3 NZLR 243</w:t>
      </w:r>
      <w:r>
        <w:t>.</w:t>
      </w:r>
    </w:p>
  </w:footnote>
  <w:footnote w:id="54">
    <w:p w14:paraId="04D3FB55" w14:textId="53CE4C15" w:rsidR="00780FA1" w:rsidRPr="0080171F" w:rsidRDefault="00780FA1" w:rsidP="003219BB">
      <w:pPr>
        <w:pStyle w:val="FootnoteTextTLRI"/>
      </w:pPr>
      <w:r w:rsidRPr="0080171F">
        <w:rPr>
          <w:rStyle w:val="FootnoteReference"/>
          <w:rFonts w:eastAsia="Times"/>
          <w:szCs w:val="20"/>
          <w:lang w:val="x-none"/>
        </w:rPr>
        <w:footnoteRef/>
      </w:r>
      <w:r>
        <w:tab/>
      </w:r>
      <w:r w:rsidRPr="00A05694">
        <w:rPr>
          <w:i/>
        </w:rPr>
        <w:t>Russell v Scott</w:t>
      </w:r>
      <w:r w:rsidRPr="0080171F">
        <w:t xml:space="preserve"> (1936) 55 C</w:t>
      </w:r>
      <w:r>
        <w:t>L</w:t>
      </w:r>
      <w:r w:rsidRPr="0080171F">
        <w:t>R 440</w:t>
      </w:r>
      <w:r>
        <w:t>.</w:t>
      </w:r>
    </w:p>
  </w:footnote>
  <w:footnote w:id="55">
    <w:p w14:paraId="1987E218" w14:textId="4FFF4E7D" w:rsidR="00780FA1" w:rsidRPr="00865AC1" w:rsidRDefault="00780FA1" w:rsidP="0080171F">
      <w:pPr>
        <w:pStyle w:val="FootnoteTextTLRI"/>
      </w:pPr>
      <w:r w:rsidRPr="0080171F">
        <w:rPr>
          <w:rStyle w:val="FootnoteReference"/>
          <w:rFonts w:eastAsia="Times"/>
          <w:szCs w:val="20"/>
          <w:lang w:val="x-none"/>
        </w:rPr>
        <w:footnoteRef/>
      </w:r>
      <w:r>
        <w:tab/>
        <w:t>APRA</w:t>
      </w:r>
      <w:r w:rsidRPr="00865AC1">
        <w:t xml:space="preserve">, </w:t>
      </w:r>
      <w:r w:rsidRPr="00865AC1">
        <w:rPr>
          <w:i/>
        </w:rPr>
        <w:t xml:space="preserve">Statistics: Annual Superannuation Bulletin </w:t>
      </w:r>
      <w:r w:rsidRPr="00865AC1">
        <w:t xml:space="preserve">(June 2018, Reissued 22 January 2019) 6. </w:t>
      </w:r>
    </w:p>
  </w:footnote>
  <w:footnote w:id="56">
    <w:p w14:paraId="6ECBC8ED" w14:textId="432D842D" w:rsidR="00780FA1" w:rsidRPr="00865AC1" w:rsidRDefault="00780FA1" w:rsidP="0080171F">
      <w:pPr>
        <w:pStyle w:val="FootnoteTextTLRI"/>
      </w:pPr>
      <w:r w:rsidRPr="0080171F">
        <w:rPr>
          <w:rStyle w:val="FootnoteReference"/>
          <w:rFonts w:eastAsia="Times"/>
          <w:szCs w:val="20"/>
          <w:lang w:val="x-none"/>
        </w:rPr>
        <w:footnoteRef/>
      </w:r>
      <w:r>
        <w:tab/>
      </w:r>
      <w:r w:rsidRPr="00865AC1">
        <w:t>Ibid 8.</w:t>
      </w:r>
    </w:p>
  </w:footnote>
  <w:footnote w:id="57">
    <w:p w14:paraId="40C26268" w14:textId="7583F83A" w:rsidR="00780FA1" w:rsidRPr="00865AC1" w:rsidRDefault="00780FA1" w:rsidP="0080171F">
      <w:pPr>
        <w:pStyle w:val="FootnoteTextTLRI"/>
      </w:pPr>
      <w:r w:rsidRPr="0080171F">
        <w:rPr>
          <w:rStyle w:val="FootnoteReference"/>
          <w:rFonts w:eastAsia="Times"/>
          <w:szCs w:val="20"/>
          <w:lang w:val="x-none"/>
        </w:rPr>
        <w:footnoteRef/>
      </w:r>
      <w:r>
        <w:tab/>
      </w:r>
      <w:r w:rsidRPr="00865AC1">
        <w:t xml:space="preserve">Metlife Insurance Limited, </w:t>
      </w:r>
      <w:r w:rsidRPr="00865AC1">
        <w:rPr>
          <w:i/>
        </w:rPr>
        <w:t xml:space="preserve">Insurance Inside Super: A detailed report into members’ awareness, attitude and engagement with Insurance Inside Super </w:t>
      </w:r>
      <w:r w:rsidRPr="00865AC1">
        <w:t>(2018)</w:t>
      </w:r>
      <w:r>
        <w:t>.</w:t>
      </w:r>
    </w:p>
  </w:footnote>
  <w:footnote w:id="58">
    <w:p w14:paraId="5DDDCB2E" w14:textId="311A5992" w:rsidR="00780FA1" w:rsidRPr="00865AC1" w:rsidRDefault="00780FA1" w:rsidP="0080171F">
      <w:pPr>
        <w:pStyle w:val="FootnoteTextTLRI"/>
      </w:pPr>
      <w:r w:rsidRPr="0080171F">
        <w:rPr>
          <w:rStyle w:val="FootnoteReference"/>
          <w:rFonts w:eastAsia="Times"/>
          <w:szCs w:val="20"/>
          <w:lang w:val="x-none"/>
        </w:rPr>
        <w:footnoteRef/>
      </w:r>
      <w:r>
        <w:tab/>
      </w:r>
      <w:r w:rsidRPr="00865AC1">
        <w:t xml:space="preserve">Michael Easson, </w:t>
      </w:r>
      <w:r>
        <w:t>‘</w:t>
      </w:r>
      <w:r w:rsidRPr="00E543FC">
        <w:t>Super changes could leave thousands without enough superannuation’</w:t>
      </w:r>
      <w:r>
        <w:t>,</w:t>
      </w:r>
      <w:r w:rsidRPr="00865AC1">
        <w:rPr>
          <w:i/>
        </w:rPr>
        <w:t xml:space="preserve"> </w:t>
      </w:r>
      <w:r w:rsidRPr="00E543FC">
        <w:rPr>
          <w:i/>
        </w:rPr>
        <w:t>Sydney Morning Herald</w:t>
      </w:r>
      <w:r w:rsidRPr="00865AC1">
        <w:rPr>
          <w:i/>
        </w:rPr>
        <w:t xml:space="preserve"> </w:t>
      </w:r>
      <w:r w:rsidRPr="00865AC1">
        <w:t>(</w:t>
      </w:r>
      <w:r>
        <w:t xml:space="preserve">Sydney, </w:t>
      </w:r>
      <w:r w:rsidRPr="00865AC1">
        <w:t>2 September 2018)</w:t>
      </w:r>
      <w:r>
        <w:t>.</w:t>
      </w:r>
    </w:p>
  </w:footnote>
  <w:footnote w:id="59">
    <w:p w14:paraId="3BC7FEA1" w14:textId="23AF2850" w:rsidR="00780FA1" w:rsidRPr="00865AC1" w:rsidRDefault="00780FA1" w:rsidP="000C0A3F">
      <w:pPr>
        <w:pStyle w:val="FootnoteTextTLRI"/>
      </w:pPr>
      <w:r w:rsidRPr="0080171F">
        <w:rPr>
          <w:rStyle w:val="FootnoteReference"/>
          <w:rFonts w:eastAsia="Times"/>
          <w:szCs w:val="20"/>
          <w:lang w:val="x-none"/>
        </w:rPr>
        <w:footnoteRef/>
      </w:r>
      <w:r>
        <w:tab/>
        <w:t xml:space="preserve">Ie, it </w:t>
      </w:r>
      <w:r w:rsidRPr="00865AC1">
        <w:t xml:space="preserve">complies with the </w:t>
      </w:r>
      <w:r>
        <w:t>r</w:t>
      </w:r>
      <w:r w:rsidRPr="00865AC1">
        <w:t>ules of the particular fund and superannuation legislation.</w:t>
      </w:r>
    </w:p>
  </w:footnote>
  <w:footnote w:id="60">
    <w:p w14:paraId="76A35125" w14:textId="6667BA21" w:rsidR="00780FA1" w:rsidRPr="002D0BFF" w:rsidRDefault="00780FA1" w:rsidP="002D0BFF">
      <w:pPr>
        <w:pStyle w:val="FootnoteTextTLRI"/>
      </w:pPr>
      <w:r w:rsidRPr="002D0BFF">
        <w:rPr>
          <w:rStyle w:val="FootnoteReference"/>
          <w:rFonts w:eastAsia="Times"/>
          <w:szCs w:val="20"/>
          <w:lang w:val="x-none"/>
        </w:rPr>
        <w:footnoteRef/>
      </w:r>
      <w:r>
        <w:tab/>
      </w:r>
      <w:r w:rsidRPr="002D0BFF">
        <w:t xml:space="preserve">See discussion of White J in </w:t>
      </w:r>
      <w:r w:rsidRPr="007059C4">
        <w:rPr>
          <w:i/>
        </w:rPr>
        <w:t>Sam Wardy v Gordon Salier &amp; Anor; William Wardy v Gordon Salier &amp; Anor;</w:t>
      </w:r>
      <w:r>
        <w:rPr>
          <w:i/>
        </w:rPr>
        <w:t xml:space="preserve"> </w:t>
      </w:r>
      <w:r w:rsidRPr="007059C4">
        <w:rPr>
          <w:i/>
        </w:rPr>
        <w:t>Hassiba Wardy v Estate of late Edmond Wadih Wardy developer and Ch 3 of the Succession Act 2006 &amp; Anor</w:t>
      </w:r>
      <w:r w:rsidRPr="002D0BFF">
        <w:t xml:space="preserve"> [2014] NSWSC 473 where it was held that the deceased’s omission to appoint the assets of a trust to himself during his life was covered by NSW notional estate provisions, enabling the assets of the trust to be considered as part of the deceased’s ‘notional estate</w:t>
      </w:r>
      <w:r>
        <w:t>’</w:t>
      </w:r>
      <w:r w:rsidRPr="002D0BFF">
        <w:t>.</w:t>
      </w:r>
    </w:p>
  </w:footnote>
  <w:footnote w:id="61">
    <w:p w14:paraId="0BE82E07" w14:textId="2DD28660" w:rsidR="00780FA1" w:rsidRPr="002D0BFF" w:rsidRDefault="00780FA1" w:rsidP="002D0BFF">
      <w:pPr>
        <w:pStyle w:val="FootnoteTextTLRI"/>
      </w:pPr>
      <w:r w:rsidRPr="002D0BFF">
        <w:rPr>
          <w:rStyle w:val="FootnoteReference"/>
          <w:rFonts w:eastAsia="Times"/>
          <w:szCs w:val="20"/>
          <w:lang w:val="x-none"/>
        </w:rPr>
        <w:footnoteRef/>
      </w:r>
      <w:r>
        <w:tab/>
      </w:r>
      <w:r w:rsidRPr="002D0BFF">
        <w:t>The National Committee for Uniform Succession Law has pointed out, however, that</w:t>
      </w:r>
      <w:r>
        <w:t>:</w:t>
      </w:r>
      <w:r w:rsidRPr="002D0BFF">
        <w:t xml:space="preserve"> </w:t>
      </w:r>
      <w:r>
        <w:t>‘</w:t>
      </w:r>
      <w:r w:rsidRPr="002D0BFF">
        <w:t>If the power is of the kind described as general, that is, it can be exercised by the donee of the power in favour of anyone, now the testator can deal with that property by will virtually as if it was his or her own property</w:t>
      </w:r>
      <w:r>
        <w:t xml:space="preserve">’: </w:t>
      </w:r>
      <w:r w:rsidRPr="002D0BFF">
        <w:t>Queensland Law Reform Commission</w:t>
      </w:r>
      <w:r>
        <w:t xml:space="preserve"> (‘QLRC’)</w:t>
      </w:r>
      <w:r w:rsidRPr="002D0BFF">
        <w:t xml:space="preserve">, </w:t>
      </w:r>
      <w:r w:rsidRPr="00392F7B">
        <w:rPr>
          <w:i/>
        </w:rPr>
        <w:t>Report to the Standing Committee of Attorneys General on Family Provision</w:t>
      </w:r>
      <w:r>
        <w:t xml:space="preserve"> (</w:t>
      </w:r>
      <w:r w:rsidRPr="002D0BFF">
        <w:t>Misc</w:t>
      </w:r>
      <w:r>
        <w:t>ellaneous P</w:t>
      </w:r>
      <w:r w:rsidRPr="002D0BFF">
        <w:t>aper 28</w:t>
      </w:r>
      <w:r>
        <w:t xml:space="preserve">, </w:t>
      </w:r>
      <w:r w:rsidRPr="002D0BFF">
        <w:t>Dec</w:t>
      </w:r>
      <w:r>
        <w:t>ember</w:t>
      </w:r>
      <w:r w:rsidRPr="002D0BFF">
        <w:t xml:space="preserve"> 1997</w:t>
      </w:r>
      <w:r>
        <w:t>)</w:t>
      </w:r>
      <w:r w:rsidRPr="002D0BFF">
        <w:t xml:space="preserve"> 92</w:t>
      </w:r>
      <w:r>
        <w:t>.</w:t>
      </w:r>
    </w:p>
  </w:footnote>
  <w:footnote w:id="62">
    <w:p w14:paraId="759714D2" w14:textId="5AC53571" w:rsidR="00780FA1" w:rsidRPr="002D0BFF" w:rsidRDefault="00780FA1" w:rsidP="002D0BFF">
      <w:pPr>
        <w:pStyle w:val="FootnoteTextTLRI"/>
      </w:pPr>
      <w:r w:rsidRPr="002D0BFF">
        <w:rPr>
          <w:rStyle w:val="FootnoteReference"/>
          <w:rFonts w:eastAsia="Times"/>
          <w:szCs w:val="20"/>
          <w:lang w:val="x-none"/>
        </w:rPr>
        <w:footnoteRef/>
      </w:r>
      <w:r>
        <w:tab/>
      </w:r>
      <w:r w:rsidRPr="002D0BFF">
        <w:t xml:space="preserve">Note that the </w:t>
      </w:r>
      <w:r w:rsidRPr="00475D1D">
        <w:rPr>
          <w:i/>
        </w:rPr>
        <w:t>Wills Act 2008</w:t>
      </w:r>
      <w:r w:rsidRPr="002D0BFF">
        <w:t xml:space="preserve"> (Tas) s 50, however, provides that: </w:t>
      </w:r>
      <w:r>
        <w:t>‘</w:t>
      </w:r>
      <w:r w:rsidRPr="002D0BFF">
        <w:t>A general disposition in a will of all or the residue of the testator’s property, or of all or the residue of his or her property of a particular description, includes all the property of the relevant description over which he or she has a general power of appointment exercisable by will and operates as an execution of the power.</w:t>
      </w:r>
      <w:r>
        <w:t>’</w:t>
      </w:r>
      <w:r w:rsidRPr="002D0BFF">
        <w:t xml:space="preserve"> </w:t>
      </w:r>
    </w:p>
  </w:footnote>
  <w:footnote w:id="63">
    <w:p w14:paraId="49A0756B" w14:textId="06CD962E" w:rsidR="00780FA1" w:rsidRPr="00FB43CC" w:rsidRDefault="00780FA1" w:rsidP="00FB43CC">
      <w:pPr>
        <w:pStyle w:val="FootnoteTextTLRI"/>
      </w:pPr>
      <w:r w:rsidRPr="00FB43CC">
        <w:rPr>
          <w:rStyle w:val="FootnoteReference"/>
          <w:rFonts w:eastAsia="Times"/>
          <w:szCs w:val="20"/>
          <w:lang w:val="x-none"/>
        </w:rPr>
        <w:footnoteRef/>
      </w:r>
      <w:r>
        <w:tab/>
      </w:r>
      <w:r>
        <w:rPr>
          <w:i/>
          <w:lang w:val="en-AU"/>
        </w:rPr>
        <w:t>TFM</w:t>
      </w:r>
      <w:r w:rsidRPr="00865AC1">
        <w:rPr>
          <w:i/>
          <w:lang w:val="en-AU"/>
        </w:rPr>
        <w:t xml:space="preserve"> Act </w:t>
      </w:r>
      <w:r>
        <w:rPr>
          <w:lang w:val="en-AU"/>
        </w:rPr>
        <w:t xml:space="preserve">(n </w:t>
      </w:r>
      <w:r>
        <w:rPr>
          <w:lang w:val="en-AU"/>
        </w:rPr>
        <w:fldChar w:fldCharType="begin"/>
      </w:r>
      <w:r>
        <w:rPr>
          <w:lang w:val="en-AU"/>
        </w:rPr>
        <w:instrText xml:space="preserve"> NOTEREF _Ref2242859 \h </w:instrText>
      </w:r>
      <w:r>
        <w:rPr>
          <w:lang w:val="en-AU"/>
        </w:rPr>
      </w:r>
      <w:r>
        <w:rPr>
          <w:lang w:val="en-AU"/>
        </w:rPr>
        <w:fldChar w:fldCharType="separate"/>
      </w:r>
      <w:r w:rsidR="00A276CE">
        <w:rPr>
          <w:lang w:val="en-AU"/>
        </w:rPr>
        <w:t>4</w:t>
      </w:r>
      <w:r>
        <w:rPr>
          <w:lang w:val="en-AU"/>
        </w:rPr>
        <w:fldChar w:fldCharType="end"/>
      </w:r>
      <w:r>
        <w:rPr>
          <w:lang w:val="en-AU"/>
        </w:rPr>
        <w:t>)</w:t>
      </w:r>
      <w:r w:rsidRPr="00FB43CC" w:rsidDel="00394CA2">
        <w:rPr>
          <w:i/>
        </w:rPr>
        <w:t xml:space="preserve"> </w:t>
      </w:r>
      <w:r w:rsidRPr="00FB43CC">
        <w:t>s</w:t>
      </w:r>
      <w:r>
        <w:t xml:space="preserve"> </w:t>
      </w:r>
      <w:r w:rsidRPr="00FB43CC">
        <w:t>11(1).</w:t>
      </w:r>
    </w:p>
  </w:footnote>
  <w:footnote w:id="64">
    <w:p w14:paraId="4C133519" w14:textId="46CBE45C" w:rsidR="00780FA1" w:rsidRPr="00FB43CC" w:rsidRDefault="00780FA1" w:rsidP="00FB43CC">
      <w:pPr>
        <w:pStyle w:val="FootnoteTextTLRI"/>
      </w:pPr>
      <w:r w:rsidRPr="00FB43CC">
        <w:rPr>
          <w:rStyle w:val="FootnoteReference"/>
          <w:rFonts w:eastAsia="Times"/>
          <w:szCs w:val="20"/>
          <w:lang w:val="x-none"/>
        </w:rPr>
        <w:footnoteRef/>
      </w:r>
      <w:r>
        <w:tab/>
        <w:t>Ibid</w:t>
      </w:r>
      <w:r w:rsidRPr="00FB43CC">
        <w:t xml:space="preserve"> s</w:t>
      </w:r>
      <w:r>
        <w:t xml:space="preserve"> </w:t>
      </w:r>
      <w:r w:rsidRPr="00FB43CC">
        <w:t xml:space="preserve">11(4). See also </w:t>
      </w:r>
      <w:r w:rsidRPr="00FB43CC">
        <w:rPr>
          <w:rStyle w:val="FootnoteTextTLRIChar"/>
          <w:i/>
        </w:rPr>
        <w:t>Easterbrook v Young</w:t>
      </w:r>
      <w:r w:rsidRPr="00FB43CC">
        <w:rPr>
          <w:rStyle w:val="FootnoteTextTLRIChar"/>
        </w:rPr>
        <w:t xml:space="preserve"> [1977] HCA</w:t>
      </w:r>
      <w:r w:rsidR="00803B5F">
        <w:rPr>
          <w:rStyle w:val="FootnoteTextTLRIChar"/>
        </w:rPr>
        <w:t xml:space="preserve"> </w:t>
      </w:r>
      <w:r w:rsidRPr="00FB43CC">
        <w:rPr>
          <w:rStyle w:val="FootnoteTextTLRIChar"/>
        </w:rPr>
        <w:t>16.</w:t>
      </w:r>
    </w:p>
  </w:footnote>
  <w:footnote w:id="65">
    <w:p w14:paraId="7FDEB399" w14:textId="748523BC" w:rsidR="00780FA1" w:rsidRPr="00FB43CC" w:rsidRDefault="00780FA1" w:rsidP="00FB43CC">
      <w:pPr>
        <w:pStyle w:val="FootnoteTextTLRI"/>
      </w:pPr>
      <w:r w:rsidRPr="00FB43CC">
        <w:rPr>
          <w:rStyle w:val="FootnoteReference"/>
          <w:rFonts w:eastAsia="Times"/>
          <w:szCs w:val="20"/>
          <w:lang w:val="x-none"/>
        </w:rPr>
        <w:footnoteRef/>
      </w:r>
      <w:r>
        <w:tab/>
      </w:r>
      <w:r w:rsidRPr="00FB43CC">
        <w:rPr>
          <w:i/>
        </w:rPr>
        <w:t>Williams v Williams</w:t>
      </w:r>
      <w:r w:rsidRPr="00FB43CC">
        <w:t xml:space="preserve"> [2018] TASSC 19. See also </w:t>
      </w:r>
      <w:r w:rsidRPr="00FB43CC">
        <w:rPr>
          <w:i/>
        </w:rPr>
        <w:t>Williams v Williams (No 2)</w:t>
      </w:r>
      <w:r w:rsidRPr="00FB43CC">
        <w:t xml:space="preserve"> [2018] TASSC 61.</w:t>
      </w:r>
    </w:p>
  </w:footnote>
  <w:footnote w:id="66">
    <w:p w14:paraId="4F999FCC" w14:textId="7A3E9458" w:rsidR="00780FA1" w:rsidRPr="00FB43CC" w:rsidRDefault="00780FA1" w:rsidP="00FB43CC">
      <w:pPr>
        <w:pStyle w:val="FootnoteTextTLRI"/>
      </w:pPr>
      <w:r w:rsidRPr="00FB43CC">
        <w:rPr>
          <w:rStyle w:val="FootnoteReference"/>
          <w:rFonts w:eastAsia="Times"/>
          <w:szCs w:val="20"/>
          <w:lang w:val="x-none"/>
        </w:rPr>
        <w:footnoteRef/>
      </w:r>
      <w:r>
        <w:tab/>
      </w:r>
      <w:r w:rsidRPr="00FB43CC">
        <w:rPr>
          <w:i/>
        </w:rPr>
        <w:t>Williams v Williams</w:t>
      </w:r>
      <w:r w:rsidRPr="00FB43CC">
        <w:t xml:space="preserve"> [2018] TASSC 19.</w:t>
      </w:r>
    </w:p>
  </w:footnote>
  <w:footnote w:id="67">
    <w:p w14:paraId="49F400C5" w14:textId="1B6AF31C" w:rsidR="00780FA1" w:rsidRPr="00FB43CC" w:rsidRDefault="00780FA1" w:rsidP="00FB43CC">
      <w:pPr>
        <w:pStyle w:val="FootnoteTextTLRI"/>
      </w:pPr>
      <w:r w:rsidRPr="00FB43CC">
        <w:rPr>
          <w:rStyle w:val="FootnoteReference"/>
          <w:rFonts w:eastAsia="Times"/>
          <w:szCs w:val="20"/>
          <w:lang w:val="x-none"/>
        </w:rPr>
        <w:footnoteRef/>
      </w:r>
      <w:r>
        <w:tab/>
      </w:r>
      <w:r w:rsidRPr="00FB43CC">
        <w:t xml:space="preserve">See </w:t>
      </w:r>
      <w:r w:rsidRPr="00FB43CC">
        <w:rPr>
          <w:i/>
        </w:rPr>
        <w:t>Williams v Williams (No 2)</w:t>
      </w:r>
      <w:r w:rsidRPr="00FB43CC">
        <w:t xml:space="preserve"> [2018] TASSC 61</w:t>
      </w:r>
      <w:r>
        <w:t xml:space="preserve">, </w:t>
      </w:r>
      <w:r w:rsidRPr="00FB43CC">
        <w:t>[5].</w:t>
      </w:r>
    </w:p>
  </w:footnote>
  <w:footnote w:id="68">
    <w:p w14:paraId="4BB173D3" w14:textId="6321AA27" w:rsidR="00780FA1" w:rsidRPr="008E4D3F" w:rsidRDefault="00780FA1" w:rsidP="008E4D3F">
      <w:pPr>
        <w:pStyle w:val="FootnoteTextTLRI"/>
      </w:pPr>
      <w:r w:rsidRPr="008E4D3F">
        <w:rPr>
          <w:rStyle w:val="FootnoteReference"/>
          <w:rFonts w:eastAsia="Times"/>
          <w:szCs w:val="20"/>
          <w:lang w:val="x-none"/>
        </w:rPr>
        <w:footnoteRef/>
      </w:r>
      <w:r>
        <w:tab/>
      </w:r>
      <w:r w:rsidRPr="008E4D3F">
        <w:t xml:space="preserve">See description of the </w:t>
      </w:r>
      <w:r>
        <w:t xml:space="preserve">QLRC (n </w:t>
      </w:r>
      <w:r>
        <w:fldChar w:fldCharType="begin"/>
      </w:r>
      <w:r>
        <w:instrText xml:space="preserve"> NOTEREF _Ref1749136 \h </w:instrText>
      </w:r>
      <w:r>
        <w:fldChar w:fldCharType="separate"/>
      </w:r>
      <w:r w:rsidR="00A276CE">
        <w:t>61</w:t>
      </w:r>
      <w:r>
        <w:fldChar w:fldCharType="end"/>
      </w:r>
      <w:r>
        <w:t>)</w:t>
      </w:r>
      <w:r w:rsidRPr="008E4D3F">
        <w:t xml:space="preserve"> </w:t>
      </w:r>
      <w:r>
        <w:t>c</w:t>
      </w:r>
      <w:r w:rsidRPr="008E4D3F">
        <w:t>h 6.</w:t>
      </w:r>
    </w:p>
  </w:footnote>
  <w:footnote w:id="69">
    <w:p w14:paraId="5AFB104E" w14:textId="6582CFE2" w:rsidR="00780FA1" w:rsidRPr="008E4D3F" w:rsidRDefault="00780FA1" w:rsidP="008E4D3F">
      <w:pPr>
        <w:pStyle w:val="FootnoteTextTLRI"/>
      </w:pPr>
      <w:r w:rsidRPr="008E4D3F">
        <w:rPr>
          <w:rStyle w:val="FootnoteReference"/>
          <w:rFonts w:eastAsia="Times"/>
          <w:szCs w:val="20"/>
          <w:lang w:val="x-none"/>
        </w:rPr>
        <w:footnoteRef/>
      </w:r>
      <w:r>
        <w:tab/>
      </w:r>
      <w:r w:rsidRPr="005D7554">
        <w:rPr>
          <w:i/>
        </w:rPr>
        <w:t>Succession Act 2006</w:t>
      </w:r>
      <w:r w:rsidRPr="008E4D3F">
        <w:t xml:space="preserve"> (NSW)</w:t>
      </w:r>
      <w:r>
        <w:t xml:space="preserve"> s </w:t>
      </w:r>
      <w:r w:rsidRPr="008E4D3F">
        <w:t>63(5)</w:t>
      </w:r>
      <w:r>
        <w:t>.</w:t>
      </w:r>
      <w:r w:rsidRPr="008E4D3F">
        <w:t xml:space="preserve"> </w:t>
      </w:r>
    </w:p>
  </w:footnote>
  <w:footnote w:id="70">
    <w:p w14:paraId="20B4AEDF" w14:textId="3EFE89E7" w:rsidR="00780FA1" w:rsidRPr="008E4D3F" w:rsidRDefault="00780FA1" w:rsidP="008E4D3F">
      <w:pPr>
        <w:pStyle w:val="FootnoteTextTLRI"/>
      </w:pPr>
      <w:r w:rsidRPr="008E4D3F">
        <w:rPr>
          <w:rStyle w:val="FootnoteReference"/>
          <w:rFonts w:eastAsia="Times"/>
          <w:szCs w:val="20"/>
          <w:lang w:val="x-none"/>
        </w:rPr>
        <w:footnoteRef/>
      </w:r>
      <w:r>
        <w:tab/>
        <w:t xml:space="preserve">NSWLRC, </w:t>
      </w:r>
      <w:r w:rsidRPr="004442FC">
        <w:rPr>
          <w:i/>
        </w:rPr>
        <w:t>Uniform Succession Laws: Family Provision</w:t>
      </w:r>
      <w:r>
        <w:t xml:space="preserve"> (</w:t>
      </w:r>
      <w:r w:rsidRPr="008E4D3F">
        <w:t>Report No 110</w:t>
      </w:r>
      <w:r>
        <w:t xml:space="preserve">, </w:t>
      </w:r>
      <w:r w:rsidRPr="008E4D3F">
        <w:t>2005) 37</w:t>
      </w:r>
      <w:r>
        <w:t>.</w:t>
      </w:r>
    </w:p>
  </w:footnote>
  <w:footnote w:id="71">
    <w:p w14:paraId="24D9E7B7" w14:textId="2FAFC43D" w:rsidR="00780FA1" w:rsidRPr="00865AC1" w:rsidRDefault="00780FA1" w:rsidP="004442FC">
      <w:pPr>
        <w:pStyle w:val="FootnoteTextTLRI"/>
      </w:pPr>
      <w:r w:rsidRPr="004442FC">
        <w:rPr>
          <w:rStyle w:val="FootnoteReference"/>
          <w:rFonts w:eastAsia="Times"/>
          <w:szCs w:val="20"/>
          <w:lang w:val="x-none"/>
        </w:rPr>
        <w:footnoteRef/>
      </w:r>
      <w:r>
        <w:tab/>
      </w:r>
      <w:r w:rsidRPr="00865AC1">
        <w:rPr>
          <w:i/>
        </w:rPr>
        <w:t>Succession Act 2006</w:t>
      </w:r>
      <w:r w:rsidRPr="00865AC1">
        <w:t xml:space="preserve"> (NSW) Part 3.3 – Notional estate orders, Notes.</w:t>
      </w:r>
    </w:p>
  </w:footnote>
  <w:footnote w:id="72">
    <w:p w14:paraId="38CF5BC1" w14:textId="4C46AAF7" w:rsidR="00780FA1" w:rsidRPr="00865AC1" w:rsidRDefault="00780FA1" w:rsidP="004442FC">
      <w:pPr>
        <w:pStyle w:val="FootnoteTextTLRI"/>
      </w:pPr>
      <w:r w:rsidRPr="004442FC">
        <w:rPr>
          <w:rStyle w:val="FootnoteReference"/>
          <w:rFonts w:eastAsia="Times"/>
          <w:szCs w:val="20"/>
          <w:lang w:val="x-none"/>
        </w:rPr>
        <w:footnoteRef/>
      </w:r>
      <w:r>
        <w:tab/>
      </w:r>
      <w:r w:rsidRPr="00865AC1">
        <w:rPr>
          <w:i/>
        </w:rPr>
        <w:t>Inheritance (Provision for Family and Dependants) Act 1975</w:t>
      </w:r>
      <w:r w:rsidRPr="00865AC1">
        <w:t xml:space="preserve"> (</w:t>
      </w:r>
      <w:r>
        <w:t>UK</w:t>
      </w:r>
      <w:r w:rsidRPr="00865AC1">
        <w:t>), see for example ss</w:t>
      </w:r>
      <w:r>
        <w:t xml:space="preserve"> </w:t>
      </w:r>
      <w:r w:rsidRPr="00865AC1">
        <w:t>9</w:t>
      </w:r>
      <w:r>
        <w:t>–</w:t>
      </w:r>
      <w:r w:rsidRPr="00865AC1">
        <w:t>13.</w:t>
      </w:r>
    </w:p>
  </w:footnote>
  <w:footnote w:id="73">
    <w:p w14:paraId="05FFCF7D" w14:textId="3B19FD17" w:rsidR="00780FA1" w:rsidRPr="00865AC1" w:rsidRDefault="00780FA1" w:rsidP="004442FC">
      <w:pPr>
        <w:pStyle w:val="FootnoteTextTLRI"/>
      </w:pPr>
      <w:r w:rsidRPr="004442FC">
        <w:rPr>
          <w:rStyle w:val="FootnoteReference"/>
          <w:rFonts w:eastAsia="Times"/>
          <w:szCs w:val="20"/>
          <w:lang w:val="x-none"/>
        </w:rPr>
        <w:footnoteRef/>
      </w:r>
      <w:r>
        <w:tab/>
      </w:r>
      <w:r w:rsidRPr="00865AC1">
        <w:rPr>
          <w:i/>
        </w:rPr>
        <w:t>Uniform Probate Code</w:t>
      </w:r>
      <w:r w:rsidRPr="00865AC1">
        <w:t xml:space="preserve"> (US) </w:t>
      </w:r>
      <w:r w:rsidRPr="00766D67">
        <w:t>§§</w:t>
      </w:r>
      <w:r w:rsidRPr="00865AC1">
        <w:t xml:space="preserve"> 2-202</w:t>
      </w:r>
      <w:r>
        <w:t>–</w:t>
      </w:r>
      <w:r w:rsidRPr="00865AC1">
        <w:t>2-209.</w:t>
      </w:r>
    </w:p>
  </w:footnote>
  <w:footnote w:id="74">
    <w:p w14:paraId="4EA55888" w14:textId="0BB599A3" w:rsidR="00780FA1" w:rsidRPr="00865AC1" w:rsidRDefault="00780FA1" w:rsidP="004442FC">
      <w:pPr>
        <w:pStyle w:val="FootnoteTextTLRI"/>
      </w:pPr>
      <w:r w:rsidRPr="004442FC">
        <w:rPr>
          <w:rStyle w:val="FootnoteReference"/>
          <w:rFonts w:eastAsia="Times"/>
          <w:szCs w:val="20"/>
          <w:lang w:val="x-none"/>
        </w:rPr>
        <w:footnoteRef/>
      </w:r>
      <w:r>
        <w:tab/>
        <w:t>NSWLRC,</w:t>
      </w:r>
      <w:r w:rsidRPr="00865AC1">
        <w:t xml:space="preserve"> </w:t>
      </w:r>
      <w:r w:rsidRPr="00865AC1">
        <w:rPr>
          <w:i/>
        </w:rPr>
        <w:t>Testator’s Family Maintenance and Guardianship of Infants Act 1916</w:t>
      </w:r>
      <w:r>
        <w:t xml:space="preserve"> (</w:t>
      </w:r>
      <w:r w:rsidRPr="00865AC1">
        <w:t>Report No 28</w:t>
      </w:r>
      <w:r>
        <w:t xml:space="preserve">, </w:t>
      </w:r>
      <w:r w:rsidRPr="00865AC1">
        <w:t>1977)</w:t>
      </w:r>
      <w:r>
        <w:t>.</w:t>
      </w:r>
    </w:p>
  </w:footnote>
  <w:footnote w:id="75">
    <w:p w14:paraId="38424A19" w14:textId="0AFCB050" w:rsidR="00780FA1" w:rsidRPr="008F1E04" w:rsidRDefault="00780FA1" w:rsidP="008F1E04">
      <w:pPr>
        <w:pStyle w:val="FootnoteTextTLRI"/>
      </w:pPr>
      <w:r w:rsidRPr="008F1E04">
        <w:rPr>
          <w:rStyle w:val="FootnoteReference"/>
          <w:rFonts w:eastAsia="Times"/>
          <w:szCs w:val="20"/>
          <w:lang w:val="x-none"/>
        </w:rPr>
        <w:footnoteRef/>
      </w:r>
      <w:r>
        <w:tab/>
      </w:r>
      <w:r w:rsidRPr="008F1E04">
        <w:t>Established in 1991 by the Joint Steering Committee of Attorneys-General</w:t>
      </w:r>
      <w:r>
        <w:t>.</w:t>
      </w:r>
    </w:p>
  </w:footnote>
  <w:footnote w:id="76">
    <w:p w14:paraId="6221821D" w14:textId="3F189C92" w:rsidR="00780FA1" w:rsidRPr="00CD3321" w:rsidRDefault="00780FA1" w:rsidP="00CD3321">
      <w:pPr>
        <w:pStyle w:val="FootnoteTextTLRI"/>
      </w:pPr>
      <w:r w:rsidRPr="00CD3321">
        <w:rPr>
          <w:rStyle w:val="FootnoteReference"/>
          <w:rFonts w:eastAsia="Times"/>
          <w:szCs w:val="20"/>
          <w:lang w:val="x-none"/>
        </w:rPr>
        <w:footnoteRef/>
      </w:r>
      <w:r>
        <w:tab/>
        <w:t xml:space="preserve">QLRC (n </w:t>
      </w:r>
      <w:r>
        <w:fldChar w:fldCharType="begin"/>
      </w:r>
      <w:r>
        <w:instrText xml:space="preserve"> NOTEREF _Ref1749136 \h </w:instrText>
      </w:r>
      <w:r>
        <w:fldChar w:fldCharType="separate"/>
      </w:r>
      <w:r w:rsidR="00A276CE">
        <w:t>61</w:t>
      </w:r>
      <w:r>
        <w:fldChar w:fldCharType="end"/>
      </w:r>
      <w:r>
        <w:t>)</w:t>
      </w:r>
      <w:r w:rsidRPr="00CD3321">
        <w:t xml:space="preserve">, </w:t>
      </w:r>
      <w:r>
        <w:t>c</w:t>
      </w:r>
      <w:r w:rsidRPr="00CD3321">
        <w:t>h 6</w:t>
      </w:r>
      <w:r>
        <w:t>.</w:t>
      </w:r>
    </w:p>
  </w:footnote>
  <w:footnote w:id="77">
    <w:p w14:paraId="0ECB6EE4" w14:textId="1D0DAE66" w:rsidR="00780FA1" w:rsidRPr="00CD3321" w:rsidRDefault="00780FA1" w:rsidP="00CD3321">
      <w:pPr>
        <w:pStyle w:val="FootnoteTextTLRI"/>
      </w:pPr>
      <w:r w:rsidRPr="00CD3321">
        <w:rPr>
          <w:rStyle w:val="FootnoteReference"/>
          <w:rFonts w:eastAsia="Times"/>
          <w:szCs w:val="20"/>
          <w:lang w:val="x-none"/>
        </w:rPr>
        <w:footnoteRef/>
      </w:r>
      <w:r>
        <w:tab/>
      </w:r>
      <w:r w:rsidRPr="00CD3321">
        <w:t>Ibid 93.</w:t>
      </w:r>
    </w:p>
  </w:footnote>
  <w:footnote w:id="78">
    <w:p w14:paraId="291307CD" w14:textId="71524B63" w:rsidR="00780FA1" w:rsidRPr="00CD3321" w:rsidRDefault="00780FA1" w:rsidP="00CD3321">
      <w:pPr>
        <w:pStyle w:val="FootnoteTextTLRI"/>
      </w:pPr>
      <w:r w:rsidRPr="00CD3321">
        <w:rPr>
          <w:rStyle w:val="FootnoteReference"/>
          <w:rFonts w:eastAsia="Times"/>
          <w:szCs w:val="20"/>
          <w:lang w:val="x-none"/>
        </w:rPr>
        <w:footnoteRef/>
      </w:r>
      <w:r>
        <w:tab/>
      </w:r>
      <w:r w:rsidRPr="00CD3321">
        <w:t>NZ</w:t>
      </w:r>
      <w:r>
        <w:t>LC</w:t>
      </w:r>
      <w:r w:rsidRPr="00CD3321">
        <w:t xml:space="preserve">, </w:t>
      </w:r>
      <w:r w:rsidRPr="00424672">
        <w:rPr>
          <w:i/>
        </w:rPr>
        <w:t>Succession Law: A Succession (Adjustment) Act</w:t>
      </w:r>
      <w:r w:rsidRPr="00CD3321">
        <w:t xml:space="preserve"> </w:t>
      </w:r>
      <w:r>
        <w:t>(</w:t>
      </w:r>
      <w:r w:rsidRPr="00CD3321">
        <w:t>R</w:t>
      </w:r>
      <w:r>
        <w:t xml:space="preserve">eport </w:t>
      </w:r>
      <w:r w:rsidRPr="00CD3321">
        <w:t>39</w:t>
      </w:r>
      <w:r>
        <w:t xml:space="preserve">, August </w:t>
      </w:r>
      <w:r w:rsidRPr="00CD3321">
        <w:t xml:space="preserve">1997). See for example </w:t>
      </w:r>
      <w:r>
        <w:t xml:space="preserve">127–135, </w:t>
      </w:r>
      <w:r w:rsidRPr="00CD3321">
        <w:t>C176</w:t>
      </w:r>
      <w:r>
        <w:t>–</w:t>
      </w:r>
      <w:r w:rsidRPr="00CD3321">
        <w:t>C191.</w:t>
      </w:r>
    </w:p>
  </w:footnote>
  <w:footnote w:id="79">
    <w:p w14:paraId="5097EE0C" w14:textId="7174A246" w:rsidR="00780FA1" w:rsidRPr="00CD3321" w:rsidRDefault="00780FA1" w:rsidP="00CD3321">
      <w:pPr>
        <w:pStyle w:val="FootnoteTextTLRI"/>
      </w:pPr>
      <w:r w:rsidRPr="00CD3321">
        <w:rPr>
          <w:rStyle w:val="FootnoteReference"/>
          <w:rFonts w:eastAsia="Times"/>
          <w:szCs w:val="20"/>
          <w:lang w:val="x-none"/>
        </w:rPr>
        <w:footnoteRef/>
      </w:r>
      <w:r>
        <w:tab/>
        <w:t>QLRC</w:t>
      </w:r>
      <w:r w:rsidRPr="00CD3321">
        <w:t xml:space="preserve">, </w:t>
      </w:r>
      <w:r w:rsidRPr="004978EF">
        <w:rPr>
          <w:i/>
        </w:rPr>
        <w:t>Family Provision Supplementary Report to the Standing Committee of Attorneys General</w:t>
      </w:r>
      <w:r w:rsidR="0067111B">
        <w:t xml:space="preserve"> </w:t>
      </w:r>
      <w:r>
        <w:t>(</w:t>
      </w:r>
      <w:r w:rsidRPr="00CD3321">
        <w:t>Report No 58, July 2004</w:t>
      </w:r>
      <w:r>
        <w:t>).</w:t>
      </w:r>
    </w:p>
  </w:footnote>
  <w:footnote w:id="80">
    <w:p w14:paraId="18C39BB1" w14:textId="3E0650E5" w:rsidR="00780FA1" w:rsidRPr="00CD3321" w:rsidRDefault="00780FA1" w:rsidP="00CD3321">
      <w:pPr>
        <w:pStyle w:val="FootnoteTextTLRI"/>
      </w:pPr>
      <w:r w:rsidRPr="00CD3321">
        <w:rPr>
          <w:rStyle w:val="FootnoteReference"/>
          <w:rFonts w:eastAsia="Times"/>
          <w:szCs w:val="20"/>
          <w:lang w:val="x-none"/>
        </w:rPr>
        <w:footnoteRef/>
      </w:r>
      <w:r>
        <w:tab/>
      </w:r>
      <w:r w:rsidRPr="00CD3321">
        <w:t>Ibid Appendix 2.</w:t>
      </w:r>
    </w:p>
  </w:footnote>
  <w:footnote w:id="81">
    <w:p w14:paraId="544F202C" w14:textId="135A43A6" w:rsidR="00780FA1" w:rsidRPr="00CD3321" w:rsidRDefault="00780FA1" w:rsidP="00CD3321">
      <w:pPr>
        <w:pStyle w:val="FootnoteTextTLRI"/>
      </w:pPr>
      <w:r w:rsidRPr="00CD3321">
        <w:rPr>
          <w:rStyle w:val="FootnoteReference"/>
          <w:rFonts w:eastAsia="Times"/>
          <w:szCs w:val="20"/>
          <w:lang w:val="x-none"/>
        </w:rPr>
        <w:footnoteRef/>
      </w:r>
      <w:r>
        <w:tab/>
      </w:r>
      <w:r w:rsidRPr="00CD3321">
        <w:t>Ibid [3.9]</w:t>
      </w:r>
      <w:r>
        <w:t>–</w:t>
      </w:r>
      <w:r w:rsidRPr="00CD3321">
        <w:t>[3.31].</w:t>
      </w:r>
    </w:p>
  </w:footnote>
  <w:footnote w:id="82">
    <w:p w14:paraId="465A01AD" w14:textId="36BBA4DC" w:rsidR="00780FA1" w:rsidRPr="00CD3321" w:rsidRDefault="00780FA1" w:rsidP="00CD3321">
      <w:pPr>
        <w:pStyle w:val="FootnoteTextTLRI"/>
      </w:pPr>
      <w:r w:rsidRPr="00CD3321">
        <w:rPr>
          <w:rStyle w:val="FootnoteReference"/>
          <w:rFonts w:eastAsia="Times"/>
          <w:szCs w:val="20"/>
          <w:lang w:val="x-none"/>
        </w:rPr>
        <w:footnoteRef/>
      </w:r>
      <w:r>
        <w:tab/>
        <w:t xml:space="preserve">NSWLRC (n </w:t>
      </w:r>
      <w:r>
        <w:fldChar w:fldCharType="begin"/>
      </w:r>
      <w:r>
        <w:instrText xml:space="preserve"> NOTEREF _Ref1898297 \h </w:instrText>
      </w:r>
      <w:r>
        <w:fldChar w:fldCharType="separate"/>
      </w:r>
      <w:r w:rsidR="00A276CE">
        <w:t>70</w:t>
      </w:r>
      <w:r>
        <w:fldChar w:fldCharType="end"/>
      </w:r>
      <w:r>
        <w:t>).</w:t>
      </w:r>
    </w:p>
  </w:footnote>
  <w:footnote w:id="83">
    <w:p w14:paraId="56618411" w14:textId="27E606EB" w:rsidR="00780FA1" w:rsidRPr="00CD3321" w:rsidRDefault="00780FA1" w:rsidP="00CD3321">
      <w:pPr>
        <w:pStyle w:val="FootnoteTextTLRI"/>
      </w:pPr>
      <w:r w:rsidRPr="00CD3321">
        <w:rPr>
          <w:rStyle w:val="FootnoteReference"/>
          <w:rFonts w:eastAsia="Times"/>
          <w:szCs w:val="20"/>
          <w:lang w:val="x-none"/>
        </w:rPr>
        <w:footnoteRef/>
      </w:r>
      <w:r>
        <w:tab/>
        <w:t>VLRC</w:t>
      </w:r>
      <w:r w:rsidRPr="00CD3321">
        <w:t xml:space="preserve">, </w:t>
      </w:r>
      <w:r w:rsidRPr="00E13ADE">
        <w:rPr>
          <w:i/>
        </w:rPr>
        <w:t>Succession Laws: Family Provision</w:t>
      </w:r>
      <w:r>
        <w:t xml:space="preserve"> (</w:t>
      </w:r>
      <w:r w:rsidRPr="00CD3321">
        <w:t>Consultation Paper No 12</w:t>
      </w:r>
      <w:r>
        <w:t xml:space="preserve">, </w:t>
      </w:r>
      <w:r w:rsidRPr="00CD3321">
        <w:t>2012).</w:t>
      </w:r>
    </w:p>
  </w:footnote>
  <w:footnote w:id="84">
    <w:p w14:paraId="0532E41D" w14:textId="030530F1" w:rsidR="00780FA1" w:rsidRPr="00CD3321" w:rsidRDefault="00780FA1" w:rsidP="007313B3">
      <w:pPr>
        <w:pStyle w:val="FootnoteTextTLRI"/>
      </w:pPr>
      <w:r w:rsidRPr="00CD3321">
        <w:rPr>
          <w:rStyle w:val="FootnoteReference"/>
          <w:rFonts w:eastAsia="Times"/>
          <w:szCs w:val="20"/>
          <w:lang w:val="x-none"/>
        </w:rPr>
        <w:footnoteRef/>
      </w:r>
      <w:r>
        <w:tab/>
        <w:t>Ibid [</w:t>
      </w:r>
      <w:r w:rsidRPr="00CD3321">
        <w:t>2.69</w:t>
      </w:r>
      <w:r>
        <w:t>]</w:t>
      </w:r>
      <w:r w:rsidRPr="00CD3321">
        <w:t>–</w:t>
      </w:r>
      <w:r>
        <w:t>[</w:t>
      </w:r>
      <w:r w:rsidRPr="00CD3321">
        <w:t>2.93</w:t>
      </w:r>
      <w:r>
        <w:t>]</w:t>
      </w:r>
      <w:r w:rsidRPr="00CD3321">
        <w:t xml:space="preserve">. For the National Committee’s recommendations see </w:t>
      </w:r>
      <w:r>
        <w:t>[</w:t>
      </w:r>
      <w:r w:rsidRPr="00CD3321">
        <w:t>3.3.3</w:t>
      </w:r>
      <w:r>
        <w:t>]</w:t>
      </w:r>
      <w:r w:rsidRPr="009F744C">
        <w:t xml:space="preserve"> </w:t>
      </w:r>
      <w:r w:rsidRPr="00CD3321">
        <w:t>above</w:t>
      </w:r>
      <w:r>
        <w:t>.</w:t>
      </w:r>
    </w:p>
  </w:footnote>
  <w:footnote w:id="85">
    <w:p w14:paraId="48A587D3" w14:textId="79333D80" w:rsidR="00780FA1" w:rsidRPr="00CD3321" w:rsidRDefault="00780FA1" w:rsidP="00CD3321">
      <w:pPr>
        <w:pStyle w:val="FootnoteTextTLRI"/>
      </w:pPr>
      <w:r w:rsidRPr="00CD3321">
        <w:rPr>
          <w:rStyle w:val="FootnoteReference"/>
        </w:rPr>
        <w:footnoteRef/>
      </w:r>
      <w:r>
        <w:tab/>
      </w:r>
      <w:r w:rsidRPr="0022371C">
        <w:t xml:space="preserve">VLRC, </w:t>
      </w:r>
      <w:r w:rsidRPr="0022371C">
        <w:rPr>
          <w:i/>
        </w:rPr>
        <w:t>Succession Laws</w:t>
      </w:r>
      <w:r w:rsidRPr="0022371C">
        <w:t xml:space="preserve"> (Final Report, 2013) [6.180].</w:t>
      </w:r>
    </w:p>
  </w:footnote>
  <w:footnote w:id="86">
    <w:p w14:paraId="215A1EDE" w14:textId="685232D6" w:rsidR="00780FA1" w:rsidRPr="008F1E04" w:rsidRDefault="00780FA1" w:rsidP="008F1E04">
      <w:pPr>
        <w:pStyle w:val="FootnoteTextTLRI"/>
      </w:pPr>
      <w:r w:rsidRPr="008F1E04">
        <w:rPr>
          <w:rStyle w:val="FootnoteReference"/>
        </w:rPr>
        <w:footnoteRef/>
      </w:r>
      <w:r>
        <w:tab/>
      </w:r>
      <w:r w:rsidRPr="008F1E04">
        <w:t xml:space="preserve">Ibid </w:t>
      </w:r>
      <w:r>
        <w:t>[</w:t>
      </w:r>
      <w:r w:rsidRPr="008F1E04">
        <w:t>6.181</w:t>
      </w:r>
      <w:r>
        <w:t>]</w:t>
      </w:r>
      <w:r w:rsidRPr="008F1E04">
        <w:t>.</w:t>
      </w:r>
    </w:p>
  </w:footnote>
  <w:footnote w:id="87">
    <w:p w14:paraId="72C5D414" w14:textId="637B8D32" w:rsidR="00780FA1" w:rsidRPr="00865AC1" w:rsidRDefault="00780FA1" w:rsidP="00314BF6">
      <w:pPr>
        <w:pStyle w:val="FootnoteTextTLRI"/>
      </w:pPr>
      <w:r w:rsidRPr="00314BF6">
        <w:rPr>
          <w:rStyle w:val="FootnoteReference"/>
          <w:rFonts w:eastAsia="Times"/>
          <w:szCs w:val="20"/>
          <w:lang w:val="en-AU" w:eastAsia="ja-JP"/>
        </w:rPr>
        <w:footnoteRef/>
      </w:r>
      <w:r>
        <w:tab/>
      </w:r>
      <w:r w:rsidRPr="00865AC1">
        <w:t>Ibid [6.183].</w:t>
      </w:r>
    </w:p>
  </w:footnote>
  <w:footnote w:id="88">
    <w:p w14:paraId="1EB30368" w14:textId="023A8103" w:rsidR="00780FA1" w:rsidRPr="001E494C" w:rsidRDefault="00780FA1" w:rsidP="001E494C">
      <w:pPr>
        <w:pStyle w:val="FootnoteText"/>
        <w:tabs>
          <w:tab w:val="left" w:pos="284"/>
        </w:tabs>
        <w:ind w:left="0" w:firstLine="0"/>
        <w:rPr>
          <w:lang w:val="en-AU"/>
        </w:rPr>
      </w:pPr>
      <w:r>
        <w:rPr>
          <w:rStyle w:val="FootnoteReference"/>
        </w:rPr>
        <w:footnoteRef/>
      </w:r>
      <w:r>
        <w:t xml:space="preserve"> </w:t>
      </w:r>
      <w:r>
        <w:tab/>
      </w:r>
      <w:r w:rsidRPr="001E494C">
        <w:rPr>
          <w:rFonts w:asciiTheme="majorBidi" w:hAnsiTheme="majorBidi" w:cstheme="majorBidi"/>
          <w:sz w:val="20"/>
          <w:szCs w:val="20"/>
          <w:lang w:val="en-AU"/>
        </w:rPr>
        <w:t>Ibid [6.185].</w:t>
      </w:r>
    </w:p>
  </w:footnote>
  <w:footnote w:id="89">
    <w:p w14:paraId="202317DF" w14:textId="607A80FE" w:rsidR="00780FA1" w:rsidRPr="00865AC1" w:rsidRDefault="00780FA1" w:rsidP="00314BF6">
      <w:pPr>
        <w:pStyle w:val="FootnoteTextTLRI"/>
      </w:pPr>
      <w:r w:rsidRPr="00314BF6">
        <w:rPr>
          <w:rStyle w:val="FootnoteReference"/>
          <w:rFonts w:eastAsia="Times"/>
          <w:szCs w:val="20"/>
          <w:lang w:val="en-AU" w:eastAsia="ja-JP"/>
        </w:rPr>
        <w:footnoteRef/>
      </w:r>
      <w:r>
        <w:tab/>
        <w:t>QLRC</w:t>
      </w:r>
      <w:r w:rsidRPr="00865AC1">
        <w:t xml:space="preserve">, </w:t>
      </w:r>
      <w:r w:rsidRPr="00865AC1">
        <w:rPr>
          <w:i/>
        </w:rPr>
        <w:t xml:space="preserve">Uniform Succession Laws for Australian States and Territories </w:t>
      </w:r>
      <w:r>
        <w:t>(</w:t>
      </w:r>
      <w:r w:rsidRPr="00865AC1">
        <w:t>Working Paper No 47</w:t>
      </w:r>
      <w:r>
        <w:t xml:space="preserve">, </w:t>
      </w:r>
      <w:r w:rsidRPr="00865AC1">
        <w:t>1995) 43</w:t>
      </w:r>
      <w:r>
        <w:t>.</w:t>
      </w:r>
    </w:p>
  </w:footnote>
  <w:footnote w:id="90">
    <w:p w14:paraId="7D57803A" w14:textId="262870E9" w:rsidR="00780FA1" w:rsidRPr="00865AC1" w:rsidRDefault="00780FA1" w:rsidP="00314BF6">
      <w:pPr>
        <w:pStyle w:val="FootnoteTextTLRI"/>
      </w:pPr>
      <w:r w:rsidRPr="00314BF6">
        <w:rPr>
          <w:rStyle w:val="FootnoteReference"/>
          <w:rFonts w:eastAsia="Times"/>
          <w:szCs w:val="20"/>
          <w:lang w:val="en-AU" w:eastAsia="ja-JP"/>
        </w:rPr>
        <w:footnoteRef/>
      </w:r>
      <w:r>
        <w:tab/>
      </w:r>
      <w:r w:rsidRPr="00865AC1">
        <w:t>VLRC</w:t>
      </w:r>
      <w:r>
        <w:t xml:space="preserve"> (n </w:t>
      </w:r>
      <w:r>
        <w:fldChar w:fldCharType="begin"/>
      </w:r>
      <w:r>
        <w:instrText xml:space="preserve"> NOTEREF _Ref1905366 \h </w:instrText>
      </w:r>
      <w:r>
        <w:fldChar w:fldCharType="separate"/>
      </w:r>
      <w:r w:rsidR="00A276CE">
        <w:t>85</w:t>
      </w:r>
      <w:r>
        <w:fldChar w:fldCharType="end"/>
      </w:r>
      <w:r>
        <w:t>)</w:t>
      </w:r>
      <w:r w:rsidRPr="00865AC1">
        <w:t xml:space="preserve"> [6.175]</w:t>
      </w:r>
      <w:r>
        <w:t>.</w:t>
      </w:r>
    </w:p>
  </w:footnote>
  <w:footnote w:id="91">
    <w:p w14:paraId="20DF3672" w14:textId="040F7287" w:rsidR="00780FA1" w:rsidRPr="00865AC1" w:rsidRDefault="00780FA1" w:rsidP="00314BF6">
      <w:pPr>
        <w:pStyle w:val="FootnoteTextTLRI"/>
      </w:pPr>
      <w:r w:rsidRPr="00314BF6">
        <w:rPr>
          <w:rStyle w:val="FootnoteReference"/>
          <w:rFonts w:eastAsia="Times"/>
          <w:szCs w:val="20"/>
          <w:lang w:val="en-AU" w:eastAsia="ja-JP"/>
        </w:rPr>
        <w:footnoteRef/>
      </w:r>
      <w:r>
        <w:tab/>
        <w:t>Ibid [6.175] c</w:t>
      </w:r>
      <w:r w:rsidRPr="00865AC1">
        <w:t xml:space="preserve">iting </w:t>
      </w:r>
      <w:r>
        <w:t xml:space="preserve">R </w:t>
      </w:r>
      <w:r w:rsidRPr="00865AC1">
        <w:t>Croucher, ‘Towards Uniform Succession Laws in Australia’ (2001) 83</w:t>
      </w:r>
      <w:r>
        <w:t xml:space="preserve"> </w:t>
      </w:r>
      <w:r w:rsidRPr="003550BB">
        <w:rPr>
          <w:i/>
        </w:rPr>
        <w:t>Australian Law Journal</w:t>
      </w:r>
      <w:r w:rsidRPr="00865AC1">
        <w:t xml:space="preserve"> 728</w:t>
      </w:r>
      <w:r>
        <w:t xml:space="preserve">, </w:t>
      </w:r>
      <w:r w:rsidRPr="00865AC1">
        <w:t>740</w:t>
      </w:r>
      <w:r>
        <w:t>.</w:t>
      </w:r>
    </w:p>
  </w:footnote>
  <w:footnote w:id="92">
    <w:p w14:paraId="3AA68A4C" w14:textId="6E4A4108" w:rsidR="00780FA1" w:rsidRPr="00865AC1" w:rsidRDefault="00780FA1" w:rsidP="00314BF6">
      <w:pPr>
        <w:pStyle w:val="FootnoteTextTLRI"/>
      </w:pPr>
      <w:r w:rsidRPr="00314BF6">
        <w:rPr>
          <w:rStyle w:val="FootnoteReference"/>
          <w:rFonts w:eastAsia="Times"/>
          <w:szCs w:val="20"/>
          <w:lang w:val="en-AU" w:eastAsia="ja-JP"/>
        </w:rPr>
        <w:footnoteRef/>
      </w:r>
      <w:r>
        <w:tab/>
      </w:r>
      <w:r w:rsidRPr="00865AC1">
        <w:t>VLRC</w:t>
      </w:r>
      <w:r>
        <w:t xml:space="preserve"> (n </w:t>
      </w:r>
      <w:r>
        <w:fldChar w:fldCharType="begin"/>
      </w:r>
      <w:r>
        <w:instrText xml:space="preserve"> NOTEREF _Ref1905366 \h </w:instrText>
      </w:r>
      <w:r>
        <w:fldChar w:fldCharType="separate"/>
      </w:r>
      <w:r w:rsidR="00A276CE">
        <w:t>85</w:t>
      </w:r>
      <w:r>
        <w:fldChar w:fldCharType="end"/>
      </w:r>
      <w:r>
        <w:t>)</w:t>
      </w:r>
      <w:r w:rsidRPr="00865AC1">
        <w:t xml:space="preserve"> [6.186].</w:t>
      </w:r>
    </w:p>
  </w:footnote>
  <w:footnote w:id="93">
    <w:p w14:paraId="7C006D7D" w14:textId="27917FDC" w:rsidR="00780FA1" w:rsidRPr="00865AC1" w:rsidRDefault="00780FA1" w:rsidP="006D3245">
      <w:pPr>
        <w:pStyle w:val="FootnoteTextTLRI"/>
      </w:pPr>
      <w:r w:rsidRPr="006D3245">
        <w:rPr>
          <w:rStyle w:val="FootnoteReference"/>
          <w:rFonts w:eastAsia="Times"/>
          <w:szCs w:val="20"/>
          <w:lang w:val="en-AU" w:eastAsia="ja-JP"/>
        </w:rPr>
        <w:footnoteRef/>
      </w:r>
      <w:r>
        <w:tab/>
        <w:t>SALRI</w:t>
      </w:r>
      <w:r w:rsidRPr="00865AC1">
        <w:t xml:space="preserve">, </w:t>
      </w:r>
      <w:r w:rsidRPr="00865AC1">
        <w:rPr>
          <w:i/>
        </w:rPr>
        <w:t xml:space="preserve">Distinguishing </w:t>
      </w:r>
      <w:r>
        <w:rPr>
          <w:i/>
        </w:rPr>
        <w:t>B</w:t>
      </w:r>
      <w:r w:rsidRPr="00865AC1">
        <w:rPr>
          <w:i/>
        </w:rPr>
        <w:t>etween the Deserving and the Undeserving: Family Provision Laws in South Australia</w:t>
      </w:r>
      <w:r w:rsidRPr="00865AC1">
        <w:t xml:space="preserve"> </w:t>
      </w:r>
      <w:r>
        <w:t>(</w:t>
      </w:r>
      <w:r w:rsidRPr="00865AC1">
        <w:t>Report No 9, December 2017</w:t>
      </w:r>
      <w:r>
        <w:t>)</w:t>
      </w:r>
      <w:r w:rsidRPr="00865AC1">
        <w:t xml:space="preserve"> Part 8.</w:t>
      </w:r>
    </w:p>
  </w:footnote>
  <w:footnote w:id="94">
    <w:p w14:paraId="44FFAF2F" w14:textId="5273CC75" w:rsidR="00780FA1" w:rsidRPr="00865AC1" w:rsidRDefault="00780FA1" w:rsidP="006D3245">
      <w:pPr>
        <w:pStyle w:val="FootnoteTextTLRI"/>
      </w:pPr>
      <w:r w:rsidRPr="006D3245">
        <w:rPr>
          <w:rStyle w:val="FootnoteReference"/>
          <w:rFonts w:eastAsia="Times"/>
          <w:szCs w:val="20"/>
          <w:lang w:val="en-AU" w:eastAsia="ja-JP"/>
        </w:rPr>
        <w:footnoteRef/>
      </w:r>
      <w:r>
        <w:tab/>
        <w:t>SALRI</w:t>
      </w:r>
      <w:r w:rsidRPr="00865AC1">
        <w:t xml:space="preserve">, </w:t>
      </w:r>
      <w:r w:rsidRPr="00865AC1">
        <w:rPr>
          <w:i/>
        </w:rPr>
        <w:t xml:space="preserve">Looking </w:t>
      </w:r>
      <w:r>
        <w:rPr>
          <w:i/>
        </w:rPr>
        <w:t>A</w:t>
      </w:r>
      <w:r w:rsidRPr="00865AC1">
        <w:rPr>
          <w:i/>
        </w:rPr>
        <w:t xml:space="preserve">fter </w:t>
      </w:r>
      <w:r>
        <w:rPr>
          <w:i/>
        </w:rPr>
        <w:t>O</w:t>
      </w:r>
      <w:r w:rsidRPr="00865AC1">
        <w:rPr>
          <w:i/>
        </w:rPr>
        <w:t xml:space="preserve">ne </w:t>
      </w:r>
      <w:r>
        <w:rPr>
          <w:i/>
        </w:rPr>
        <w:t>A</w:t>
      </w:r>
      <w:r w:rsidRPr="00865AC1">
        <w:rPr>
          <w:i/>
        </w:rPr>
        <w:t>nother: Family Provision Laws in South Australia</w:t>
      </w:r>
      <w:r>
        <w:t xml:space="preserve"> (</w:t>
      </w:r>
      <w:r w:rsidRPr="00865AC1">
        <w:t>Background Paper</w:t>
      </w:r>
      <w:r>
        <w:t xml:space="preserve">, </w:t>
      </w:r>
      <w:r w:rsidRPr="00865AC1">
        <w:t xml:space="preserve">February 2017). See also </w:t>
      </w:r>
      <w:r>
        <w:t>SALRI</w:t>
      </w:r>
      <w:r w:rsidRPr="00865AC1">
        <w:t xml:space="preserve">, </w:t>
      </w:r>
      <w:r w:rsidRPr="00865AC1">
        <w:rPr>
          <w:i/>
        </w:rPr>
        <w:t>Review of the Inheritance (Family Provision) Act 1972 (SA)</w:t>
      </w:r>
      <w:r w:rsidRPr="00177910">
        <w:t>,</w:t>
      </w:r>
      <w:r w:rsidRPr="00865AC1">
        <w:rPr>
          <w:i/>
        </w:rPr>
        <w:t xml:space="preserve"> Factsheet 7 – Notional </w:t>
      </w:r>
      <w:r>
        <w:rPr>
          <w:i/>
        </w:rPr>
        <w:t>E</w:t>
      </w:r>
      <w:r w:rsidRPr="00865AC1">
        <w:rPr>
          <w:i/>
        </w:rPr>
        <w:t xml:space="preserve">state and </w:t>
      </w:r>
      <w:r>
        <w:rPr>
          <w:i/>
        </w:rPr>
        <w:t>C</w:t>
      </w:r>
      <w:r w:rsidRPr="00865AC1">
        <w:rPr>
          <w:i/>
        </w:rPr>
        <w:t xml:space="preserve">lawback </w:t>
      </w:r>
      <w:r>
        <w:rPr>
          <w:i/>
        </w:rPr>
        <w:t>P</w:t>
      </w:r>
      <w:r w:rsidRPr="00865AC1">
        <w:rPr>
          <w:i/>
        </w:rPr>
        <w:t>rovisions</w:t>
      </w:r>
      <w:r w:rsidRPr="00865AC1">
        <w:t xml:space="preserve"> (2 February 2017).</w:t>
      </w:r>
    </w:p>
  </w:footnote>
  <w:footnote w:id="95">
    <w:p w14:paraId="25F93C26" w14:textId="74B68CAC" w:rsidR="00780FA1" w:rsidRPr="00865AC1" w:rsidRDefault="00780FA1" w:rsidP="006D3245">
      <w:pPr>
        <w:pStyle w:val="FootnoteTextTLRI"/>
      </w:pPr>
      <w:r w:rsidRPr="006D3245">
        <w:rPr>
          <w:rStyle w:val="FootnoteReference"/>
          <w:rFonts w:eastAsia="Times"/>
          <w:szCs w:val="20"/>
          <w:lang w:val="en-AU" w:eastAsia="ja-JP"/>
        </w:rPr>
        <w:footnoteRef/>
      </w:r>
      <w:r>
        <w:tab/>
        <w:t xml:space="preserve">SALRI (n </w:t>
      </w:r>
      <w:r>
        <w:fldChar w:fldCharType="begin"/>
      </w:r>
      <w:r>
        <w:instrText xml:space="preserve"> NOTEREF _Ref2255831 \h </w:instrText>
      </w:r>
      <w:r>
        <w:fldChar w:fldCharType="separate"/>
      </w:r>
      <w:r w:rsidR="00A276CE">
        <w:t>93</w:t>
      </w:r>
      <w:r>
        <w:fldChar w:fldCharType="end"/>
      </w:r>
      <w:r>
        <w:t>)</w:t>
      </w:r>
      <w:r w:rsidRPr="00865AC1">
        <w:t xml:space="preserve"> </w:t>
      </w:r>
      <w:r>
        <w:t>[</w:t>
      </w:r>
      <w:r w:rsidRPr="00865AC1">
        <w:t>8.3.16</w:t>
      </w:r>
      <w:r>
        <w:t>]</w:t>
      </w:r>
      <w:r w:rsidRPr="00865AC1">
        <w:t>–</w:t>
      </w:r>
      <w:r>
        <w:t>[</w:t>
      </w:r>
      <w:r w:rsidRPr="00865AC1">
        <w:t>8.3.17</w:t>
      </w:r>
      <w:r>
        <w:t>].</w:t>
      </w:r>
    </w:p>
  </w:footnote>
  <w:footnote w:id="96">
    <w:p w14:paraId="6585464C" w14:textId="00CF7372" w:rsidR="00780FA1" w:rsidRPr="00865AC1" w:rsidRDefault="00780FA1" w:rsidP="006D3245">
      <w:pPr>
        <w:pStyle w:val="FootnoteTextTLRI"/>
      </w:pPr>
      <w:r w:rsidRPr="006D3245">
        <w:rPr>
          <w:rStyle w:val="FootnoteReference"/>
          <w:rFonts w:eastAsia="Times"/>
          <w:szCs w:val="20"/>
          <w:lang w:val="en-AU" w:eastAsia="ja-JP"/>
        </w:rPr>
        <w:footnoteRef/>
      </w:r>
      <w:r>
        <w:tab/>
      </w:r>
      <w:r w:rsidRPr="00865AC1">
        <w:t>Ibid</w:t>
      </w:r>
      <w:r>
        <w:t xml:space="preserve"> [</w:t>
      </w:r>
      <w:r w:rsidRPr="00865AC1">
        <w:t>8.4.1</w:t>
      </w:r>
      <w:r>
        <w:t>].</w:t>
      </w:r>
    </w:p>
  </w:footnote>
  <w:footnote w:id="97">
    <w:p w14:paraId="44E6B48D" w14:textId="0213655D" w:rsidR="00780FA1" w:rsidRPr="00865AC1" w:rsidRDefault="00780FA1" w:rsidP="006D3245">
      <w:pPr>
        <w:pStyle w:val="FootnoteTextTLRI"/>
      </w:pPr>
      <w:r w:rsidRPr="006D3245">
        <w:rPr>
          <w:rStyle w:val="FootnoteReference"/>
          <w:rFonts w:eastAsia="Times"/>
          <w:szCs w:val="20"/>
          <w:lang w:val="en-AU" w:eastAsia="ja-JP"/>
        </w:rPr>
        <w:footnoteRef/>
      </w:r>
      <w:r>
        <w:tab/>
      </w:r>
      <w:r w:rsidRPr="00865AC1">
        <w:t xml:space="preserve">Ibid </w:t>
      </w:r>
      <w:r>
        <w:t xml:space="preserve">[8.4.2] </w:t>
      </w:r>
      <w:r w:rsidRPr="00865AC1">
        <w:t>Recommendation 27.</w:t>
      </w:r>
    </w:p>
  </w:footnote>
  <w:footnote w:id="98">
    <w:p w14:paraId="6AADDF67" w14:textId="0873AAEF" w:rsidR="00780FA1" w:rsidRPr="00865AC1" w:rsidRDefault="00780FA1" w:rsidP="006D3245">
      <w:pPr>
        <w:pStyle w:val="FootnoteTextTLRI"/>
      </w:pPr>
      <w:r w:rsidRPr="006D3245">
        <w:rPr>
          <w:rStyle w:val="FootnoteReference"/>
          <w:rFonts w:eastAsia="Times"/>
          <w:szCs w:val="20"/>
          <w:lang w:val="en-AU" w:eastAsia="ja-JP"/>
        </w:rPr>
        <w:footnoteRef/>
      </w:r>
      <w:r>
        <w:tab/>
      </w:r>
      <w:r w:rsidRPr="00865AC1">
        <w:t>Craig Gregson LLM TEP</w:t>
      </w:r>
      <w:r>
        <w:t>,</w:t>
      </w:r>
      <w:r w:rsidRPr="00865AC1">
        <w:t xml:space="preserve"> principal solicitor at Gregson &amp; Associates and Senior Associate at Havilah Legal. </w:t>
      </w:r>
    </w:p>
  </w:footnote>
  <w:footnote w:id="99">
    <w:p w14:paraId="61A96CC6" w14:textId="5C7218D2" w:rsidR="00780FA1" w:rsidRPr="00865AC1" w:rsidRDefault="00780FA1" w:rsidP="006D3245">
      <w:pPr>
        <w:pStyle w:val="FootnoteTextTLRI"/>
      </w:pPr>
      <w:r w:rsidRPr="006D3245">
        <w:rPr>
          <w:rStyle w:val="FootnoteReference"/>
          <w:rFonts w:eastAsia="Times"/>
          <w:szCs w:val="20"/>
          <w:lang w:val="en-AU" w:eastAsia="ja-JP"/>
        </w:rPr>
        <w:footnoteRef/>
      </w:r>
      <w:r>
        <w:tab/>
      </w:r>
      <w:r w:rsidRPr="00865AC1">
        <w:t xml:space="preserve">Craig Gregson, </w:t>
      </w:r>
      <w:r w:rsidRPr="00444AA1">
        <w:rPr>
          <w:i/>
        </w:rPr>
        <w:t>Notional Estate Provisions: A Case for Implementation in Western Australia</w:t>
      </w:r>
      <w:r>
        <w:t xml:space="preserve"> (</w:t>
      </w:r>
      <w:r w:rsidRPr="00865AC1">
        <w:t>5 March 2017</w:t>
      </w:r>
      <w:r>
        <w:t>)</w:t>
      </w:r>
      <w:r w:rsidRPr="00865AC1">
        <w:t xml:space="preserve"> (A531550)</w:t>
      </w:r>
      <w:r>
        <w:t>.</w:t>
      </w:r>
    </w:p>
  </w:footnote>
  <w:footnote w:id="100">
    <w:p w14:paraId="3BBEC2D1" w14:textId="37AAD6E9"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 11</w:t>
      </w:r>
      <w:r>
        <w:t>–</w:t>
      </w:r>
      <w:r w:rsidRPr="000969B1">
        <w:t>12</w:t>
      </w:r>
      <w:r>
        <w:t>.</w:t>
      </w:r>
    </w:p>
  </w:footnote>
  <w:footnote w:id="101">
    <w:p w14:paraId="2044B26E" w14:textId="0C6C6998"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w:t>
      </w:r>
      <w:r>
        <w:t xml:space="preserve"> </w:t>
      </w:r>
      <w:r w:rsidRPr="000969B1">
        <w:t>16</w:t>
      </w:r>
      <w:r>
        <w:t>–</w:t>
      </w:r>
      <w:r w:rsidRPr="000969B1">
        <w:t>28</w:t>
      </w:r>
      <w:r>
        <w:t>.</w:t>
      </w:r>
    </w:p>
  </w:footnote>
  <w:footnote w:id="102">
    <w:p w14:paraId="71BFAD12" w14:textId="65A4FBE7"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 38</w:t>
      </w:r>
      <w:r>
        <w:t>.</w:t>
      </w:r>
    </w:p>
  </w:footnote>
  <w:footnote w:id="103">
    <w:p w14:paraId="615F86A5" w14:textId="0F6C3A34"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 42</w:t>
      </w:r>
      <w:r>
        <w:t>–</w:t>
      </w:r>
      <w:r w:rsidRPr="000969B1">
        <w:t>50</w:t>
      </w:r>
      <w:r>
        <w:t>.</w:t>
      </w:r>
    </w:p>
  </w:footnote>
  <w:footnote w:id="104">
    <w:p w14:paraId="28BD5291" w14:textId="4DDBC2A1"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w:t>
      </w:r>
      <w:r>
        <w:t xml:space="preserve"> </w:t>
      </w:r>
      <w:r w:rsidRPr="000969B1">
        <w:t>49</w:t>
      </w:r>
      <w:r>
        <w:t>.</w:t>
      </w:r>
    </w:p>
  </w:footnote>
  <w:footnote w:id="105">
    <w:p w14:paraId="77E1F1ED" w14:textId="36F09B16" w:rsidR="00780FA1" w:rsidRPr="000969B1" w:rsidRDefault="00780FA1" w:rsidP="000969B1">
      <w:pPr>
        <w:pStyle w:val="FootnoteTextTLRI"/>
      </w:pPr>
      <w:r w:rsidRPr="000969B1">
        <w:rPr>
          <w:rStyle w:val="FootnoteReference"/>
          <w:rFonts w:eastAsia="Times"/>
          <w:szCs w:val="20"/>
          <w:lang w:val="en-AU" w:eastAsia="ja-JP"/>
        </w:rPr>
        <w:footnoteRef/>
      </w:r>
      <w:r>
        <w:tab/>
      </w:r>
      <w:r w:rsidRPr="000969B1">
        <w:t>Ibid 51</w:t>
      </w:r>
      <w:r>
        <w:t>.</w:t>
      </w:r>
    </w:p>
  </w:footnote>
  <w:footnote w:id="106">
    <w:p w14:paraId="6669E2DB" w14:textId="20051C8A" w:rsidR="00780FA1" w:rsidRPr="00CB618C" w:rsidRDefault="00780FA1" w:rsidP="00CB618C">
      <w:pPr>
        <w:pStyle w:val="FootnoteTextTLRI"/>
      </w:pPr>
      <w:r w:rsidRPr="00CB618C">
        <w:rPr>
          <w:rStyle w:val="FootnoteReference"/>
          <w:rFonts w:eastAsia="Times"/>
          <w:szCs w:val="20"/>
          <w:lang w:val="en-AU" w:eastAsia="ja-JP"/>
        </w:rPr>
        <w:footnoteRef/>
      </w:r>
      <w:r>
        <w:tab/>
      </w:r>
      <w:r w:rsidRPr="00CB618C">
        <w:t xml:space="preserve">Appendix B contains a full extract of ss 55, 74, 75, 76, 80, 87 and 88 of the </w:t>
      </w:r>
      <w:r w:rsidRPr="00CB618C">
        <w:rPr>
          <w:i/>
        </w:rPr>
        <w:t>Succession Act 2006</w:t>
      </w:r>
      <w:r w:rsidRPr="00CB618C">
        <w:t xml:space="preserve"> (NSW)</w:t>
      </w:r>
      <w:r>
        <w:t>.</w:t>
      </w:r>
    </w:p>
  </w:footnote>
  <w:footnote w:id="107">
    <w:p w14:paraId="72617719" w14:textId="1402577E" w:rsidR="00780FA1" w:rsidRPr="00CB618C" w:rsidRDefault="00780FA1" w:rsidP="00CB618C">
      <w:pPr>
        <w:pStyle w:val="FootnoteTextTLRI"/>
      </w:pPr>
      <w:r w:rsidRPr="00CB618C">
        <w:rPr>
          <w:rStyle w:val="FootnoteReference"/>
          <w:rFonts w:eastAsia="Times"/>
          <w:szCs w:val="20"/>
          <w:lang w:val="en-AU" w:eastAsia="ja-JP"/>
        </w:rPr>
        <w:footnoteRef/>
      </w:r>
      <w:r>
        <w:tab/>
      </w:r>
      <w:r w:rsidRPr="00CB618C">
        <w:rPr>
          <w:i/>
        </w:rPr>
        <w:t>Succession Act 2006</w:t>
      </w:r>
      <w:r w:rsidRPr="00CB618C">
        <w:t xml:space="preserve"> (NSW) s</w:t>
      </w:r>
      <w:r>
        <w:t xml:space="preserve"> </w:t>
      </w:r>
      <w:r w:rsidRPr="00CB618C">
        <w:t>79.</w:t>
      </w:r>
    </w:p>
  </w:footnote>
  <w:footnote w:id="108">
    <w:p w14:paraId="0DDA2706" w14:textId="074167B2" w:rsidR="00780FA1" w:rsidRPr="00CB618C" w:rsidRDefault="00780FA1" w:rsidP="00CB618C">
      <w:pPr>
        <w:pStyle w:val="FootnoteTextTLRI"/>
      </w:pPr>
      <w:r w:rsidRPr="00CB618C">
        <w:rPr>
          <w:rStyle w:val="FootnoteReference"/>
          <w:rFonts w:eastAsia="Times"/>
          <w:szCs w:val="20"/>
          <w:lang w:val="en-AU" w:eastAsia="ja-JP"/>
        </w:rPr>
        <w:footnoteRef/>
      </w:r>
      <w:r>
        <w:tab/>
      </w:r>
      <w:r w:rsidRPr="00CB618C">
        <w:t>Ibid s 80.</w:t>
      </w:r>
    </w:p>
  </w:footnote>
  <w:footnote w:id="109">
    <w:p w14:paraId="53E7490B" w14:textId="2F27E202" w:rsidR="00780FA1" w:rsidRPr="00CB618C" w:rsidRDefault="00780FA1" w:rsidP="00CB618C">
      <w:pPr>
        <w:pStyle w:val="FootnoteTextTLRI"/>
      </w:pPr>
      <w:r w:rsidRPr="00CB618C">
        <w:rPr>
          <w:rStyle w:val="FootnoteReference"/>
          <w:rFonts w:eastAsia="Times"/>
          <w:szCs w:val="20"/>
          <w:lang w:val="en-AU" w:eastAsia="ja-JP"/>
        </w:rPr>
        <w:footnoteRef/>
      </w:r>
      <w:r>
        <w:tab/>
      </w:r>
      <w:r w:rsidRPr="00CB618C">
        <w:t>Ibid s 81.</w:t>
      </w:r>
    </w:p>
  </w:footnote>
  <w:footnote w:id="110">
    <w:p w14:paraId="262761F1" w14:textId="1AC45288" w:rsidR="00780FA1" w:rsidRPr="00CB618C" w:rsidRDefault="00780FA1" w:rsidP="00CB618C">
      <w:pPr>
        <w:pStyle w:val="FootnoteTextTLRI"/>
      </w:pPr>
      <w:r w:rsidRPr="00CB618C">
        <w:rPr>
          <w:rStyle w:val="FootnoteReference"/>
          <w:rFonts w:eastAsia="Times"/>
          <w:szCs w:val="20"/>
          <w:lang w:val="en-AU" w:eastAsia="ja-JP"/>
        </w:rPr>
        <w:footnoteRef/>
      </w:r>
      <w:r>
        <w:tab/>
        <w:t>Ibid</w:t>
      </w:r>
      <w:r w:rsidRPr="00CB618C">
        <w:t xml:space="preserve"> s</w:t>
      </w:r>
      <w:r>
        <w:t xml:space="preserve"> </w:t>
      </w:r>
      <w:r w:rsidRPr="00CB618C">
        <w:t>75.</w:t>
      </w:r>
    </w:p>
  </w:footnote>
  <w:footnote w:id="111">
    <w:p w14:paraId="6B612881" w14:textId="7B6F3C1B" w:rsidR="00780FA1" w:rsidRPr="00865AC1" w:rsidRDefault="00780FA1" w:rsidP="00A06D36">
      <w:pPr>
        <w:pStyle w:val="FootnoteTextTLRI"/>
      </w:pPr>
      <w:r w:rsidRPr="00A06D36">
        <w:rPr>
          <w:rStyle w:val="FootnoteReference"/>
          <w:rFonts w:eastAsia="Times"/>
          <w:szCs w:val="20"/>
          <w:lang w:val="en-AU" w:eastAsia="ja-JP"/>
        </w:rPr>
        <w:footnoteRef/>
      </w:r>
      <w:r>
        <w:tab/>
        <w:t>Ibid</w:t>
      </w:r>
      <w:r w:rsidRPr="00865AC1">
        <w:t xml:space="preserve"> s 76(2).</w:t>
      </w:r>
    </w:p>
  </w:footnote>
  <w:footnote w:id="112">
    <w:p w14:paraId="014985E3" w14:textId="4384342E" w:rsidR="00780FA1" w:rsidRPr="00865AC1" w:rsidRDefault="00780FA1" w:rsidP="00A06D36">
      <w:pPr>
        <w:pStyle w:val="FootnoteTextTLRI"/>
      </w:pPr>
      <w:r w:rsidRPr="00A06D36">
        <w:rPr>
          <w:rStyle w:val="FootnoteReference"/>
          <w:rFonts w:eastAsia="Times"/>
          <w:szCs w:val="20"/>
          <w:lang w:val="en-AU" w:eastAsia="ja-JP"/>
        </w:rPr>
        <w:footnoteRef/>
      </w:r>
      <w:r>
        <w:tab/>
      </w:r>
      <w:r w:rsidRPr="00865AC1">
        <w:t>Ibid s</w:t>
      </w:r>
      <w:r>
        <w:t xml:space="preserve"> </w:t>
      </w:r>
      <w:r w:rsidRPr="00865AC1">
        <w:t>76(3).</w:t>
      </w:r>
    </w:p>
  </w:footnote>
  <w:footnote w:id="113">
    <w:p w14:paraId="34CB8D69" w14:textId="7561DC0E" w:rsidR="00780FA1" w:rsidRPr="00865AC1" w:rsidRDefault="00780FA1" w:rsidP="00AD1F4F">
      <w:pPr>
        <w:pStyle w:val="FootnoteTextTLRI"/>
      </w:pPr>
      <w:r w:rsidRPr="00A06D36">
        <w:rPr>
          <w:rStyle w:val="FootnoteReference"/>
          <w:rFonts w:eastAsia="Times"/>
          <w:szCs w:val="20"/>
          <w:lang w:val="en-AU" w:eastAsia="ja-JP"/>
        </w:rPr>
        <w:footnoteRef/>
      </w:r>
      <w:r>
        <w:tab/>
      </w:r>
      <w:r w:rsidRPr="00865AC1">
        <w:t>(1998) 43 NSWLR 422. This case concerned the estate of Charles Keith Hyland, who took steps since at least 1972 to limit claims on his estate by his wife and children. As part of these steps, Hyland formed a stiftung, the Gartner Foundation. A stiftung foundation is a form of civil law construct found mainly in German-speaking countries and is a type of entity with its own legal personality but one which answers absolutely to its founder. Hyland registered his Gartner Foundation in Liechtenstein and transferred his assets to it.</w:t>
      </w:r>
      <w:r>
        <w:t xml:space="preserve"> </w:t>
      </w:r>
      <w:r w:rsidRPr="00865AC1">
        <w:t>Before and following Hyland’s death, the Gartner Foundation was administered by Yves Defago, who received all instructions regarding the formation and running of the Foundation from Hyland himself, or through Hyland’s representatives. The nature of this relationship was considered critical by the court, as the firms that Defago ran were, by law, the founders of the Gartner Foundation. However it was the court’s view that in effect, Hyland ‘pulled the strings’ that controlled the founder, in this case Defago’s firms.</w:t>
      </w:r>
      <w:r>
        <w:t xml:space="preserve"> </w:t>
      </w:r>
      <w:r w:rsidRPr="00865AC1">
        <w:t>This was seen as important as, technically, it was the Gartner Foundation, not Hyland himself, that actually made the decision to exclude some family members from the distribution of the estate.</w:t>
      </w:r>
    </w:p>
  </w:footnote>
  <w:footnote w:id="114">
    <w:p w14:paraId="6B0DEB5D" w14:textId="5DCDFDD9" w:rsidR="00780FA1" w:rsidRPr="00865AC1" w:rsidRDefault="00780FA1" w:rsidP="00A06D36">
      <w:pPr>
        <w:pStyle w:val="FootnoteTextTLRI"/>
      </w:pPr>
      <w:r w:rsidRPr="00A06D36">
        <w:rPr>
          <w:rStyle w:val="FootnoteReference"/>
          <w:rFonts w:eastAsia="Times"/>
          <w:szCs w:val="20"/>
          <w:lang w:val="en-AU" w:eastAsia="ja-JP"/>
        </w:rPr>
        <w:footnoteRef/>
      </w:r>
      <w:r>
        <w:tab/>
      </w:r>
      <w:r w:rsidRPr="00865AC1">
        <w:t>Ibid 441.</w:t>
      </w:r>
    </w:p>
  </w:footnote>
  <w:footnote w:id="115">
    <w:p w14:paraId="22DF579C" w14:textId="0A8CF8F5" w:rsidR="00780FA1" w:rsidRPr="002908DC" w:rsidRDefault="00780FA1" w:rsidP="002908DC">
      <w:pPr>
        <w:pStyle w:val="FootnoteTextTLRI"/>
      </w:pPr>
      <w:r w:rsidRPr="002908DC">
        <w:rPr>
          <w:rStyle w:val="FootnoteReference"/>
          <w:rFonts w:eastAsia="Times"/>
          <w:szCs w:val="20"/>
          <w:lang w:val="en-AU" w:eastAsia="ja-JP"/>
        </w:rPr>
        <w:footnoteRef/>
      </w:r>
      <w:r>
        <w:tab/>
      </w:r>
      <w:r w:rsidRPr="002908DC">
        <w:t>Ibid 446</w:t>
      </w:r>
      <w:r>
        <w:t>–</w:t>
      </w:r>
      <w:r w:rsidRPr="002908DC">
        <w:t>447.</w:t>
      </w:r>
    </w:p>
  </w:footnote>
  <w:footnote w:id="116">
    <w:p w14:paraId="3328FEC6" w14:textId="6F10E595" w:rsidR="00780FA1" w:rsidRPr="002908DC" w:rsidRDefault="00780FA1" w:rsidP="002908DC">
      <w:pPr>
        <w:pStyle w:val="FootnoteTextTLRI"/>
      </w:pPr>
      <w:r w:rsidRPr="002908DC">
        <w:rPr>
          <w:rStyle w:val="FootnoteReference"/>
          <w:rFonts w:eastAsia="Times"/>
          <w:szCs w:val="20"/>
          <w:lang w:val="en-AU" w:eastAsia="ja-JP"/>
        </w:rPr>
        <w:footnoteRef/>
      </w:r>
      <w:r>
        <w:tab/>
      </w:r>
      <w:r w:rsidRPr="002908DC">
        <w:t>(1987) 11 NSWLR 551.</w:t>
      </w:r>
    </w:p>
  </w:footnote>
  <w:footnote w:id="117">
    <w:p w14:paraId="307F5008" w14:textId="307F1D69" w:rsidR="00780FA1" w:rsidRPr="002908DC" w:rsidRDefault="00780FA1" w:rsidP="002908DC">
      <w:pPr>
        <w:pStyle w:val="FootnoteTextTLRI"/>
      </w:pPr>
      <w:r w:rsidRPr="002908DC">
        <w:rPr>
          <w:rStyle w:val="FootnoteReference"/>
          <w:rFonts w:eastAsia="Times"/>
          <w:szCs w:val="20"/>
          <w:lang w:val="en-AU" w:eastAsia="ja-JP"/>
        </w:rPr>
        <w:footnoteRef/>
      </w:r>
      <w:r>
        <w:tab/>
      </w:r>
      <w:r w:rsidRPr="002908DC">
        <w:t>[2005] NSWSC 670.</w:t>
      </w:r>
    </w:p>
  </w:footnote>
  <w:footnote w:id="118">
    <w:p w14:paraId="46B7C8B5" w14:textId="7A20783B" w:rsidR="00780FA1" w:rsidRPr="00B108F7" w:rsidRDefault="00780FA1" w:rsidP="00B108F7">
      <w:pPr>
        <w:pStyle w:val="FootnoteTextTLRI"/>
      </w:pPr>
      <w:r w:rsidRPr="00B108F7">
        <w:rPr>
          <w:rStyle w:val="FootnoteReference"/>
          <w:rFonts w:eastAsia="Times"/>
          <w:szCs w:val="20"/>
          <w:lang w:val="en-AU" w:eastAsia="ja-JP"/>
        </w:rPr>
        <w:footnoteRef/>
      </w:r>
      <w:r>
        <w:tab/>
      </w:r>
      <w:r w:rsidRPr="00CB618C">
        <w:rPr>
          <w:i/>
        </w:rPr>
        <w:t>Succession Act 2006</w:t>
      </w:r>
      <w:r w:rsidRPr="00CB618C">
        <w:t xml:space="preserve"> (NSW)</w:t>
      </w:r>
      <w:r w:rsidRPr="00B108F7">
        <w:t xml:space="preserve"> s 80.</w:t>
      </w:r>
    </w:p>
  </w:footnote>
  <w:footnote w:id="119">
    <w:p w14:paraId="30EDCA3C" w14:textId="3078210C" w:rsidR="00780FA1" w:rsidRPr="00B108F7" w:rsidRDefault="00780FA1" w:rsidP="00B108F7">
      <w:pPr>
        <w:pStyle w:val="FootnoteTextTLRI"/>
      </w:pPr>
      <w:r w:rsidRPr="00B108F7">
        <w:rPr>
          <w:rStyle w:val="FootnoteReference"/>
          <w:rFonts w:eastAsia="Times"/>
          <w:szCs w:val="20"/>
          <w:lang w:val="en-AU" w:eastAsia="ja-JP"/>
        </w:rPr>
        <w:footnoteRef/>
      </w:r>
      <w:r>
        <w:tab/>
      </w:r>
      <w:r w:rsidRPr="00B108F7">
        <w:t>Ibid s</w:t>
      </w:r>
      <w:r>
        <w:t xml:space="preserve"> </w:t>
      </w:r>
      <w:r w:rsidRPr="00B108F7">
        <w:t>81.</w:t>
      </w:r>
    </w:p>
  </w:footnote>
  <w:footnote w:id="120">
    <w:p w14:paraId="55A9D357" w14:textId="378A58F0" w:rsidR="00780FA1" w:rsidRPr="00B108F7" w:rsidRDefault="00780FA1" w:rsidP="00B108F7">
      <w:pPr>
        <w:pStyle w:val="FootnoteTextTLRI"/>
      </w:pPr>
      <w:r w:rsidRPr="00B108F7">
        <w:rPr>
          <w:rStyle w:val="FootnoteReference"/>
          <w:rFonts w:eastAsia="Times"/>
          <w:szCs w:val="20"/>
          <w:lang w:val="en-AU" w:eastAsia="ja-JP"/>
        </w:rPr>
        <w:footnoteRef/>
      </w:r>
      <w:r>
        <w:tab/>
      </w:r>
      <w:r w:rsidRPr="00B108F7">
        <w:t>Ibid s</w:t>
      </w:r>
      <w:r>
        <w:t xml:space="preserve"> </w:t>
      </w:r>
      <w:r w:rsidRPr="00B108F7">
        <w:t>82.</w:t>
      </w:r>
    </w:p>
  </w:footnote>
  <w:footnote w:id="121">
    <w:p w14:paraId="6E2211DB" w14:textId="69083D16" w:rsidR="00780FA1" w:rsidRPr="00B108F7" w:rsidRDefault="00780FA1" w:rsidP="00B108F7">
      <w:pPr>
        <w:pStyle w:val="FootnoteTextTLRI"/>
      </w:pPr>
      <w:r w:rsidRPr="00B108F7">
        <w:rPr>
          <w:rStyle w:val="FootnoteReference"/>
          <w:rFonts w:eastAsia="Times"/>
          <w:szCs w:val="20"/>
          <w:lang w:val="en-AU" w:eastAsia="ja-JP"/>
        </w:rPr>
        <w:footnoteRef/>
      </w:r>
      <w:r>
        <w:tab/>
      </w:r>
      <w:r w:rsidRPr="00B108F7">
        <w:t>‘</w:t>
      </w:r>
      <w:r>
        <w:t>P</w:t>
      </w:r>
      <w:r w:rsidRPr="00B108F7">
        <w:t xml:space="preserve">rincipal party to the transaction’ is defined as follows: </w:t>
      </w:r>
      <w:r>
        <w:t>‘</w:t>
      </w:r>
      <w:r w:rsidRPr="00B108F7">
        <w:t>principal party to the transaction, in relation to a relevant property transaction, means the person who, under section 75 or 76, enters into the relevant property transaction</w:t>
      </w:r>
      <w:r>
        <w:t>’</w:t>
      </w:r>
      <w:r w:rsidRPr="00B108F7">
        <w:t xml:space="preserve">: </w:t>
      </w:r>
      <w:r>
        <w:t>i</w:t>
      </w:r>
      <w:r w:rsidRPr="00B108F7">
        <w:t>bid s</w:t>
      </w:r>
      <w:r>
        <w:t xml:space="preserve"> </w:t>
      </w:r>
      <w:r w:rsidRPr="00B108F7">
        <w:t>83(2).</w:t>
      </w:r>
    </w:p>
  </w:footnote>
  <w:footnote w:id="122">
    <w:p w14:paraId="2C13F685" w14:textId="09C8EC76" w:rsidR="00780FA1" w:rsidRPr="00B108F7" w:rsidRDefault="00780FA1" w:rsidP="00B108F7">
      <w:pPr>
        <w:pStyle w:val="FootnoteTextTLRI"/>
      </w:pPr>
      <w:r w:rsidRPr="00B108F7">
        <w:rPr>
          <w:rStyle w:val="FootnoteReference"/>
          <w:rFonts w:eastAsia="Times"/>
          <w:szCs w:val="20"/>
          <w:lang w:val="en-AU" w:eastAsia="ja-JP"/>
        </w:rPr>
        <w:footnoteRef/>
      </w:r>
      <w:r>
        <w:tab/>
      </w:r>
      <w:r w:rsidRPr="00B108F7">
        <w:t>Including alone, or jointly or severally.</w:t>
      </w:r>
    </w:p>
  </w:footnote>
  <w:footnote w:id="123">
    <w:p w14:paraId="73CE80FE" w14:textId="60DD0557" w:rsidR="00780FA1" w:rsidRPr="00B108F7" w:rsidRDefault="00780FA1" w:rsidP="00B108F7">
      <w:pPr>
        <w:pStyle w:val="FootnoteTextTLRI"/>
      </w:pPr>
      <w:r w:rsidRPr="00B108F7">
        <w:rPr>
          <w:rStyle w:val="FootnoteReference"/>
          <w:rFonts w:eastAsia="Times"/>
          <w:szCs w:val="20"/>
          <w:lang w:val="en-AU" w:eastAsia="ja-JP"/>
        </w:rPr>
        <w:footnoteRef/>
      </w:r>
      <w:r>
        <w:tab/>
      </w:r>
      <w:r w:rsidRPr="00CB618C">
        <w:rPr>
          <w:i/>
        </w:rPr>
        <w:t>Succession Act 2006</w:t>
      </w:r>
      <w:r w:rsidRPr="00CB618C">
        <w:t xml:space="preserve"> (NSW)</w:t>
      </w:r>
      <w:r w:rsidRPr="00B108F7">
        <w:t xml:space="preserve"> s</w:t>
      </w:r>
      <w:r>
        <w:t xml:space="preserve"> </w:t>
      </w:r>
      <w:r w:rsidRPr="00B108F7">
        <w:t>83(1).</w:t>
      </w:r>
    </w:p>
  </w:footnote>
  <w:footnote w:id="124">
    <w:p w14:paraId="4BA5191E" w14:textId="76636ACA" w:rsidR="00780FA1" w:rsidRPr="006143EF" w:rsidRDefault="00780FA1" w:rsidP="006143EF">
      <w:pPr>
        <w:pStyle w:val="FootnoteTextTLRI"/>
      </w:pPr>
      <w:r w:rsidRPr="00B21D51">
        <w:rPr>
          <w:rStyle w:val="FootnoteReference"/>
        </w:rPr>
        <w:footnoteRef/>
      </w:r>
      <w:r>
        <w:tab/>
      </w:r>
      <w:r w:rsidRPr="006143EF">
        <w:t xml:space="preserve">Ibid </w:t>
      </w:r>
      <w:r w:rsidR="0074176F">
        <w:t>div</w:t>
      </w:r>
      <w:r w:rsidRPr="006143EF">
        <w:t xml:space="preserve"> 3.</w:t>
      </w:r>
    </w:p>
  </w:footnote>
  <w:footnote w:id="125">
    <w:p w14:paraId="7A9DA547" w14:textId="4D0B9D4B" w:rsidR="00780FA1" w:rsidRPr="006143EF" w:rsidRDefault="00780FA1" w:rsidP="006143EF">
      <w:pPr>
        <w:pStyle w:val="FootnoteTextTLRI"/>
      </w:pPr>
      <w:r w:rsidRPr="006143EF">
        <w:rPr>
          <w:rStyle w:val="FootnoteReference"/>
        </w:rPr>
        <w:footnoteRef/>
      </w:r>
      <w:r w:rsidRPr="006143EF">
        <w:tab/>
        <w:t>Ibid s 88.</w:t>
      </w:r>
    </w:p>
  </w:footnote>
  <w:footnote w:id="126">
    <w:p w14:paraId="03D5E90C" w14:textId="42303D2C" w:rsidR="00780FA1" w:rsidRPr="006143EF" w:rsidRDefault="00780FA1" w:rsidP="006143EF">
      <w:pPr>
        <w:pStyle w:val="FootnoteTextTLRI"/>
      </w:pPr>
      <w:r w:rsidRPr="006143EF">
        <w:rPr>
          <w:rStyle w:val="FootnoteReference"/>
        </w:rPr>
        <w:footnoteRef/>
      </w:r>
      <w:r w:rsidRPr="006143EF">
        <w:tab/>
        <w:t>Ibid s 79.</w:t>
      </w:r>
    </w:p>
  </w:footnote>
  <w:footnote w:id="127">
    <w:p w14:paraId="71113217" w14:textId="29EEAA90" w:rsidR="00780FA1" w:rsidRPr="006143EF" w:rsidRDefault="00780FA1" w:rsidP="006143EF">
      <w:pPr>
        <w:pStyle w:val="FootnoteTextTLRI"/>
      </w:pPr>
      <w:r w:rsidRPr="006143EF">
        <w:rPr>
          <w:rStyle w:val="FootnoteReference"/>
        </w:rPr>
        <w:footnoteRef/>
      </w:r>
      <w:r w:rsidRPr="006143EF">
        <w:tab/>
        <w:t>Ibid s 87.</w:t>
      </w:r>
    </w:p>
  </w:footnote>
  <w:footnote w:id="128">
    <w:p w14:paraId="759EB38D" w14:textId="6F7C4C31" w:rsidR="00780FA1" w:rsidRPr="006143EF" w:rsidRDefault="00780FA1" w:rsidP="006143EF">
      <w:pPr>
        <w:pStyle w:val="FootnoteTextTLRI"/>
      </w:pPr>
      <w:r w:rsidRPr="006143EF">
        <w:rPr>
          <w:rStyle w:val="FootnoteReference"/>
        </w:rPr>
        <w:footnoteRef/>
      </w:r>
      <w:r w:rsidRPr="006143EF">
        <w:tab/>
        <w:t>Ibid s 89(1).</w:t>
      </w:r>
    </w:p>
  </w:footnote>
  <w:footnote w:id="129">
    <w:p w14:paraId="72BC4394" w14:textId="52BE0DAA" w:rsidR="00780FA1" w:rsidRPr="006143EF" w:rsidRDefault="00780FA1" w:rsidP="006143EF">
      <w:pPr>
        <w:pStyle w:val="FootnoteTextTLRI"/>
      </w:pPr>
      <w:r w:rsidRPr="006143EF">
        <w:rPr>
          <w:rStyle w:val="FootnoteReference"/>
        </w:rPr>
        <w:footnoteRef/>
      </w:r>
      <w:r w:rsidRPr="006143EF">
        <w:tab/>
        <w:t>Ibid s 89(2).</w:t>
      </w:r>
    </w:p>
  </w:footnote>
  <w:footnote w:id="130">
    <w:p w14:paraId="0714FE74" w14:textId="112E80FD" w:rsidR="00780FA1" w:rsidRPr="00865AC1" w:rsidRDefault="00780FA1" w:rsidP="006143EF">
      <w:pPr>
        <w:pStyle w:val="FootnoteTextTLRI"/>
      </w:pPr>
      <w:r w:rsidRPr="006143EF">
        <w:rPr>
          <w:rStyle w:val="FootnoteReference"/>
        </w:rPr>
        <w:footnoteRef/>
      </w:r>
      <w:r>
        <w:tab/>
      </w:r>
      <w:r w:rsidRPr="00865AC1">
        <w:t>Ibid s</w:t>
      </w:r>
      <w:r>
        <w:t xml:space="preserve"> </w:t>
      </w:r>
      <w:r w:rsidRPr="00865AC1">
        <w:t>89(3).</w:t>
      </w:r>
    </w:p>
  </w:footnote>
  <w:footnote w:id="131">
    <w:p w14:paraId="1F3CE140" w14:textId="45A1A994" w:rsidR="00780FA1" w:rsidRPr="00865AC1" w:rsidRDefault="00780FA1" w:rsidP="006143EF">
      <w:pPr>
        <w:pStyle w:val="FootnoteTextTLRI"/>
      </w:pPr>
      <w:r w:rsidRPr="006143EF">
        <w:rPr>
          <w:rStyle w:val="FootnoteReference"/>
        </w:rPr>
        <w:footnoteRef/>
      </w:r>
      <w:r>
        <w:tab/>
      </w:r>
      <w:r w:rsidRPr="00865AC1">
        <w:t>Ibid s</w:t>
      </w:r>
      <w:r>
        <w:t xml:space="preserve"> </w:t>
      </w:r>
      <w:r w:rsidRPr="00865AC1">
        <w:t>92.</w:t>
      </w:r>
    </w:p>
  </w:footnote>
  <w:footnote w:id="132">
    <w:p w14:paraId="7A1DF071" w14:textId="10D0F8CE" w:rsidR="00780FA1" w:rsidRPr="00865AC1" w:rsidRDefault="00780FA1" w:rsidP="006143EF">
      <w:pPr>
        <w:pStyle w:val="FootnoteTextTLRI"/>
      </w:pPr>
      <w:r w:rsidRPr="006143EF">
        <w:rPr>
          <w:rStyle w:val="FootnoteReference"/>
        </w:rPr>
        <w:footnoteRef/>
      </w:r>
      <w:r>
        <w:tab/>
      </w:r>
      <w:r w:rsidRPr="00865AC1">
        <w:t>[2011] NSWSC 1408.</w:t>
      </w:r>
    </w:p>
  </w:footnote>
  <w:footnote w:id="133">
    <w:p w14:paraId="56E01F70" w14:textId="17E08798" w:rsidR="00780FA1" w:rsidRPr="00865AC1" w:rsidRDefault="00780FA1" w:rsidP="006143EF">
      <w:pPr>
        <w:pStyle w:val="FootnoteTextTLRI"/>
      </w:pPr>
      <w:r w:rsidRPr="006143EF">
        <w:rPr>
          <w:rStyle w:val="FootnoteReference"/>
        </w:rPr>
        <w:footnoteRef/>
      </w:r>
      <w:r>
        <w:tab/>
      </w:r>
      <w:r w:rsidRPr="00865AC1">
        <w:t>Ibid [191].</w:t>
      </w:r>
    </w:p>
  </w:footnote>
  <w:footnote w:id="134">
    <w:p w14:paraId="65934269" w14:textId="13CC0649" w:rsidR="00780FA1" w:rsidRPr="00865AC1" w:rsidRDefault="00780FA1" w:rsidP="006143EF">
      <w:pPr>
        <w:pStyle w:val="FootnoteTextTLRI"/>
      </w:pPr>
      <w:r w:rsidRPr="006143EF">
        <w:rPr>
          <w:rStyle w:val="FootnoteReference"/>
        </w:rPr>
        <w:footnoteRef/>
      </w:r>
      <w:r>
        <w:tab/>
      </w:r>
      <w:r w:rsidRPr="00CB618C">
        <w:rPr>
          <w:i/>
        </w:rPr>
        <w:t>Succession Act 2006</w:t>
      </w:r>
      <w:r w:rsidRPr="00CB618C">
        <w:t xml:space="preserve"> (NSW)</w:t>
      </w:r>
      <w:r w:rsidRPr="00865AC1">
        <w:t xml:space="preserve"> s</w:t>
      </w:r>
      <w:r>
        <w:t xml:space="preserve"> </w:t>
      </w:r>
      <w:r w:rsidRPr="00865AC1">
        <w:t>84.</w:t>
      </w:r>
    </w:p>
  </w:footnote>
  <w:footnote w:id="135">
    <w:p w14:paraId="4771AE17" w14:textId="614F8AA3" w:rsidR="00780FA1" w:rsidRPr="00865AC1" w:rsidRDefault="00780FA1" w:rsidP="003C4781">
      <w:pPr>
        <w:pStyle w:val="FootnoteTextTLRI"/>
      </w:pPr>
      <w:r w:rsidRPr="003C4781">
        <w:rPr>
          <w:rStyle w:val="FootnoteReference"/>
        </w:rPr>
        <w:footnoteRef/>
      </w:r>
      <w:r>
        <w:tab/>
      </w:r>
      <w:r w:rsidRPr="00865AC1">
        <w:t>[2012] NSWSC 841.</w:t>
      </w:r>
    </w:p>
  </w:footnote>
  <w:footnote w:id="136">
    <w:p w14:paraId="1C70E39C" w14:textId="2494F897" w:rsidR="00780FA1" w:rsidRPr="00865AC1" w:rsidRDefault="00780FA1" w:rsidP="003C4781">
      <w:pPr>
        <w:pStyle w:val="FootnoteTextTLRI"/>
      </w:pPr>
      <w:r w:rsidRPr="003C4781">
        <w:rPr>
          <w:rStyle w:val="FootnoteReference"/>
        </w:rPr>
        <w:footnoteRef/>
      </w:r>
      <w:r>
        <w:tab/>
      </w:r>
      <w:r w:rsidRPr="00865AC1">
        <w:rPr>
          <w:i/>
        </w:rPr>
        <w:t>Succession Act 2006</w:t>
      </w:r>
      <w:r w:rsidRPr="00865AC1">
        <w:t xml:space="preserve"> (NSW) s 76(2)(b).</w:t>
      </w:r>
    </w:p>
  </w:footnote>
  <w:footnote w:id="137">
    <w:p w14:paraId="4E0EDD2F" w14:textId="61002039" w:rsidR="00780FA1" w:rsidRPr="00865AC1" w:rsidRDefault="00780FA1" w:rsidP="003C4781">
      <w:pPr>
        <w:pStyle w:val="FootnoteTextTLRI"/>
      </w:pPr>
      <w:r w:rsidRPr="003C4781">
        <w:rPr>
          <w:rStyle w:val="FootnoteReference"/>
        </w:rPr>
        <w:footnoteRef/>
      </w:r>
      <w:r>
        <w:tab/>
      </w:r>
      <w:r w:rsidRPr="00865AC1">
        <w:t>[2007] NSWCA 33.</w:t>
      </w:r>
    </w:p>
  </w:footnote>
  <w:footnote w:id="138">
    <w:p w14:paraId="6960FD5E" w14:textId="4E937BA1" w:rsidR="00780FA1" w:rsidRPr="00865AC1" w:rsidRDefault="00780FA1" w:rsidP="002C4C98">
      <w:pPr>
        <w:pStyle w:val="FootnoteTextTLRI"/>
      </w:pPr>
      <w:r w:rsidRPr="002C4C98">
        <w:rPr>
          <w:rStyle w:val="FootnoteReference"/>
        </w:rPr>
        <w:footnoteRef/>
      </w:r>
      <w:r>
        <w:tab/>
      </w:r>
      <w:r w:rsidRPr="00865AC1">
        <w:t>(1987) 11 NSWLR 551.</w:t>
      </w:r>
    </w:p>
  </w:footnote>
  <w:footnote w:id="139">
    <w:p w14:paraId="3FB365F2" w14:textId="2FD1BE9D" w:rsidR="00780FA1" w:rsidRPr="00865AC1" w:rsidRDefault="00780FA1" w:rsidP="002C4C98">
      <w:pPr>
        <w:pStyle w:val="FootnoteTextTLRI"/>
      </w:pPr>
      <w:r w:rsidRPr="002C4C98">
        <w:rPr>
          <w:rStyle w:val="FootnoteReference"/>
        </w:rPr>
        <w:footnoteRef/>
      </w:r>
      <w:r>
        <w:tab/>
      </w:r>
      <w:r w:rsidRPr="00865AC1">
        <w:t>(unreported 26 October 1989).</w:t>
      </w:r>
    </w:p>
  </w:footnote>
  <w:footnote w:id="140">
    <w:p w14:paraId="78BBB13B" w14:textId="1734218C" w:rsidR="00780FA1" w:rsidRPr="00BF1993" w:rsidRDefault="00780FA1" w:rsidP="00BF1993">
      <w:pPr>
        <w:pStyle w:val="FootnoteTextTLRI"/>
      </w:pPr>
      <w:r w:rsidRPr="00BF1993">
        <w:rPr>
          <w:rStyle w:val="FootnoteReference"/>
        </w:rPr>
        <w:footnoteRef/>
      </w:r>
      <w:r>
        <w:tab/>
      </w:r>
      <w:r w:rsidRPr="00BF1993">
        <w:t xml:space="preserve">This question is based upon a question originally formulated by the </w:t>
      </w:r>
      <w:r>
        <w:t xml:space="preserve">VLRC. See VLRC (n </w:t>
      </w:r>
      <w:r>
        <w:fldChar w:fldCharType="begin"/>
      </w:r>
      <w:r>
        <w:instrText xml:space="preserve"> NOTEREF _Ref1938910 \h </w:instrText>
      </w:r>
      <w:r>
        <w:fldChar w:fldCharType="separate"/>
      </w:r>
      <w:r w:rsidR="00A276CE">
        <w:t>83</w:t>
      </w:r>
      <w:r>
        <w:fldChar w:fldCharType="end"/>
      </w:r>
      <w:r>
        <w:t>)</w:t>
      </w:r>
      <w:r w:rsidRPr="00BF1993">
        <w:t xml:space="preserve"> </w:t>
      </w:r>
      <w:r>
        <w:t xml:space="preserve">34 </w:t>
      </w:r>
      <w:r w:rsidRPr="00BF1993">
        <w:t>Question FP7.</w:t>
      </w:r>
    </w:p>
  </w:footnote>
  <w:footnote w:id="141">
    <w:p w14:paraId="725AFA17" w14:textId="48AE7CD6" w:rsidR="00780FA1" w:rsidRPr="00BF1993" w:rsidRDefault="00780FA1" w:rsidP="00BF1993">
      <w:pPr>
        <w:pStyle w:val="FootnoteTextTLRI"/>
      </w:pPr>
      <w:r w:rsidRPr="00BF1993">
        <w:rPr>
          <w:rStyle w:val="FootnoteReference"/>
        </w:rPr>
        <w:footnoteRef/>
      </w:r>
      <w:r>
        <w:tab/>
        <w:t xml:space="preserve">NSWLRC (n </w:t>
      </w:r>
      <w:r>
        <w:fldChar w:fldCharType="begin"/>
      </w:r>
      <w:r>
        <w:instrText xml:space="preserve"> NOTEREF _Ref1938999 \h </w:instrText>
      </w:r>
      <w:r>
        <w:fldChar w:fldCharType="separate"/>
      </w:r>
      <w:r w:rsidR="00A276CE">
        <w:t>74</w:t>
      </w:r>
      <w:r>
        <w:fldChar w:fldCharType="end"/>
      </w:r>
      <w:r>
        <w:t>) [</w:t>
      </w:r>
      <w:r w:rsidRPr="00BF1993">
        <w:t>2.22.3</w:t>
      </w:r>
      <w:r>
        <w:t>].</w:t>
      </w:r>
    </w:p>
  </w:footnote>
  <w:footnote w:id="142">
    <w:p w14:paraId="1F62B802" w14:textId="46BAFA5C" w:rsidR="00780FA1" w:rsidRPr="00BF1993" w:rsidRDefault="00780FA1" w:rsidP="00BF1993">
      <w:pPr>
        <w:pStyle w:val="FootnoteTextTLRI"/>
      </w:pPr>
      <w:r w:rsidRPr="00BF1993">
        <w:rPr>
          <w:rStyle w:val="FootnoteReference"/>
        </w:rPr>
        <w:footnoteRef/>
      </w:r>
      <w:r>
        <w:tab/>
      </w:r>
      <w:r w:rsidRPr="00BF1993">
        <w:t>Ibid</w:t>
      </w:r>
      <w:r>
        <w:t xml:space="preserve"> [</w:t>
      </w:r>
      <w:r w:rsidRPr="00BF1993">
        <w:t>2.22.11</w:t>
      </w:r>
      <w:r>
        <w:t>].</w:t>
      </w:r>
    </w:p>
  </w:footnote>
  <w:footnote w:id="143">
    <w:p w14:paraId="2939EE9C" w14:textId="55478265" w:rsidR="00780FA1" w:rsidRPr="00136147" w:rsidRDefault="00780FA1" w:rsidP="00136147">
      <w:pPr>
        <w:pStyle w:val="FootnoteTextTLRI"/>
      </w:pPr>
      <w:r w:rsidRPr="00AC240E">
        <w:rPr>
          <w:rStyle w:val="FootnoteReference"/>
          <w:lang w:val="en-AU"/>
        </w:rPr>
        <w:footnoteRef/>
      </w:r>
      <w:r>
        <w:tab/>
      </w:r>
      <w:r w:rsidRPr="00136147">
        <w:t>Ibid</w:t>
      </w:r>
      <w:r>
        <w:t xml:space="preserve"> [</w:t>
      </w:r>
      <w:r w:rsidRPr="00136147">
        <w:t>2.22.12</w:t>
      </w:r>
      <w:r>
        <w:t>].</w:t>
      </w:r>
    </w:p>
  </w:footnote>
  <w:footnote w:id="144">
    <w:p w14:paraId="63708291" w14:textId="0E2F264B" w:rsidR="00780FA1" w:rsidRPr="00136147" w:rsidRDefault="00780FA1" w:rsidP="00136147">
      <w:pPr>
        <w:pStyle w:val="FootnoteTextTLRI"/>
      </w:pPr>
      <w:r w:rsidRPr="00AC240E">
        <w:rPr>
          <w:rStyle w:val="FootnoteReference"/>
          <w:lang w:val="en-AU"/>
        </w:rPr>
        <w:footnoteRef/>
      </w:r>
      <w:r>
        <w:tab/>
      </w:r>
      <w:r w:rsidRPr="00136147">
        <w:t xml:space="preserve">This question was originally formulated by the </w:t>
      </w:r>
      <w:r>
        <w:t xml:space="preserve">VLRC. See VLRC (n </w:t>
      </w:r>
      <w:r>
        <w:fldChar w:fldCharType="begin"/>
      </w:r>
      <w:r>
        <w:instrText xml:space="preserve"> NOTEREF _Ref1938910 \h </w:instrText>
      </w:r>
      <w:r>
        <w:fldChar w:fldCharType="separate"/>
      </w:r>
      <w:r w:rsidR="00A276CE">
        <w:t>83</w:t>
      </w:r>
      <w:r>
        <w:fldChar w:fldCharType="end"/>
      </w:r>
      <w:r>
        <w:t>) 34</w:t>
      </w:r>
      <w:r w:rsidRPr="00136147">
        <w:t xml:space="preserve"> Question FP8.</w:t>
      </w:r>
    </w:p>
  </w:footnote>
  <w:footnote w:id="145">
    <w:p w14:paraId="18794A8E" w14:textId="65E2E384" w:rsidR="00780FA1" w:rsidRPr="009667B1" w:rsidRDefault="00780FA1" w:rsidP="009667B1">
      <w:pPr>
        <w:pStyle w:val="FootnoteTextTLRI"/>
      </w:pPr>
      <w:r w:rsidRPr="009667B1">
        <w:rPr>
          <w:rStyle w:val="FootnoteReference"/>
        </w:rPr>
        <w:footnoteRef/>
      </w:r>
      <w:r>
        <w:tab/>
      </w:r>
      <w:r w:rsidRPr="009667B1">
        <w:t xml:space="preserve">See for example </w:t>
      </w:r>
      <w:r w:rsidRPr="009667B1">
        <w:rPr>
          <w:i/>
        </w:rPr>
        <w:t>Social Security Act 1991</w:t>
      </w:r>
      <w:r w:rsidRPr="009667B1">
        <w:t xml:space="preserve"> (C</w:t>
      </w:r>
      <w:r>
        <w:t>th</w:t>
      </w:r>
      <w:r w:rsidRPr="009667B1">
        <w:t>) ss</w:t>
      </w:r>
      <w:r>
        <w:t xml:space="preserve"> </w:t>
      </w:r>
      <w:r w:rsidRPr="009667B1">
        <w:t>1126</w:t>
      </w:r>
      <w:r>
        <w:t>–</w:t>
      </w:r>
      <w:r w:rsidRPr="009667B1">
        <w:t>1126E.</w:t>
      </w:r>
    </w:p>
  </w:footnote>
  <w:footnote w:id="146">
    <w:p w14:paraId="64B9A3E3" w14:textId="418BCB97" w:rsidR="00780FA1" w:rsidRPr="009667B1" w:rsidRDefault="00780FA1" w:rsidP="009667B1">
      <w:pPr>
        <w:pStyle w:val="FootnoteTextTLRI"/>
      </w:pPr>
      <w:r w:rsidRPr="009667B1">
        <w:rPr>
          <w:rStyle w:val="FootnoteReference"/>
        </w:rPr>
        <w:footnoteRef/>
      </w:r>
      <w:r>
        <w:tab/>
      </w:r>
      <w:r w:rsidRPr="009667B1">
        <w:t xml:space="preserve">See for example </w:t>
      </w:r>
      <w:r w:rsidRPr="009667B1">
        <w:rPr>
          <w:i/>
        </w:rPr>
        <w:t>Bankruptcy Act 1966</w:t>
      </w:r>
      <w:r w:rsidRPr="009667B1">
        <w:t xml:space="preserve"> (Cth) ss 120</w:t>
      </w:r>
      <w:r>
        <w:t>–</w:t>
      </w:r>
      <w:r w:rsidRPr="009667B1">
        <w:t>121A.</w:t>
      </w:r>
    </w:p>
  </w:footnote>
  <w:footnote w:id="147">
    <w:p w14:paraId="273940AA" w14:textId="4C5CB314" w:rsidR="00780FA1" w:rsidRPr="009667B1" w:rsidRDefault="00780FA1" w:rsidP="009667B1">
      <w:pPr>
        <w:pStyle w:val="FootnoteTextTLRI"/>
      </w:pPr>
      <w:r w:rsidRPr="009667B1">
        <w:rPr>
          <w:rStyle w:val="FootnoteReference"/>
        </w:rPr>
        <w:footnoteRef/>
      </w:r>
      <w:r>
        <w:tab/>
        <w:t xml:space="preserve">SALRI (n </w:t>
      </w:r>
      <w:r>
        <w:fldChar w:fldCharType="begin"/>
      </w:r>
      <w:r>
        <w:instrText xml:space="preserve"> NOTEREF _Ref2255831 \h </w:instrText>
      </w:r>
      <w:r>
        <w:fldChar w:fldCharType="separate"/>
      </w:r>
      <w:r w:rsidR="00A276CE">
        <w:t>93</w:t>
      </w:r>
      <w:r>
        <w:fldChar w:fldCharType="end"/>
      </w:r>
      <w:r>
        <w:t>) [</w:t>
      </w:r>
      <w:r w:rsidRPr="009667B1">
        <w:t>8.3.5</w:t>
      </w:r>
      <w:r>
        <w:t>].</w:t>
      </w:r>
    </w:p>
  </w:footnote>
  <w:footnote w:id="148">
    <w:p w14:paraId="5A727A6B" w14:textId="0394DE1D" w:rsidR="00780FA1" w:rsidRPr="009667B1" w:rsidRDefault="00780FA1" w:rsidP="009667B1">
      <w:pPr>
        <w:pStyle w:val="FootnoteTextTLRI"/>
      </w:pPr>
      <w:r w:rsidRPr="009667B1">
        <w:rPr>
          <w:rStyle w:val="FootnoteReference"/>
        </w:rPr>
        <w:footnoteRef/>
      </w:r>
      <w:r>
        <w:tab/>
      </w:r>
      <w:r w:rsidRPr="009667B1">
        <w:t>The classic case is</w:t>
      </w:r>
      <w:r>
        <w:t xml:space="preserve"> </w:t>
      </w:r>
      <w:r w:rsidRPr="002F3E13">
        <w:rPr>
          <w:i/>
        </w:rPr>
        <w:t>Bridgewater v Leahy</w:t>
      </w:r>
      <w:r w:rsidRPr="009667B1">
        <w:t xml:space="preserve"> (1998) 194 CLR 457, in which Bill York made some lifetime transactions to benefit his nephew, Neil York, whom he believed was the only person who could carry on his farm. (A portion of land was sold to Neil for a substantial undervalue of around $546,000.) However, his benevolence left his widow and four daughters with little in the way of assets from his estate. They were successful in claiming undue influence and unconscionable conduct in relation to the lifetime transaction. However, the decision of the High Court was split, and later commentators have expressed disquiet at the acceptance of the two doctrines in this case.</w:t>
      </w:r>
    </w:p>
  </w:footnote>
  <w:footnote w:id="149">
    <w:p w14:paraId="042FCB19" w14:textId="3AE729C4" w:rsidR="00780FA1" w:rsidRPr="009667B1" w:rsidRDefault="00780FA1" w:rsidP="009667B1">
      <w:pPr>
        <w:pStyle w:val="FootnoteTextTLRI"/>
      </w:pPr>
      <w:r w:rsidRPr="009667B1">
        <w:rPr>
          <w:rStyle w:val="FootnoteReference"/>
        </w:rPr>
        <w:footnoteRef/>
      </w:r>
      <w:r>
        <w:tab/>
        <w:t xml:space="preserve">SALRI (n </w:t>
      </w:r>
      <w:r>
        <w:fldChar w:fldCharType="begin"/>
      </w:r>
      <w:r>
        <w:instrText xml:space="preserve"> NOTEREF _Ref2255831 \h </w:instrText>
      </w:r>
      <w:r>
        <w:fldChar w:fldCharType="separate"/>
      </w:r>
      <w:r w:rsidR="00A276CE">
        <w:t>93</w:t>
      </w:r>
      <w:r>
        <w:fldChar w:fldCharType="end"/>
      </w:r>
      <w:r>
        <w:t>)</w:t>
      </w:r>
      <w:r w:rsidRPr="009667B1">
        <w:t xml:space="preserve"> </w:t>
      </w:r>
      <w:r>
        <w:t>[</w:t>
      </w:r>
      <w:r w:rsidRPr="009667B1">
        <w:t>10.1</w:t>
      </w:r>
      <w:r>
        <w:t>]</w:t>
      </w:r>
      <w:r w:rsidRPr="009667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11E7" w14:textId="77777777" w:rsidR="00780FA1" w:rsidRDefault="00780F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6C7C" w14:textId="77777777" w:rsidR="00780FA1" w:rsidRDefault="00780F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DD83" w14:textId="77777777" w:rsidR="00780FA1" w:rsidRDefault="00780F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74D7" w14:textId="77777777" w:rsidR="00780FA1" w:rsidRDefault="00780F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784B" w14:textId="63BDECA6" w:rsidR="00780FA1" w:rsidRPr="00492B9F" w:rsidRDefault="00780FA1" w:rsidP="00492B9F">
    <w:pPr>
      <w:pStyle w:val="Header"/>
      <w:pBdr>
        <w:bottom w:val="single" w:sz="4" w:space="1" w:color="auto"/>
      </w:pBdr>
      <w:rPr>
        <w:rFonts w:ascii="Times New Roman" w:hAnsi="Times New Roman" w:cs="Times New Roman"/>
        <w:sz w:val="20"/>
        <w:szCs w:val="20"/>
        <w:lang w:val="en-AU"/>
      </w:rPr>
    </w:pPr>
    <w:r w:rsidRPr="00492B9F">
      <w:rPr>
        <w:rFonts w:ascii="Times New Roman" w:hAnsi="Times New Roman" w:cs="Times New Roman"/>
        <w:sz w:val="20"/>
        <w:szCs w:val="20"/>
        <w:lang w:val="en-AU"/>
      </w:rPr>
      <w:t xml:space="preserve">TLRI Issues Paper 28: Notional Estates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DB37" w14:textId="082C7B64"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sidRPr="00492B9F">
      <w:rPr>
        <w:rFonts w:ascii="Times New Roman" w:hAnsi="Times New Roman" w:cs="Times New Roman"/>
        <w:sz w:val="20"/>
        <w:szCs w:val="20"/>
        <w:lang w:val="en-AU"/>
      </w:rPr>
      <w:t>Executive summary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77DD" w14:textId="29F62A35" w:rsidR="00780FA1" w:rsidRDefault="00780F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30D5" w14:textId="0A0278FE" w:rsidR="00780FA1" w:rsidRDefault="00780FA1" w:rsidP="009603BA">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35B8" w14:textId="77777777" w:rsidR="00780FA1" w:rsidRDefault="00780F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8803" w14:textId="77777777" w:rsidR="00780FA1" w:rsidRDefault="00780F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24CB" w14:textId="153D1F64" w:rsidR="00780FA1" w:rsidRDefault="00780FA1" w:rsidP="00D1550B">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745" w14:textId="77777777" w:rsidR="00780FA1" w:rsidRDefault="00780F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1923" w14:textId="2D867210"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Part 1: Introduction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9199" w14:textId="77777777" w:rsidR="00780FA1" w:rsidRDefault="00780FA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BF5F" w14:textId="115E7AAD" w:rsidR="00780FA1" w:rsidRDefault="00780FA1" w:rsidP="00D1550B">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AB30" w14:textId="19D29546"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Part 2: </w:t>
    </w:r>
    <w:r w:rsidRPr="00492B9F">
      <w:rPr>
        <w:rFonts w:ascii="Times New Roman" w:hAnsi="Times New Roman" w:cs="Times New Roman"/>
        <w:sz w:val="20"/>
        <w:szCs w:val="20"/>
        <w:lang w:val="en-AU"/>
      </w:rPr>
      <w:t xml:space="preserve">Potential </w:t>
    </w:r>
    <w:r>
      <w:rPr>
        <w:rFonts w:ascii="Times New Roman" w:hAnsi="Times New Roman" w:cs="Times New Roman"/>
        <w:sz w:val="20"/>
        <w:szCs w:val="20"/>
        <w:lang w:val="en-AU"/>
      </w:rPr>
      <w:t>i</w:t>
    </w:r>
    <w:r w:rsidRPr="00492B9F">
      <w:rPr>
        <w:rFonts w:ascii="Times New Roman" w:hAnsi="Times New Roman" w:cs="Times New Roman"/>
        <w:sz w:val="20"/>
        <w:szCs w:val="20"/>
        <w:lang w:val="en-AU"/>
      </w:rPr>
      <w:t xml:space="preserve">ssues with the </w:t>
    </w:r>
    <w:r>
      <w:rPr>
        <w:rFonts w:ascii="Times New Roman" w:hAnsi="Times New Roman" w:cs="Times New Roman"/>
        <w:sz w:val="20"/>
        <w:szCs w:val="20"/>
        <w:lang w:val="en-AU"/>
      </w:rPr>
      <w:t>l</w:t>
    </w:r>
    <w:r w:rsidRPr="00492B9F">
      <w:rPr>
        <w:rFonts w:ascii="Times New Roman" w:hAnsi="Times New Roman" w:cs="Times New Roman"/>
        <w:sz w:val="20"/>
        <w:szCs w:val="20"/>
        <w:lang w:val="en-AU"/>
      </w:rPr>
      <w:t>aw</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C985" w14:textId="77777777" w:rsidR="00780FA1" w:rsidRDefault="00780FA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E73" w14:textId="1376F28A" w:rsidR="00780FA1" w:rsidRDefault="00780FA1" w:rsidP="00AF0614">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F4C6" w14:textId="3EB56084"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Part 3: </w:t>
    </w:r>
    <w:r w:rsidRPr="004F168E">
      <w:rPr>
        <w:rFonts w:ascii="Times New Roman" w:hAnsi="Times New Roman" w:cs="Times New Roman"/>
        <w:sz w:val="20"/>
      </w:rPr>
      <w:t xml:space="preserve">Development of the </w:t>
    </w:r>
    <w:r>
      <w:rPr>
        <w:rFonts w:ascii="Times New Roman" w:hAnsi="Times New Roman" w:cs="Times New Roman"/>
        <w:sz w:val="20"/>
        <w:lang w:val="en-AU"/>
      </w:rPr>
      <w:t>idea</w:t>
    </w:r>
    <w:r w:rsidRPr="004F168E">
      <w:rPr>
        <w:rFonts w:ascii="Times New Roman" w:hAnsi="Times New Roman" w:cs="Times New Roman"/>
        <w:sz w:val="20"/>
      </w:rPr>
      <w:t xml:space="preserve"> of the ‘</w:t>
    </w:r>
    <w:r>
      <w:rPr>
        <w:rFonts w:ascii="Times New Roman" w:hAnsi="Times New Roman" w:cs="Times New Roman"/>
        <w:sz w:val="20"/>
        <w:lang w:val="en-AU"/>
      </w:rPr>
      <w:t>notional e</w:t>
    </w:r>
    <w:r w:rsidRPr="004F168E">
      <w:rPr>
        <w:rFonts w:ascii="Times New Roman" w:hAnsi="Times New Roman" w:cs="Times New Roman"/>
        <w:sz w:val="20"/>
      </w:rPr>
      <w:t>state’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4EF4" w14:textId="77777777" w:rsidR="00780FA1" w:rsidRDefault="00780FA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5BD6" w14:textId="0EAE38AD" w:rsidR="00780FA1" w:rsidRDefault="00780FA1" w:rsidP="00E65D47">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5C1E" w14:textId="4F4489BC"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Part 4: </w:t>
    </w:r>
    <w:r w:rsidRPr="00E0536C">
      <w:rPr>
        <w:rFonts w:ascii="Times New Roman" w:hAnsi="Times New Roman" w:cs="Times New Roman"/>
        <w:sz w:val="20"/>
        <w:lang w:val="en-AU"/>
      </w:rPr>
      <w:t xml:space="preserve">New South Wales </w:t>
    </w:r>
    <w:r>
      <w:rPr>
        <w:rFonts w:ascii="Times New Roman" w:hAnsi="Times New Roman" w:cs="Times New Roman"/>
        <w:sz w:val="20"/>
        <w:lang w:val="en-AU"/>
      </w:rPr>
      <w:t>n</w:t>
    </w:r>
    <w:r w:rsidRPr="00E0536C">
      <w:rPr>
        <w:rFonts w:ascii="Times New Roman" w:hAnsi="Times New Roman" w:cs="Times New Roman"/>
        <w:sz w:val="20"/>
        <w:lang w:val="en-AU"/>
      </w:rPr>
      <w:t xml:space="preserve">otional </w:t>
    </w:r>
    <w:r>
      <w:rPr>
        <w:rFonts w:ascii="Times New Roman" w:hAnsi="Times New Roman" w:cs="Times New Roman"/>
        <w:sz w:val="20"/>
        <w:lang w:val="en-AU"/>
      </w:rPr>
      <w:t>e</w:t>
    </w:r>
    <w:r w:rsidRPr="00E0536C">
      <w:rPr>
        <w:rFonts w:ascii="Times New Roman" w:hAnsi="Times New Roman" w:cs="Times New Roman"/>
        <w:sz w:val="20"/>
        <w:lang w:val="en-AU"/>
      </w:rPr>
      <w:t xml:space="preserve">state </w:t>
    </w:r>
    <w:r>
      <w:rPr>
        <w:rFonts w:ascii="Times New Roman" w:hAnsi="Times New Roman" w:cs="Times New Roman"/>
        <w:sz w:val="20"/>
        <w:lang w:val="en-AU"/>
      </w:rPr>
      <w:t>p</w:t>
    </w:r>
    <w:r w:rsidRPr="00E0536C">
      <w:rPr>
        <w:rFonts w:ascii="Times New Roman" w:hAnsi="Times New Roman" w:cs="Times New Roman"/>
        <w:sz w:val="20"/>
        <w:lang w:val="en-AU"/>
      </w:rPr>
      <w:t>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605" w14:textId="77777777" w:rsidR="00780FA1" w:rsidRDefault="00780F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29FB" w14:textId="77777777" w:rsidR="00780FA1" w:rsidRDefault="00780FA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E927" w14:textId="26D76D49" w:rsidR="00780FA1" w:rsidRDefault="00780FA1" w:rsidP="000C1FC8">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8AEA" w14:textId="3F5586F7" w:rsidR="00780FA1" w:rsidRPr="00492B9F"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Part 5: </w:t>
    </w:r>
    <w:r w:rsidRPr="008744C2">
      <w:rPr>
        <w:rFonts w:ascii="Times New Roman" w:hAnsi="Times New Roman" w:cs="Times New Roman"/>
        <w:sz w:val="20"/>
      </w:rPr>
      <w:t xml:space="preserve">Options for </w:t>
    </w:r>
    <w:r w:rsidR="002B1C3B">
      <w:rPr>
        <w:rFonts w:ascii="Times New Roman" w:hAnsi="Times New Roman" w:cs="Times New Roman"/>
        <w:sz w:val="20"/>
        <w:lang w:val="en-AU"/>
      </w:rPr>
      <w:t>reform</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4C00" w14:textId="77777777" w:rsidR="00780FA1" w:rsidRDefault="00780F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DC31" w14:textId="04F32891" w:rsidR="00780FA1" w:rsidRDefault="00780FA1" w:rsidP="000C1FC8">
    <w:pPr>
      <w:pStyle w:val="Header"/>
      <w:pBdr>
        <w:bottom w:val="single" w:sz="4" w:space="1" w:color="auto"/>
      </w:pBdr>
    </w:pPr>
    <w:r w:rsidRPr="00492B9F">
      <w:rPr>
        <w:rFonts w:ascii="Times New Roman" w:hAnsi="Times New Roman" w:cs="Times New Roman"/>
        <w:sz w:val="20"/>
        <w:szCs w:val="20"/>
        <w:lang w:val="en-AU"/>
      </w:rPr>
      <w:t xml:space="preserve">TLRI Issues Paper 28: Notional Estates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BE4" w14:textId="1D0E2CAC" w:rsidR="00780FA1" w:rsidRPr="00307D3D"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Appendix A: </w:t>
    </w:r>
    <w:r w:rsidRPr="00307D3D">
      <w:rPr>
        <w:rFonts w:ascii="Times New Roman" w:hAnsi="Times New Roman" w:cs="Times New Roman"/>
        <w:bCs/>
        <w:i/>
        <w:sz w:val="20"/>
        <w:lang w:val="en-AU"/>
      </w:rPr>
      <w:t>Testator’s Family Maintenance Act 1912</w:t>
    </w:r>
    <w:r>
      <w:rPr>
        <w:rFonts w:ascii="Times New Roman" w:hAnsi="Times New Roman" w:cs="Times New Roman"/>
        <w:bCs/>
        <w:i/>
        <w:sz w:val="20"/>
        <w:lang w:val="en-AU"/>
      </w:rPr>
      <w:t xml:space="preserve"> </w:t>
    </w:r>
    <w:r>
      <w:rPr>
        <w:rFonts w:ascii="Times New Roman" w:hAnsi="Times New Roman" w:cs="Times New Roman"/>
        <w:bCs/>
        <w:sz w:val="20"/>
        <w:lang w:val="en-AU"/>
      </w:rPr>
      <w:t>(Tas)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1B26" w14:textId="77777777" w:rsidR="00780FA1" w:rsidRDefault="00780FA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7D43" w14:textId="3D7CE0D4" w:rsidR="00780FA1" w:rsidRDefault="00780FA1" w:rsidP="000C1FC8">
    <w:pPr>
      <w:pStyle w:val="Header"/>
      <w:pBdr>
        <w:bottom w:val="single" w:sz="4" w:space="1" w:color="auto"/>
      </w:pBdr>
    </w:pPr>
    <w:r w:rsidRPr="00492B9F">
      <w:rPr>
        <w:rFonts w:ascii="Times New Roman" w:hAnsi="Times New Roman" w:cs="Times New Roman"/>
        <w:sz w:val="20"/>
        <w:szCs w:val="20"/>
        <w:lang w:val="en-AU"/>
      </w:rPr>
      <w:t>TLRI Issues Paper 28: Notional Estates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0476" w14:textId="43D4920F" w:rsidR="00780FA1" w:rsidRPr="00307D3D" w:rsidRDefault="00780FA1" w:rsidP="00492B9F">
    <w:pPr>
      <w:pStyle w:val="Header"/>
      <w:pBdr>
        <w:bottom w:val="single" w:sz="4" w:space="1" w:color="auto"/>
      </w:pBdr>
      <w:jc w:val="right"/>
      <w:rPr>
        <w:rFonts w:ascii="Times New Roman" w:hAnsi="Times New Roman" w:cs="Times New Roman"/>
        <w:sz w:val="20"/>
        <w:szCs w:val="20"/>
        <w:lang w:val="en-AU"/>
      </w:rPr>
    </w:pPr>
    <w:r>
      <w:rPr>
        <w:rFonts w:ascii="Times New Roman" w:hAnsi="Times New Roman" w:cs="Times New Roman"/>
        <w:sz w:val="20"/>
        <w:szCs w:val="20"/>
        <w:lang w:val="en-AU"/>
      </w:rPr>
      <w:t xml:space="preserve">Appendix B: </w:t>
    </w:r>
    <w:r w:rsidRPr="00307D3D">
      <w:rPr>
        <w:rFonts w:ascii="Times New Roman" w:hAnsi="Times New Roman" w:cs="Times New Roman"/>
        <w:bCs/>
        <w:i/>
        <w:sz w:val="20"/>
        <w:lang w:val="en-AU"/>
      </w:rPr>
      <w:t xml:space="preserve">Succession Act 2006 </w:t>
    </w:r>
    <w:r w:rsidRPr="00307D3D">
      <w:rPr>
        <w:rFonts w:ascii="Times New Roman" w:hAnsi="Times New Roman" w:cs="Times New Roman"/>
        <w:bCs/>
        <w:sz w:val="20"/>
        <w:lang w:val="en-AU"/>
      </w:rPr>
      <w:t>(NSW)</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F348" w14:textId="77777777" w:rsidR="00780FA1" w:rsidRDefault="00780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CE11" w14:textId="77777777" w:rsidR="00780FA1" w:rsidRDefault="00780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8C22" w14:textId="77777777" w:rsidR="00780FA1" w:rsidRDefault="00780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B02" w14:textId="77777777" w:rsidR="00780FA1" w:rsidRDefault="00780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353D" w14:textId="77777777" w:rsidR="00780FA1" w:rsidRDefault="00780F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6908" w14:textId="77777777" w:rsidR="00780FA1" w:rsidRDefault="00780F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B21D" w14:textId="77777777" w:rsidR="00780FA1" w:rsidRDefault="00780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2EC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B61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4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005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A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E1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83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0FC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E07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B176A"/>
    <w:multiLevelType w:val="hybridMultilevel"/>
    <w:tmpl w:val="07D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60A7E"/>
    <w:multiLevelType w:val="multilevel"/>
    <w:tmpl w:val="D67CEE3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700B6C"/>
    <w:multiLevelType w:val="multilevel"/>
    <w:tmpl w:val="3BC8E8F2"/>
    <w:lvl w:ilvl="0">
      <w:start w:val="1"/>
      <w:numFmt w:val="decimal"/>
      <w:suff w:val="nothing"/>
      <w:lvlText w:val="Part %1"/>
      <w:lvlJc w:val="left"/>
      <w:pPr>
        <w:ind w:left="3126" w:hanging="432"/>
      </w:pPr>
      <w:rPr>
        <w:rFonts w:ascii="Arial" w:hAnsi="Arial" w:cs="Arial" w:hint="default"/>
        <w:b/>
        <w:i w:val="0"/>
        <w:sz w:val="32"/>
      </w:rPr>
    </w:lvl>
    <w:lvl w:ilvl="1">
      <w:start w:val="1"/>
      <w:numFmt w:val="decimal"/>
      <w:lvlText w:val="%1.%2"/>
      <w:lvlJc w:val="left"/>
      <w:pPr>
        <w:tabs>
          <w:tab w:val="num" w:pos="4264"/>
        </w:tabs>
        <w:ind w:left="3544" w:firstLine="0"/>
      </w:pPr>
      <w:rPr>
        <w:rFonts w:ascii="Arial" w:hAnsi="Arial" w:hint="default"/>
        <w:b/>
        <w:i w:val="0"/>
        <w:sz w:val="32"/>
      </w:rPr>
    </w:lvl>
    <w:lvl w:ilvl="2">
      <w:start w:val="1"/>
      <w:numFmt w:val="decimal"/>
      <w:lvlRestart w:val="1"/>
      <w:lvlText w:val="%1.%2.%3"/>
      <w:lvlJc w:val="left"/>
      <w:pPr>
        <w:tabs>
          <w:tab w:val="num" w:pos="5258"/>
        </w:tabs>
        <w:ind w:left="4538" w:firstLine="0"/>
      </w:pPr>
      <w:rPr>
        <w:rFonts w:ascii="Times New Roman" w:hAnsi="Times New Roman" w:hint="default"/>
        <w:b/>
        <w:i w:val="0"/>
        <w:sz w:val="24"/>
      </w:rPr>
    </w:lvl>
    <w:lvl w:ilvl="3">
      <w:start w:val="2"/>
      <w:numFmt w:val="decimal"/>
      <w:lvlText w:val="%1.%2.%3.%4"/>
      <w:lvlJc w:val="left"/>
      <w:pPr>
        <w:tabs>
          <w:tab w:val="num" w:pos="5618"/>
        </w:tabs>
        <w:ind w:left="4538" w:firstLine="0"/>
      </w:pPr>
      <w:rPr>
        <w:rFonts w:hint="default"/>
      </w:rPr>
    </w:lvl>
    <w:lvl w:ilvl="4">
      <w:start w:val="1"/>
      <w:numFmt w:val="none"/>
      <w:lvlText w:val=""/>
      <w:lvlJc w:val="left"/>
      <w:pPr>
        <w:tabs>
          <w:tab w:val="num" w:pos="4695"/>
        </w:tabs>
        <w:ind w:left="4695" w:hanging="1008"/>
      </w:pPr>
      <w:rPr>
        <w:rFonts w:ascii="Times New Roman" w:hAnsi="Times New Roman" w:hint="default"/>
        <w:b/>
        <w:i w:val="0"/>
        <w:sz w:val="52"/>
      </w:rPr>
    </w:lvl>
    <w:lvl w:ilvl="5">
      <w:start w:val="1"/>
      <w:numFmt w:val="none"/>
      <w:lvlRestart w:val="1"/>
      <w:lvlText w:val=""/>
      <w:lvlJc w:val="left"/>
      <w:pPr>
        <w:tabs>
          <w:tab w:val="num" w:pos="4839"/>
        </w:tabs>
        <w:ind w:left="4839" w:hanging="1152"/>
      </w:pPr>
      <w:rPr>
        <w:rFonts w:hint="default"/>
      </w:rPr>
    </w:lvl>
    <w:lvl w:ilvl="6">
      <w:start w:val="1"/>
      <w:numFmt w:val="none"/>
      <w:lvlText w:val=""/>
      <w:lvlJc w:val="left"/>
      <w:pPr>
        <w:tabs>
          <w:tab w:val="num" w:pos="4983"/>
        </w:tabs>
        <w:ind w:left="4983" w:hanging="1296"/>
      </w:pPr>
      <w:rPr>
        <w:rFonts w:hint="default"/>
      </w:rPr>
    </w:lvl>
    <w:lvl w:ilvl="7">
      <w:start w:val="1"/>
      <w:numFmt w:val="none"/>
      <w:lvlText w:val=""/>
      <w:lvlJc w:val="left"/>
      <w:pPr>
        <w:tabs>
          <w:tab w:val="num" w:pos="5127"/>
        </w:tabs>
        <w:ind w:left="5127" w:hanging="1440"/>
      </w:pPr>
      <w:rPr>
        <w:rFonts w:hint="default"/>
      </w:rPr>
    </w:lvl>
    <w:lvl w:ilvl="8">
      <w:start w:val="1"/>
      <w:numFmt w:val="none"/>
      <w:lvlText w:val=""/>
      <w:lvlJc w:val="left"/>
      <w:pPr>
        <w:tabs>
          <w:tab w:val="num" w:pos="5271"/>
        </w:tabs>
        <w:ind w:left="5271" w:hanging="1584"/>
      </w:pPr>
      <w:rPr>
        <w:rFonts w:hint="default"/>
      </w:rPr>
    </w:lvl>
  </w:abstractNum>
  <w:abstractNum w:abstractNumId="13" w15:restartNumberingAfterBreak="0">
    <w:nsid w:val="0BA275FC"/>
    <w:multiLevelType w:val="hybridMultilevel"/>
    <w:tmpl w:val="1C44A104"/>
    <w:lvl w:ilvl="0" w:tplc="B4FCB806">
      <w:start w:val="1"/>
      <w:numFmt w:val="lowerLetter"/>
      <w:lvlText w:val="(%1)"/>
      <w:lvlJc w:val="left"/>
      <w:pPr>
        <w:ind w:left="720" w:hanging="360"/>
      </w:pPr>
      <w:rPr>
        <w:rFonts w:ascii="Garamond" w:eastAsiaTheme="minorHAnsi" w:hAnsi="Garamond" w:cstheme="minorBidi"/>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022B9"/>
    <w:multiLevelType w:val="hybridMultilevel"/>
    <w:tmpl w:val="D67CEE3E"/>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65EB6"/>
    <w:multiLevelType w:val="multilevel"/>
    <w:tmpl w:val="A4DE4F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DF1847"/>
    <w:multiLevelType w:val="hybridMultilevel"/>
    <w:tmpl w:val="E76EF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BA6"/>
    <w:multiLevelType w:val="multilevel"/>
    <w:tmpl w:val="27A8A1D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Garamond" w:eastAsia="Times New Roman" w:hAnsi="Garamond"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8433E3"/>
    <w:multiLevelType w:val="hybridMultilevel"/>
    <w:tmpl w:val="83F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70E77"/>
    <w:multiLevelType w:val="hybridMultilevel"/>
    <w:tmpl w:val="52DA0E34"/>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0C3A4E"/>
    <w:multiLevelType w:val="multilevel"/>
    <w:tmpl w:val="B16850FE"/>
    <w:lvl w:ilvl="0">
      <w:start w:val="1"/>
      <w:numFmt w:val="decimal"/>
      <w:lvlText w:val="%1"/>
      <w:lvlJc w:val="left"/>
      <w:pPr>
        <w:ind w:left="792" w:hanging="432"/>
      </w:pPr>
    </w:lvl>
    <w:lvl w:ilvl="1">
      <w:start w:val="1"/>
      <w:numFmt w:val="decimal"/>
      <w:pStyle w:val="Heading2RJB"/>
      <w:lvlText w:val="%1.%2"/>
      <w:lvlJc w:val="left"/>
      <w:pPr>
        <w:ind w:left="936" w:hanging="576"/>
      </w:pPr>
    </w:lvl>
    <w:lvl w:ilvl="2">
      <w:start w:val="1"/>
      <w:numFmt w:val="decimal"/>
      <w:pStyle w:val="heading3RJB"/>
      <w:lvlText w:val="%1.%2.%3"/>
      <w:lvlJc w:val="left"/>
      <w:pPr>
        <w:ind w:left="1080" w:hanging="720"/>
      </w:pPr>
    </w:lvl>
    <w:lvl w:ilvl="3">
      <w:start w:val="2"/>
      <w:numFmt w:val="decimal"/>
      <w:pStyle w:val="heading4RJB"/>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1" w15:restartNumberingAfterBreak="0">
    <w:nsid w:val="25A310FE"/>
    <w:multiLevelType w:val="hybridMultilevel"/>
    <w:tmpl w:val="7DCC65FA"/>
    <w:lvl w:ilvl="0" w:tplc="7EA2866E">
      <w:start w:val="1"/>
      <w:numFmt w:val="decimal"/>
      <w:pStyle w:val="Rec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E07DF1"/>
    <w:multiLevelType w:val="hybridMultilevel"/>
    <w:tmpl w:val="E76EF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A079CA"/>
    <w:multiLevelType w:val="multilevel"/>
    <w:tmpl w:val="C3007D2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9F027A"/>
    <w:multiLevelType w:val="hybridMultilevel"/>
    <w:tmpl w:val="A982791C"/>
    <w:lvl w:ilvl="0" w:tplc="BC86F58C">
      <w:start w:val="1"/>
      <w:numFmt w:val="bullet"/>
      <w:pStyle w:val="DotPointTLRI"/>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7C1582"/>
    <w:multiLevelType w:val="hybridMultilevel"/>
    <w:tmpl w:val="C3007D2A"/>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77465"/>
    <w:multiLevelType w:val="hybridMultilevel"/>
    <w:tmpl w:val="219CAFC2"/>
    <w:lvl w:ilvl="0" w:tplc="206C5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777C2"/>
    <w:multiLevelType w:val="hybridMultilevel"/>
    <w:tmpl w:val="23E46F06"/>
    <w:lvl w:ilvl="0" w:tplc="A468AE4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496487"/>
    <w:multiLevelType w:val="singleLevel"/>
    <w:tmpl w:val="C61E1ADA"/>
    <w:lvl w:ilvl="0">
      <w:start w:val="1"/>
      <w:numFmt w:val="bullet"/>
      <w:pStyle w:val="CoverTextBullet"/>
      <w:lvlText w:val=""/>
      <w:lvlJc w:val="left"/>
      <w:pPr>
        <w:tabs>
          <w:tab w:val="num" w:pos="360"/>
        </w:tabs>
        <w:ind w:left="360" w:hanging="360"/>
      </w:pPr>
    </w:lvl>
  </w:abstractNum>
  <w:abstractNum w:abstractNumId="29" w15:restartNumberingAfterBreak="0">
    <w:nsid w:val="504A6B72"/>
    <w:multiLevelType w:val="multilevel"/>
    <w:tmpl w:val="2C16CEB2"/>
    <w:lvl w:ilvl="0">
      <w:start w:val="1"/>
      <w:numFmt w:val="decimal"/>
      <w:pStyle w:val="Heading1RJ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0C49DC"/>
    <w:multiLevelType w:val="hybridMultilevel"/>
    <w:tmpl w:val="A210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056126"/>
    <w:multiLevelType w:val="multilevel"/>
    <w:tmpl w:val="DC9ABBCC"/>
    <w:lvl w:ilvl="0">
      <w:start w:val="1"/>
      <w:numFmt w:val="decimal"/>
      <w:pStyle w:val="PartNoTLRI"/>
      <w:suff w:val="nothing"/>
      <w:lvlText w:val="Part %1"/>
      <w:lvlJc w:val="left"/>
      <w:pPr>
        <w:ind w:left="439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731B230D"/>
    <w:multiLevelType w:val="hybridMultilevel"/>
    <w:tmpl w:val="FA845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7D70E7"/>
    <w:multiLevelType w:val="multilevel"/>
    <w:tmpl w:val="38C06AE8"/>
    <w:lvl w:ilvl="0">
      <w:start w:val="1"/>
      <w:numFmt w:val="decimal"/>
      <w:suff w:val="nothing"/>
      <w:lvlText w:val="Part %1"/>
      <w:lvlJc w:val="left"/>
      <w:pPr>
        <w:ind w:left="432" w:hanging="432"/>
      </w:pPr>
      <w:rPr>
        <w:rFonts w:ascii="Times New Roman" w:hAnsi="Times New Roman" w:hint="default"/>
        <w:b/>
        <w:i w:val="0"/>
        <w:sz w:val="32"/>
      </w:rPr>
    </w:lvl>
    <w:lvl w:ilvl="1">
      <w:start w:val="1"/>
      <w:numFmt w:val="decimal"/>
      <w:pStyle w:val="Heading3"/>
      <w:lvlText w:val="%1.%2"/>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1.%2.%3"/>
      <w:lvlJc w:val="left"/>
      <w:pPr>
        <w:tabs>
          <w:tab w:val="num" w:pos="720"/>
        </w:tabs>
        <w:ind w:left="0" w:firstLine="0"/>
      </w:pPr>
      <w:rPr>
        <w:rFonts w:ascii="Times New Roman" w:hAnsi="Times New Roman" w:hint="default"/>
        <w:b/>
        <w:i w:val="0"/>
        <w:sz w:val="24"/>
      </w:rPr>
    </w:lvl>
    <w:lvl w:ilvl="3">
      <w:start w:val="2"/>
      <w:numFmt w:val="none"/>
      <w:pStyle w:val="Heading4"/>
      <w:lvlText w:val=""/>
      <w:lvlJc w:val="left"/>
      <w:pPr>
        <w:tabs>
          <w:tab w:val="num" w:pos="1211"/>
        </w:tabs>
        <w:ind w:left="851" w:firstLine="0"/>
      </w:pPr>
      <w:rPr>
        <w:rFonts w:hint="default"/>
      </w:rPr>
    </w:lvl>
    <w:lvl w:ilvl="4">
      <w:start w:val="1"/>
      <w:numFmt w:val="none"/>
      <w:pStyle w:val="Heading2"/>
      <w:lvlText w:val=""/>
      <w:lvlJc w:val="left"/>
      <w:pPr>
        <w:tabs>
          <w:tab w:val="num" w:pos="1008"/>
        </w:tabs>
        <w:ind w:left="1008" w:hanging="1008"/>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1"/>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34" w15:restartNumberingAfterBreak="0">
    <w:nsid w:val="7AB536A1"/>
    <w:multiLevelType w:val="hybridMultilevel"/>
    <w:tmpl w:val="1EA8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766A7"/>
    <w:multiLevelType w:val="hybridMultilevel"/>
    <w:tmpl w:val="C2ACBC6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7FCE56BF"/>
    <w:multiLevelType w:val="hybridMultilevel"/>
    <w:tmpl w:val="1C44A104"/>
    <w:lvl w:ilvl="0" w:tplc="B4FCB806">
      <w:start w:val="1"/>
      <w:numFmt w:val="lowerLetter"/>
      <w:lvlText w:val="(%1)"/>
      <w:lvlJc w:val="left"/>
      <w:pPr>
        <w:ind w:left="720" w:hanging="360"/>
      </w:pPr>
      <w:rPr>
        <w:rFonts w:ascii="Garamond" w:eastAsiaTheme="minorHAnsi" w:hAnsi="Garamond" w:cstheme="minorBidi"/>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1"/>
  </w:num>
  <w:num w:numId="4">
    <w:abstractNumId w:val="24"/>
  </w:num>
  <w:num w:numId="5">
    <w:abstractNumId w:val="9"/>
  </w:num>
  <w:num w:numId="6">
    <w:abstractNumId w:val="30"/>
  </w:num>
  <w:num w:numId="7">
    <w:abstractNumId w:val="36"/>
  </w:num>
  <w:num w:numId="8">
    <w:abstractNumId w:val="32"/>
  </w:num>
  <w:num w:numId="9">
    <w:abstractNumId w:val="34"/>
  </w:num>
  <w:num w:numId="10">
    <w:abstractNumId w:val="35"/>
  </w:num>
  <w:num w:numId="11">
    <w:abstractNumId w:val="3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29"/>
  </w:num>
  <w:num w:numId="15">
    <w:abstractNumId w:val="20"/>
  </w:num>
  <w:num w:numId="16">
    <w:abstractNumId w:val="28"/>
  </w:num>
  <w:num w:numId="17">
    <w:abstractNumId w:val="17"/>
  </w:num>
  <w:num w:numId="18">
    <w:abstractNumId w:val="27"/>
  </w:num>
  <w:num w:numId="19">
    <w:abstractNumId w:val="22"/>
  </w:num>
  <w:num w:numId="20">
    <w:abstractNumId w:val="13"/>
  </w:num>
  <w:num w:numId="21">
    <w:abstractNumId w:val="10"/>
  </w:num>
  <w:num w:numId="22">
    <w:abstractNumId w:val="14"/>
  </w:num>
  <w:num w:numId="23">
    <w:abstractNumId w:val="15"/>
  </w:num>
  <w:num w:numId="24">
    <w:abstractNumId w:val="26"/>
  </w:num>
  <w:num w:numId="25">
    <w:abstractNumId w:val="18"/>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11"/>
  </w:num>
  <w:num w:numId="36">
    <w:abstractNumId w:val="25"/>
  </w:num>
  <w:num w:numId="37">
    <w:abstractNumId w:val="23"/>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pQQpg/Q3zKMVF1NzlwA72d9V2ZfnbtL87kVIMbQaNC+pNf2gG8S8KdKYyTDz7/2fk1SN7iXtdxrtxzxNf60kg==" w:salt="Vr1psldrKESki4zSJ9cXCA=="/>
  <w:defaultTabStop w:val="720"/>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AA"/>
    <w:rsid w:val="00000703"/>
    <w:rsid w:val="00001662"/>
    <w:rsid w:val="00001990"/>
    <w:rsid w:val="00001ECD"/>
    <w:rsid w:val="00003A41"/>
    <w:rsid w:val="00004BD1"/>
    <w:rsid w:val="00005CF7"/>
    <w:rsid w:val="00012531"/>
    <w:rsid w:val="00013FC2"/>
    <w:rsid w:val="00015C50"/>
    <w:rsid w:val="00015D9B"/>
    <w:rsid w:val="00017D86"/>
    <w:rsid w:val="00017F02"/>
    <w:rsid w:val="000202B9"/>
    <w:rsid w:val="00020B54"/>
    <w:rsid w:val="00021999"/>
    <w:rsid w:val="00021B3F"/>
    <w:rsid w:val="0002304C"/>
    <w:rsid w:val="00024679"/>
    <w:rsid w:val="000254C5"/>
    <w:rsid w:val="00026C85"/>
    <w:rsid w:val="00027875"/>
    <w:rsid w:val="00030DEF"/>
    <w:rsid w:val="00032B63"/>
    <w:rsid w:val="00035A02"/>
    <w:rsid w:val="00037043"/>
    <w:rsid w:val="00037B00"/>
    <w:rsid w:val="000402B0"/>
    <w:rsid w:val="000441AF"/>
    <w:rsid w:val="00044426"/>
    <w:rsid w:val="00044967"/>
    <w:rsid w:val="00045660"/>
    <w:rsid w:val="00046CB8"/>
    <w:rsid w:val="0005006E"/>
    <w:rsid w:val="00051957"/>
    <w:rsid w:val="0005317C"/>
    <w:rsid w:val="00057861"/>
    <w:rsid w:val="00057B52"/>
    <w:rsid w:val="00062B40"/>
    <w:rsid w:val="00063AD7"/>
    <w:rsid w:val="00063D85"/>
    <w:rsid w:val="0007169C"/>
    <w:rsid w:val="00073339"/>
    <w:rsid w:val="000760D8"/>
    <w:rsid w:val="000778CF"/>
    <w:rsid w:val="00080D38"/>
    <w:rsid w:val="00081049"/>
    <w:rsid w:val="00081784"/>
    <w:rsid w:val="00081EB5"/>
    <w:rsid w:val="00091371"/>
    <w:rsid w:val="000969B1"/>
    <w:rsid w:val="000979EC"/>
    <w:rsid w:val="00097ACA"/>
    <w:rsid w:val="000A0E95"/>
    <w:rsid w:val="000A12D8"/>
    <w:rsid w:val="000A36E8"/>
    <w:rsid w:val="000B1F3C"/>
    <w:rsid w:val="000B2B0C"/>
    <w:rsid w:val="000B5124"/>
    <w:rsid w:val="000B5D1D"/>
    <w:rsid w:val="000B69AE"/>
    <w:rsid w:val="000C0A3F"/>
    <w:rsid w:val="000C1304"/>
    <w:rsid w:val="000C1E64"/>
    <w:rsid w:val="000C1FC8"/>
    <w:rsid w:val="000C3882"/>
    <w:rsid w:val="000C6112"/>
    <w:rsid w:val="000C726F"/>
    <w:rsid w:val="000C78A8"/>
    <w:rsid w:val="000D0709"/>
    <w:rsid w:val="000D0DD1"/>
    <w:rsid w:val="000D5EA6"/>
    <w:rsid w:val="000D723D"/>
    <w:rsid w:val="000D7E38"/>
    <w:rsid w:val="000E18A9"/>
    <w:rsid w:val="000E30F9"/>
    <w:rsid w:val="000E3E5F"/>
    <w:rsid w:val="000E6BC6"/>
    <w:rsid w:val="000F02AE"/>
    <w:rsid w:val="000F1DE5"/>
    <w:rsid w:val="000F26CF"/>
    <w:rsid w:val="000F2AEC"/>
    <w:rsid w:val="000F3664"/>
    <w:rsid w:val="000F65B0"/>
    <w:rsid w:val="000F6BD4"/>
    <w:rsid w:val="0010004E"/>
    <w:rsid w:val="00101368"/>
    <w:rsid w:val="00103598"/>
    <w:rsid w:val="0010593E"/>
    <w:rsid w:val="0010686A"/>
    <w:rsid w:val="00115861"/>
    <w:rsid w:val="00116BF6"/>
    <w:rsid w:val="001172E7"/>
    <w:rsid w:val="00120D17"/>
    <w:rsid w:val="00120D83"/>
    <w:rsid w:val="00121FA7"/>
    <w:rsid w:val="00122435"/>
    <w:rsid w:val="00122E55"/>
    <w:rsid w:val="00123BD2"/>
    <w:rsid w:val="001251A2"/>
    <w:rsid w:val="00125545"/>
    <w:rsid w:val="00127214"/>
    <w:rsid w:val="00131F44"/>
    <w:rsid w:val="00132B17"/>
    <w:rsid w:val="00134429"/>
    <w:rsid w:val="001350E2"/>
    <w:rsid w:val="00136147"/>
    <w:rsid w:val="001375E3"/>
    <w:rsid w:val="001455C2"/>
    <w:rsid w:val="00147FD4"/>
    <w:rsid w:val="00151AE1"/>
    <w:rsid w:val="00151CC3"/>
    <w:rsid w:val="00154FF5"/>
    <w:rsid w:val="00155615"/>
    <w:rsid w:val="001611DE"/>
    <w:rsid w:val="00161265"/>
    <w:rsid w:val="00165678"/>
    <w:rsid w:val="00165F87"/>
    <w:rsid w:val="00166456"/>
    <w:rsid w:val="00166814"/>
    <w:rsid w:val="00166D66"/>
    <w:rsid w:val="00167934"/>
    <w:rsid w:val="00170380"/>
    <w:rsid w:val="0017170E"/>
    <w:rsid w:val="00174E65"/>
    <w:rsid w:val="00176475"/>
    <w:rsid w:val="00176532"/>
    <w:rsid w:val="001766FC"/>
    <w:rsid w:val="001767FA"/>
    <w:rsid w:val="00176827"/>
    <w:rsid w:val="00177910"/>
    <w:rsid w:val="00180B6B"/>
    <w:rsid w:val="00184FAE"/>
    <w:rsid w:val="001861F4"/>
    <w:rsid w:val="00191D34"/>
    <w:rsid w:val="00195871"/>
    <w:rsid w:val="00196370"/>
    <w:rsid w:val="001A0E24"/>
    <w:rsid w:val="001A4896"/>
    <w:rsid w:val="001A6096"/>
    <w:rsid w:val="001B13AB"/>
    <w:rsid w:val="001B2C9A"/>
    <w:rsid w:val="001B48DB"/>
    <w:rsid w:val="001B5368"/>
    <w:rsid w:val="001B6D05"/>
    <w:rsid w:val="001C0C11"/>
    <w:rsid w:val="001C37A9"/>
    <w:rsid w:val="001C57A4"/>
    <w:rsid w:val="001C65AC"/>
    <w:rsid w:val="001D197A"/>
    <w:rsid w:val="001D4678"/>
    <w:rsid w:val="001D6C93"/>
    <w:rsid w:val="001D7FC5"/>
    <w:rsid w:val="001E2C6D"/>
    <w:rsid w:val="001E376E"/>
    <w:rsid w:val="001E494C"/>
    <w:rsid w:val="001E5584"/>
    <w:rsid w:val="001E64E7"/>
    <w:rsid w:val="001F08A0"/>
    <w:rsid w:val="001F11AF"/>
    <w:rsid w:val="001F138F"/>
    <w:rsid w:val="001F27B8"/>
    <w:rsid w:val="001F382E"/>
    <w:rsid w:val="001F49EF"/>
    <w:rsid w:val="001F6318"/>
    <w:rsid w:val="001F6911"/>
    <w:rsid w:val="00200ED8"/>
    <w:rsid w:val="002014DF"/>
    <w:rsid w:val="002025B1"/>
    <w:rsid w:val="00202B06"/>
    <w:rsid w:val="002034F2"/>
    <w:rsid w:val="00203C0A"/>
    <w:rsid w:val="002041D9"/>
    <w:rsid w:val="002046F6"/>
    <w:rsid w:val="00204F28"/>
    <w:rsid w:val="00206F1C"/>
    <w:rsid w:val="00207B4F"/>
    <w:rsid w:val="00213B32"/>
    <w:rsid w:val="002153D8"/>
    <w:rsid w:val="002200D8"/>
    <w:rsid w:val="002216AD"/>
    <w:rsid w:val="00222ED1"/>
    <w:rsid w:val="00223346"/>
    <w:rsid w:val="0022371C"/>
    <w:rsid w:val="00224FDD"/>
    <w:rsid w:val="0022788E"/>
    <w:rsid w:val="002279E8"/>
    <w:rsid w:val="002300FC"/>
    <w:rsid w:val="00233102"/>
    <w:rsid w:val="0023503C"/>
    <w:rsid w:val="00235349"/>
    <w:rsid w:val="00235561"/>
    <w:rsid w:val="00235ED1"/>
    <w:rsid w:val="00236C3D"/>
    <w:rsid w:val="00236E50"/>
    <w:rsid w:val="00237482"/>
    <w:rsid w:val="00237AB2"/>
    <w:rsid w:val="00241F39"/>
    <w:rsid w:val="002437FC"/>
    <w:rsid w:val="00243A29"/>
    <w:rsid w:val="00243FE2"/>
    <w:rsid w:val="002449AC"/>
    <w:rsid w:val="00247CF0"/>
    <w:rsid w:val="0025202A"/>
    <w:rsid w:val="00252C48"/>
    <w:rsid w:val="00253CDF"/>
    <w:rsid w:val="00254210"/>
    <w:rsid w:val="0025424F"/>
    <w:rsid w:val="00255C5C"/>
    <w:rsid w:val="002564A2"/>
    <w:rsid w:val="00256C3E"/>
    <w:rsid w:val="00257294"/>
    <w:rsid w:val="00262B87"/>
    <w:rsid w:val="00265FFB"/>
    <w:rsid w:val="00266C1B"/>
    <w:rsid w:val="002705FF"/>
    <w:rsid w:val="0027220D"/>
    <w:rsid w:val="0027239D"/>
    <w:rsid w:val="00272AB4"/>
    <w:rsid w:val="00272BC2"/>
    <w:rsid w:val="0027322B"/>
    <w:rsid w:val="002732FC"/>
    <w:rsid w:val="002745A9"/>
    <w:rsid w:val="002816E4"/>
    <w:rsid w:val="00281F03"/>
    <w:rsid w:val="00282DB1"/>
    <w:rsid w:val="002857B2"/>
    <w:rsid w:val="00285825"/>
    <w:rsid w:val="0028699B"/>
    <w:rsid w:val="0029087C"/>
    <w:rsid w:val="002908DC"/>
    <w:rsid w:val="00290D81"/>
    <w:rsid w:val="00297B51"/>
    <w:rsid w:val="00297CE2"/>
    <w:rsid w:val="002A1069"/>
    <w:rsid w:val="002A1416"/>
    <w:rsid w:val="002A15A6"/>
    <w:rsid w:val="002A2756"/>
    <w:rsid w:val="002A4CA2"/>
    <w:rsid w:val="002A5369"/>
    <w:rsid w:val="002A68B1"/>
    <w:rsid w:val="002A72AC"/>
    <w:rsid w:val="002B1C3B"/>
    <w:rsid w:val="002B44EF"/>
    <w:rsid w:val="002B6B9C"/>
    <w:rsid w:val="002B7DC9"/>
    <w:rsid w:val="002C0C0D"/>
    <w:rsid w:val="002C2C3E"/>
    <w:rsid w:val="002C305D"/>
    <w:rsid w:val="002C3BE8"/>
    <w:rsid w:val="002C3DFE"/>
    <w:rsid w:val="002C4237"/>
    <w:rsid w:val="002C4C98"/>
    <w:rsid w:val="002C5732"/>
    <w:rsid w:val="002D031A"/>
    <w:rsid w:val="002D0BFF"/>
    <w:rsid w:val="002D45C4"/>
    <w:rsid w:val="002D4ED1"/>
    <w:rsid w:val="002D4FC5"/>
    <w:rsid w:val="002D5E02"/>
    <w:rsid w:val="002E07BA"/>
    <w:rsid w:val="002E1748"/>
    <w:rsid w:val="002E1AC8"/>
    <w:rsid w:val="002E23EC"/>
    <w:rsid w:val="002E2ECA"/>
    <w:rsid w:val="002E3144"/>
    <w:rsid w:val="002E569F"/>
    <w:rsid w:val="002E6920"/>
    <w:rsid w:val="002F0E6F"/>
    <w:rsid w:val="002F108C"/>
    <w:rsid w:val="002F1BDC"/>
    <w:rsid w:val="002F2BFA"/>
    <w:rsid w:val="002F2D8C"/>
    <w:rsid w:val="002F3E13"/>
    <w:rsid w:val="002F6978"/>
    <w:rsid w:val="002F6DB7"/>
    <w:rsid w:val="002F795E"/>
    <w:rsid w:val="00301FB2"/>
    <w:rsid w:val="0030234A"/>
    <w:rsid w:val="00303BCA"/>
    <w:rsid w:val="003041C5"/>
    <w:rsid w:val="00304AEC"/>
    <w:rsid w:val="003065CC"/>
    <w:rsid w:val="00307D3D"/>
    <w:rsid w:val="00311900"/>
    <w:rsid w:val="0031196E"/>
    <w:rsid w:val="0031243A"/>
    <w:rsid w:val="00314BF6"/>
    <w:rsid w:val="00316071"/>
    <w:rsid w:val="00317C9E"/>
    <w:rsid w:val="003219BB"/>
    <w:rsid w:val="00321F57"/>
    <w:rsid w:val="00324A8F"/>
    <w:rsid w:val="00331520"/>
    <w:rsid w:val="0033194C"/>
    <w:rsid w:val="00331DDB"/>
    <w:rsid w:val="00334182"/>
    <w:rsid w:val="00334220"/>
    <w:rsid w:val="00335921"/>
    <w:rsid w:val="003370B8"/>
    <w:rsid w:val="00337CEE"/>
    <w:rsid w:val="00343BFF"/>
    <w:rsid w:val="003463CC"/>
    <w:rsid w:val="00346564"/>
    <w:rsid w:val="00347376"/>
    <w:rsid w:val="003501BA"/>
    <w:rsid w:val="00351147"/>
    <w:rsid w:val="003518E1"/>
    <w:rsid w:val="0035342F"/>
    <w:rsid w:val="003550BB"/>
    <w:rsid w:val="00362EC9"/>
    <w:rsid w:val="0036625F"/>
    <w:rsid w:val="00375660"/>
    <w:rsid w:val="00375D97"/>
    <w:rsid w:val="00375E7E"/>
    <w:rsid w:val="0037607F"/>
    <w:rsid w:val="00383473"/>
    <w:rsid w:val="00383FF0"/>
    <w:rsid w:val="003841AD"/>
    <w:rsid w:val="00385B32"/>
    <w:rsid w:val="003874C1"/>
    <w:rsid w:val="0039201C"/>
    <w:rsid w:val="00392F7B"/>
    <w:rsid w:val="00394202"/>
    <w:rsid w:val="00394CA2"/>
    <w:rsid w:val="003A07D1"/>
    <w:rsid w:val="003A37CA"/>
    <w:rsid w:val="003A3FC9"/>
    <w:rsid w:val="003A4761"/>
    <w:rsid w:val="003A535B"/>
    <w:rsid w:val="003A53EA"/>
    <w:rsid w:val="003A659D"/>
    <w:rsid w:val="003A66D2"/>
    <w:rsid w:val="003A7ABD"/>
    <w:rsid w:val="003A7CBB"/>
    <w:rsid w:val="003B3A32"/>
    <w:rsid w:val="003B3E57"/>
    <w:rsid w:val="003B7AB2"/>
    <w:rsid w:val="003C0541"/>
    <w:rsid w:val="003C0CF7"/>
    <w:rsid w:val="003C4781"/>
    <w:rsid w:val="003C6C1C"/>
    <w:rsid w:val="003D1AB7"/>
    <w:rsid w:val="003D2A2A"/>
    <w:rsid w:val="003D2D9A"/>
    <w:rsid w:val="003D39D7"/>
    <w:rsid w:val="003D3B03"/>
    <w:rsid w:val="003D3DD8"/>
    <w:rsid w:val="003D5F61"/>
    <w:rsid w:val="003E263B"/>
    <w:rsid w:val="003E2A4C"/>
    <w:rsid w:val="003E5846"/>
    <w:rsid w:val="003E6A6E"/>
    <w:rsid w:val="003E7AC8"/>
    <w:rsid w:val="003F4810"/>
    <w:rsid w:val="003F51A3"/>
    <w:rsid w:val="004004D4"/>
    <w:rsid w:val="004016E9"/>
    <w:rsid w:val="004017F0"/>
    <w:rsid w:val="004038C9"/>
    <w:rsid w:val="004079DF"/>
    <w:rsid w:val="00411D5E"/>
    <w:rsid w:val="00412267"/>
    <w:rsid w:val="0041359D"/>
    <w:rsid w:val="004140BF"/>
    <w:rsid w:val="004146D3"/>
    <w:rsid w:val="00414EB9"/>
    <w:rsid w:val="00415E01"/>
    <w:rsid w:val="00417DA9"/>
    <w:rsid w:val="00420BB3"/>
    <w:rsid w:val="0042459C"/>
    <w:rsid w:val="00424672"/>
    <w:rsid w:val="004248DE"/>
    <w:rsid w:val="0042655C"/>
    <w:rsid w:val="00426D2F"/>
    <w:rsid w:val="004304A1"/>
    <w:rsid w:val="00431A02"/>
    <w:rsid w:val="00432DD0"/>
    <w:rsid w:val="0043347E"/>
    <w:rsid w:val="00433FF3"/>
    <w:rsid w:val="004376AD"/>
    <w:rsid w:val="004404D8"/>
    <w:rsid w:val="004406C7"/>
    <w:rsid w:val="004409D5"/>
    <w:rsid w:val="00443783"/>
    <w:rsid w:val="00443805"/>
    <w:rsid w:val="004438E3"/>
    <w:rsid w:val="00443A4A"/>
    <w:rsid w:val="00443CD0"/>
    <w:rsid w:val="00444025"/>
    <w:rsid w:val="004442FC"/>
    <w:rsid w:val="00444AA1"/>
    <w:rsid w:val="00445F17"/>
    <w:rsid w:val="00447663"/>
    <w:rsid w:val="004476DE"/>
    <w:rsid w:val="0045004C"/>
    <w:rsid w:val="00451B16"/>
    <w:rsid w:val="00452686"/>
    <w:rsid w:val="00456DAE"/>
    <w:rsid w:val="00457120"/>
    <w:rsid w:val="00467D71"/>
    <w:rsid w:val="004709E6"/>
    <w:rsid w:val="004723E3"/>
    <w:rsid w:val="00473738"/>
    <w:rsid w:val="00475962"/>
    <w:rsid w:val="00475A73"/>
    <w:rsid w:val="00475D1D"/>
    <w:rsid w:val="00477464"/>
    <w:rsid w:val="00477709"/>
    <w:rsid w:val="004777FA"/>
    <w:rsid w:val="00480BA7"/>
    <w:rsid w:val="004815EE"/>
    <w:rsid w:val="004870EF"/>
    <w:rsid w:val="00487811"/>
    <w:rsid w:val="004903BC"/>
    <w:rsid w:val="00491805"/>
    <w:rsid w:val="004918E1"/>
    <w:rsid w:val="00492B9F"/>
    <w:rsid w:val="00492C8A"/>
    <w:rsid w:val="004930BF"/>
    <w:rsid w:val="004955F6"/>
    <w:rsid w:val="004978EF"/>
    <w:rsid w:val="004A3579"/>
    <w:rsid w:val="004A55FF"/>
    <w:rsid w:val="004A74AD"/>
    <w:rsid w:val="004A7F03"/>
    <w:rsid w:val="004B04A4"/>
    <w:rsid w:val="004B1CD1"/>
    <w:rsid w:val="004B2AE6"/>
    <w:rsid w:val="004B758A"/>
    <w:rsid w:val="004B7ADC"/>
    <w:rsid w:val="004B7DCF"/>
    <w:rsid w:val="004C0512"/>
    <w:rsid w:val="004C3CA9"/>
    <w:rsid w:val="004C5F48"/>
    <w:rsid w:val="004D12A0"/>
    <w:rsid w:val="004D2FD0"/>
    <w:rsid w:val="004D5B34"/>
    <w:rsid w:val="004E2F62"/>
    <w:rsid w:val="004E494B"/>
    <w:rsid w:val="004E495C"/>
    <w:rsid w:val="004E4ECB"/>
    <w:rsid w:val="004E7815"/>
    <w:rsid w:val="004E78C0"/>
    <w:rsid w:val="004F168E"/>
    <w:rsid w:val="004F3B68"/>
    <w:rsid w:val="004F4A7C"/>
    <w:rsid w:val="004F4B54"/>
    <w:rsid w:val="004F4ECC"/>
    <w:rsid w:val="004F5BD4"/>
    <w:rsid w:val="004F5DA4"/>
    <w:rsid w:val="004F5EF6"/>
    <w:rsid w:val="004F62D0"/>
    <w:rsid w:val="004F6D0A"/>
    <w:rsid w:val="00500C82"/>
    <w:rsid w:val="00501D2C"/>
    <w:rsid w:val="00502510"/>
    <w:rsid w:val="00504E82"/>
    <w:rsid w:val="0050710E"/>
    <w:rsid w:val="00507F89"/>
    <w:rsid w:val="005102D8"/>
    <w:rsid w:val="00511092"/>
    <w:rsid w:val="00512528"/>
    <w:rsid w:val="005129A4"/>
    <w:rsid w:val="00514269"/>
    <w:rsid w:val="005149C1"/>
    <w:rsid w:val="0051710A"/>
    <w:rsid w:val="00522A39"/>
    <w:rsid w:val="005247AC"/>
    <w:rsid w:val="005251E1"/>
    <w:rsid w:val="005314F7"/>
    <w:rsid w:val="00531CB9"/>
    <w:rsid w:val="00532AD7"/>
    <w:rsid w:val="0053339F"/>
    <w:rsid w:val="0053556C"/>
    <w:rsid w:val="005357FC"/>
    <w:rsid w:val="005441DF"/>
    <w:rsid w:val="00544F74"/>
    <w:rsid w:val="00545032"/>
    <w:rsid w:val="0054514D"/>
    <w:rsid w:val="005457E7"/>
    <w:rsid w:val="00546869"/>
    <w:rsid w:val="00546A35"/>
    <w:rsid w:val="005517C7"/>
    <w:rsid w:val="005543AB"/>
    <w:rsid w:val="00556ACC"/>
    <w:rsid w:val="00556ACF"/>
    <w:rsid w:val="00557401"/>
    <w:rsid w:val="00560197"/>
    <w:rsid w:val="005610D9"/>
    <w:rsid w:val="005613F7"/>
    <w:rsid w:val="00563B08"/>
    <w:rsid w:val="005640EC"/>
    <w:rsid w:val="0056499E"/>
    <w:rsid w:val="00565763"/>
    <w:rsid w:val="00565D09"/>
    <w:rsid w:val="0056691C"/>
    <w:rsid w:val="00566D4F"/>
    <w:rsid w:val="00571318"/>
    <w:rsid w:val="00572268"/>
    <w:rsid w:val="00573179"/>
    <w:rsid w:val="00577B27"/>
    <w:rsid w:val="00580BA6"/>
    <w:rsid w:val="00581BCB"/>
    <w:rsid w:val="00582310"/>
    <w:rsid w:val="00587E28"/>
    <w:rsid w:val="00590376"/>
    <w:rsid w:val="00590630"/>
    <w:rsid w:val="00591B4C"/>
    <w:rsid w:val="00594730"/>
    <w:rsid w:val="0059627F"/>
    <w:rsid w:val="00596911"/>
    <w:rsid w:val="005A18F5"/>
    <w:rsid w:val="005A3CFF"/>
    <w:rsid w:val="005A5141"/>
    <w:rsid w:val="005A6D65"/>
    <w:rsid w:val="005A7B78"/>
    <w:rsid w:val="005A7C08"/>
    <w:rsid w:val="005B0045"/>
    <w:rsid w:val="005B0E3A"/>
    <w:rsid w:val="005B17B1"/>
    <w:rsid w:val="005B2F0E"/>
    <w:rsid w:val="005B341F"/>
    <w:rsid w:val="005B500F"/>
    <w:rsid w:val="005C09DC"/>
    <w:rsid w:val="005C4837"/>
    <w:rsid w:val="005C5A5F"/>
    <w:rsid w:val="005C61E7"/>
    <w:rsid w:val="005C72CF"/>
    <w:rsid w:val="005C7738"/>
    <w:rsid w:val="005D205E"/>
    <w:rsid w:val="005D3626"/>
    <w:rsid w:val="005D3A2B"/>
    <w:rsid w:val="005D4746"/>
    <w:rsid w:val="005D6019"/>
    <w:rsid w:val="005D640D"/>
    <w:rsid w:val="005D6D60"/>
    <w:rsid w:val="005D7554"/>
    <w:rsid w:val="005D75B6"/>
    <w:rsid w:val="005D7AE4"/>
    <w:rsid w:val="005E17D7"/>
    <w:rsid w:val="005E1FE6"/>
    <w:rsid w:val="005E28C9"/>
    <w:rsid w:val="005E42A7"/>
    <w:rsid w:val="005E6180"/>
    <w:rsid w:val="005E74C8"/>
    <w:rsid w:val="005F2FFA"/>
    <w:rsid w:val="005F3C9A"/>
    <w:rsid w:val="005F3CFA"/>
    <w:rsid w:val="005F5D89"/>
    <w:rsid w:val="005F6AE9"/>
    <w:rsid w:val="00601A03"/>
    <w:rsid w:val="006033E3"/>
    <w:rsid w:val="0060396D"/>
    <w:rsid w:val="00605684"/>
    <w:rsid w:val="00606044"/>
    <w:rsid w:val="00607671"/>
    <w:rsid w:val="00607740"/>
    <w:rsid w:val="00607DFC"/>
    <w:rsid w:val="00611582"/>
    <w:rsid w:val="00613EFB"/>
    <w:rsid w:val="006143EF"/>
    <w:rsid w:val="006154A0"/>
    <w:rsid w:val="00620C42"/>
    <w:rsid w:val="006210B9"/>
    <w:rsid w:val="00621399"/>
    <w:rsid w:val="00622AEB"/>
    <w:rsid w:val="006232EA"/>
    <w:rsid w:val="006310BD"/>
    <w:rsid w:val="00633161"/>
    <w:rsid w:val="006332FE"/>
    <w:rsid w:val="00642234"/>
    <w:rsid w:val="00642868"/>
    <w:rsid w:val="0064300F"/>
    <w:rsid w:val="006443ED"/>
    <w:rsid w:val="00644AF6"/>
    <w:rsid w:val="00644EBD"/>
    <w:rsid w:val="0064537E"/>
    <w:rsid w:val="00646BD2"/>
    <w:rsid w:val="00647E80"/>
    <w:rsid w:val="00650FEC"/>
    <w:rsid w:val="0065123E"/>
    <w:rsid w:val="0065493D"/>
    <w:rsid w:val="00655F44"/>
    <w:rsid w:val="006573DF"/>
    <w:rsid w:val="00661180"/>
    <w:rsid w:val="00661627"/>
    <w:rsid w:val="00664BF5"/>
    <w:rsid w:val="0066508D"/>
    <w:rsid w:val="006658AB"/>
    <w:rsid w:val="0067111B"/>
    <w:rsid w:val="00672260"/>
    <w:rsid w:val="006757B9"/>
    <w:rsid w:val="006758BF"/>
    <w:rsid w:val="00677665"/>
    <w:rsid w:val="00677CC9"/>
    <w:rsid w:val="00681502"/>
    <w:rsid w:val="006828A9"/>
    <w:rsid w:val="006829E2"/>
    <w:rsid w:val="00691BBB"/>
    <w:rsid w:val="00692B88"/>
    <w:rsid w:val="00694350"/>
    <w:rsid w:val="00694A11"/>
    <w:rsid w:val="0069562A"/>
    <w:rsid w:val="006A0982"/>
    <w:rsid w:val="006A224E"/>
    <w:rsid w:val="006A2CD8"/>
    <w:rsid w:val="006A4AB6"/>
    <w:rsid w:val="006B492D"/>
    <w:rsid w:val="006B5177"/>
    <w:rsid w:val="006C26BF"/>
    <w:rsid w:val="006C3729"/>
    <w:rsid w:val="006C5350"/>
    <w:rsid w:val="006C627F"/>
    <w:rsid w:val="006D0EDF"/>
    <w:rsid w:val="006D21CA"/>
    <w:rsid w:val="006D3245"/>
    <w:rsid w:val="006D3DC4"/>
    <w:rsid w:val="006D436B"/>
    <w:rsid w:val="006E2B9F"/>
    <w:rsid w:val="006E37D5"/>
    <w:rsid w:val="006E41FE"/>
    <w:rsid w:val="006E4C9B"/>
    <w:rsid w:val="006E5C1F"/>
    <w:rsid w:val="006F26E2"/>
    <w:rsid w:val="006F3292"/>
    <w:rsid w:val="006F3D21"/>
    <w:rsid w:val="006F3F6F"/>
    <w:rsid w:val="006F41B5"/>
    <w:rsid w:val="006F5680"/>
    <w:rsid w:val="006F59C7"/>
    <w:rsid w:val="006F5ACD"/>
    <w:rsid w:val="006F671F"/>
    <w:rsid w:val="006F71D5"/>
    <w:rsid w:val="0070057D"/>
    <w:rsid w:val="007033BB"/>
    <w:rsid w:val="007035F7"/>
    <w:rsid w:val="0070387D"/>
    <w:rsid w:val="00703CDE"/>
    <w:rsid w:val="007042AA"/>
    <w:rsid w:val="007059C4"/>
    <w:rsid w:val="0070642C"/>
    <w:rsid w:val="00706603"/>
    <w:rsid w:val="0071101B"/>
    <w:rsid w:val="0071413A"/>
    <w:rsid w:val="00714313"/>
    <w:rsid w:val="0071771D"/>
    <w:rsid w:val="007178AD"/>
    <w:rsid w:val="0072000B"/>
    <w:rsid w:val="00721108"/>
    <w:rsid w:val="007265B3"/>
    <w:rsid w:val="00726B43"/>
    <w:rsid w:val="007313B3"/>
    <w:rsid w:val="007314E7"/>
    <w:rsid w:val="007315D5"/>
    <w:rsid w:val="00734907"/>
    <w:rsid w:val="007402F1"/>
    <w:rsid w:val="0074176F"/>
    <w:rsid w:val="00741BFB"/>
    <w:rsid w:val="00743CC3"/>
    <w:rsid w:val="00747461"/>
    <w:rsid w:val="00747649"/>
    <w:rsid w:val="007477B6"/>
    <w:rsid w:val="007509BE"/>
    <w:rsid w:val="00753C1A"/>
    <w:rsid w:val="007567EB"/>
    <w:rsid w:val="0075689B"/>
    <w:rsid w:val="0076100C"/>
    <w:rsid w:val="00763109"/>
    <w:rsid w:val="007650C8"/>
    <w:rsid w:val="007652C2"/>
    <w:rsid w:val="0076572E"/>
    <w:rsid w:val="00766D67"/>
    <w:rsid w:val="00766F0D"/>
    <w:rsid w:val="007711C4"/>
    <w:rsid w:val="007770BF"/>
    <w:rsid w:val="007779FD"/>
    <w:rsid w:val="00780FA1"/>
    <w:rsid w:val="00780FFD"/>
    <w:rsid w:val="00781033"/>
    <w:rsid w:val="007843A4"/>
    <w:rsid w:val="00785C7B"/>
    <w:rsid w:val="00790194"/>
    <w:rsid w:val="00790BE9"/>
    <w:rsid w:val="00790D6D"/>
    <w:rsid w:val="00791211"/>
    <w:rsid w:val="0079140A"/>
    <w:rsid w:val="00791AC7"/>
    <w:rsid w:val="00792074"/>
    <w:rsid w:val="0079210D"/>
    <w:rsid w:val="00794B35"/>
    <w:rsid w:val="0079597B"/>
    <w:rsid w:val="00796144"/>
    <w:rsid w:val="0079686E"/>
    <w:rsid w:val="00797946"/>
    <w:rsid w:val="007A00D9"/>
    <w:rsid w:val="007A151B"/>
    <w:rsid w:val="007A1A65"/>
    <w:rsid w:val="007A5267"/>
    <w:rsid w:val="007A5F48"/>
    <w:rsid w:val="007A6585"/>
    <w:rsid w:val="007A6F1C"/>
    <w:rsid w:val="007A7F4C"/>
    <w:rsid w:val="007B0AF2"/>
    <w:rsid w:val="007B1901"/>
    <w:rsid w:val="007B2062"/>
    <w:rsid w:val="007B20A0"/>
    <w:rsid w:val="007B2E35"/>
    <w:rsid w:val="007B502C"/>
    <w:rsid w:val="007B59A5"/>
    <w:rsid w:val="007C188B"/>
    <w:rsid w:val="007C2736"/>
    <w:rsid w:val="007D1EEE"/>
    <w:rsid w:val="007D444B"/>
    <w:rsid w:val="007D7BC9"/>
    <w:rsid w:val="007E2A8C"/>
    <w:rsid w:val="007E547C"/>
    <w:rsid w:val="007E7A55"/>
    <w:rsid w:val="007F1E6C"/>
    <w:rsid w:val="007F411E"/>
    <w:rsid w:val="007F482D"/>
    <w:rsid w:val="007F5B4C"/>
    <w:rsid w:val="007F5F63"/>
    <w:rsid w:val="007F6CC5"/>
    <w:rsid w:val="0080079E"/>
    <w:rsid w:val="00800DB7"/>
    <w:rsid w:val="0080171F"/>
    <w:rsid w:val="00803B5F"/>
    <w:rsid w:val="00807DC9"/>
    <w:rsid w:val="008141CA"/>
    <w:rsid w:val="008158F8"/>
    <w:rsid w:val="00817844"/>
    <w:rsid w:val="00821512"/>
    <w:rsid w:val="0082251D"/>
    <w:rsid w:val="0082275B"/>
    <w:rsid w:val="00823372"/>
    <w:rsid w:val="0082431F"/>
    <w:rsid w:val="00824A7E"/>
    <w:rsid w:val="00827A16"/>
    <w:rsid w:val="00827D6E"/>
    <w:rsid w:val="00827F9E"/>
    <w:rsid w:val="008300A8"/>
    <w:rsid w:val="008328D6"/>
    <w:rsid w:val="00833960"/>
    <w:rsid w:val="008346BA"/>
    <w:rsid w:val="00835D5D"/>
    <w:rsid w:val="008409CC"/>
    <w:rsid w:val="0084221F"/>
    <w:rsid w:val="00843508"/>
    <w:rsid w:val="008466F5"/>
    <w:rsid w:val="008467EB"/>
    <w:rsid w:val="00847A43"/>
    <w:rsid w:val="00850EF0"/>
    <w:rsid w:val="00852530"/>
    <w:rsid w:val="00852BD4"/>
    <w:rsid w:val="00852F10"/>
    <w:rsid w:val="008551AA"/>
    <w:rsid w:val="00856ED2"/>
    <w:rsid w:val="00860592"/>
    <w:rsid w:val="0086076E"/>
    <w:rsid w:val="00862470"/>
    <w:rsid w:val="00862DCB"/>
    <w:rsid w:val="00864353"/>
    <w:rsid w:val="00865AC1"/>
    <w:rsid w:val="00873A9C"/>
    <w:rsid w:val="00873AAA"/>
    <w:rsid w:val="00873AED"/>
    <w:rsid w:val="008744C2"/>
    <w:rsid w:val="00880F23"/>
    <w:rsid w:val="00882F91"/>
    <w:rsid w:val="00884141"/>
    <w:rsid w:val="00884999"/>
    <w:rsid w:val="00884C4C"/>
    <w:rsid w:val="00884F06"/>
    <w:rsid w:val="00885D54"/>
    <w:rsid w:val="00886080"/>
    <w:rsid w:val="00886302"/>
    <w:rsid w:val="00887711"/>
    <w:rsid w:val="00891CE5"/>
    <w:rsid w:val="00894D97"/>
    <w:rsid w:val="00895B29"/>
    <w:rsid w:val="00897016"/>
    <w:rsid w:val="008978FA"/>
    <w:rsid w:val="00897CE4"/>
    <w:rsid w:val="00897F4D"/>
    <w:rsid w:val="008A02E9"/>
    <w:rsid w:val="008A3032"/>
    <w:rsid w:val="008A308A"/>
    <w:rsid w:val="008A3923"/>
    <w:rsid w:val="008A3F8B"/>
    <w:rsid w:val="008A4D33"/>
    <w:rsid w:val="008A5024"/>
    <w:rsid w:val="008A57D6"/>
    <w:rsid w:val="008A7BDB"/>
    <w:rsid w:val="008B06DE"/>
    <w:rsid w:val="008B227D"/>
    <w:rsid w:val="008B513A"/>
    <w:rsid w:val="008B5E83"/>
    <w:rsid w:val="008C09C6"/>
    <w:rsid w:val="008C0CD5"/>
    <w:rsid w:val="008C13B2"/>
    <w:rsid w:val="008C335A"/>
    <w:rsid w:val="008C75F7"/>
    <w:rsid w:val="008D11ED"/>
    <w:rsid w:val="008D1759"/>
    <w:rsid w:val="008D1C74"/>
    <w:rsid w:val="008D4BA9"/>
    <w:rsid w:val="008D578B"/>
    <w:rsid w:val="008D69F1"/>
    <w:rsid w:val="008E312B"/>
    <w:rsid w:val="008E31F2"/>
    <w:rsid w:val="008E4D3F"/>
    <w:rsid w:val="008E5CE2"/>
    <w:rsid w:val="008E5FEA"/>
    <w:rsid w:val="008E78EC"/>
    <w:rsid w:val="008F1E04"/>
    <w:rsid w:val="008F30A5"/>
    <w:rsid w:val="008F449D"/>
    <w:rsid w:val="008F53E1"/>
    <w:rsid w:val="008F5BC5"/>
    <w:rsid w:val="009013EE"/>
    <w:rsid w:val="00903E8B"/>
    <w:rsid w:val="0091160D"/>
    <w:rsid w:val="009141DE"/>
    <w:rsid w:val="00914DB8"/>
    <w:rsid w:val="00914E47"/>
    <w:rsid w:val="00914F81"/>
    <w:rsid w:val="00921664"/>
    <w:rsid w:val="0092284C"/>
    <w:rsid w:val="009239CB"/>
    <w:rsid w:val="009239DB"/>
    <w:rsid w:val="00927108"/>
    <w:rsid w:val="00927E35"/>
    <w:rsid w:val="0093045E"/>
    <w:rsid w:val="00931A68"/>
    <w:rsid w:val="00932A25"/>
    <w:rsid w:val="009339D8"/>
    <w:rsid w:val="00933ABA"/>
    <w:rsid w:val="0093600E"/>
    <w:rsid w:val="0093676A"/>
    <w:rsid w:val="00937403"/>
    <w:rsid w:val="00942020"/>
    <w:rsid w:val="00942381"/>
    <w:rsid w:val="0094474C"/>
    <w:rsid w:val="009460FD"/>
    <w:rsid w:val="00946860"/>
    <w:rsid w:val="00951A8F"/>
    <w:rsid w:val="00951FF8"/>
    <w:rsid w:val="00952D50"/>
    <w:rsid w:val="00953BF1"/>
    <w:rsid w:val="00953FFC"/>
    <w:rsid w:val="009541F0"/>
    <w:rsid w:val="009558E5"/>
    <w:rsid w:val="00956510"/>
    <w:rsid w:val="00956543"/>
    <w:rsid w:val="009572ED"/>
    <w:rsid w:val="009577C2"/>
    <w:rsid w:val="009603BA"/>
    <w:rsid w:val="00960B96"/>
    <w:rsid w:val="00962291"/>
    <w:rsid w:val="0096389B"/>
    <w:rsid w:val="00965A11"/>
    <w:rsid w:val="009667B1"/>
    <w:rsid w:val="00970786"/>
    <w:rsid w:val="00971A3F"/>
    <w:rsid w:val="00973515"/>
    <w:rsid w:val="009757F1"/>
    <w:rsid w:val="00975D30"/>
    <w:rsid w:val="00976245"/>
    <w:rsid w:val="0097700F"/>
    <w:rsid w:val="00977786"/>
    <w:rsid w:val="00980EE3"/>
    <w:rsid w:val="009872AF"/>
    <w:rsid w:val="00994436"/>
    <w:rsid w:val="00995F7C"/>
    <w:rsid w:val="00997208"/>
    <w:rsid w:val="009A0B7C"/>
    <w:rsid w:val="009A138F"/>
    <w:rsid w:val="009A187D"/>
    <w:rsid w:val="009A2F50"/>
    <w:rsid w:val="009A334D"/>
    <w:rsid w:val="009A67E1"/>
    <w:rsid w:val="009A7464"/>
    <w:rsid w:val="009A7A53"/>
    <w:rsid w:val="009B004F"/>
    <w:rsid w:val="009B110D"/>
    <w:rsid w:val="009B63BC"/>
    <w:rsid w:val="009C1D9E"/>
    <w:rsid w:val="009C4D8B"/>
    <w:rsid w:val="009C721C"/>
    <w:rsid w:val="009D1BE7"/>
    <w:rsid w:val="009D1D50"/>
    <w:rsid w:val="009D3BC5"/>
    <w:rsid w:val="009D5DAF"/>
    <w:rsid w:val="009E08E7"/>
    <w:rsid w:val="009E1493"/>
    <w:rsid w:val="009E1D64"/>
    <w:rsid w:val="009E44AE"/>
    <w:rsid w:val="009E44BC"/>
    <w:rsid w:val="009E7E2C"/>
    <w:rsid w:val="009F2095"/>
    <w:rsid w:val="009F2435"/>
    <w:rsid w:val="009F2479"/>
    <w:rsid w:val="009F4422"/>
    <w:rsid w:val="009F4F4A"/>
    <w:rsid w:val="009F6111"/>
    <w:rsid w:val="009F68F8"/>
    <w:rsid w:val="009F71A8"/>
    <w:rsid w:val="009F744C"/>
    <w:rsid w:val="00A00559"/>
    <w:rsid w:val="00A02268"/>
    <w:rsid w:val="00A02B9E"/>
    <w:rsid w:val="00A0317B"/>
    <w:rsid w:val="00A034C1"/>
    <w:rsid w:val="00A05670"/>
    <w:rsid w:val="00A05694"/>
    <w:rsid w:val="00A06036"/>
    <w:rsid w:val="00A06257"/>
    <w:rsid w:val="00A06D36"/>
    <w:rsid w:val="00A12667"/>
    <w:rsid w:val="00A12FC1"/>
    <w:rsid w:val="00A15C06"/>
    <w:rsid w:val="00A17580"/>
    <w:rsid w:val="00A205CE"/>
    <w:rsid w:val="00A24E61"/>
    <w:rsid w:val="00A2526B"/>
    <w:rsid w:val="00A26961"/>
    <w:rsid w:val="00A26E7A"/>
    <w:rsid w:val="00A276CE"/>
    <w:rsid w:val="00A31DC4"/>
    <w:rsid w:val="00A32968"/>
    <w:rsid w:val="00A338C3"/>
    <w:rsid w:val="00A355B1"/>
    <w:rsid w:val="00A36034"/>
    <w:rsid w:val="00A361BB"/>
    <w:rsid w:val="00A36BB3"/>
    <w:rsid w:val="00A417B3"/>
    <w:rsid w:val="00A41D80"/>
    <w:rsid w:val="00A421A3"/>
    <w:rsid w:val="00A42C75"/>
    <w:rsid w:val="00A46450"/>
    <w:rsid w:val="00A47DA5"/>
    <w:rsid w:val="00A50CB2"/>
    <w:rsid w:val="00A526DD"/>
    <w:rsid w:val="00A54AAE"/>
    <w:rsid w:val="00A552B3"/>
    <w:rsid w:val="00A57226"/>
    <w:rsid w:val="00A60314"/>
    <w:rsid w:val="00A611A1"/>
    <w:rsid w:val="00A6224E"/>
    <w:rsid w:val="00A65988"/>
    <w:rsid w:val="00A65C2B"/>
    <w:rsid w:val="00A66B8A"/>
    <w:rsid w:val="00A7044E"/>
    <w:rsid w:val="00A72496"/>
    <w:rsid w:val="00A73373"/>
    <w:rsid w:val="00A758D5"/>
    <w:rsid w:val="00A76549"/>
    <w:rsid w:val="00A81738"/>
    <w:rsid w:val="00A81935"/>
    <w:rsid w:val="00A825A2"/>
    <w:rsid w:val="00A83053"/>
    <w:rsid w:val="00A836C9"/>
    <w:rsid w:val="00A83B3C"/>
    <w:rsid w:val="00A8507F"/>
    <w:rsid w:val="00A9043D"/>
    <w:rsid w:val="00A90479"/>
    <w:rsid w:val="00A91DD7"/>
    <w:rsid w:val="00A92B0F"/>
    <w:rsid w:val="00A92C88"/>
    <w:rsid w:val="00A92FF8"/>
    <w:rsid w:val="00A93144"/>
    <w:rsid w:val="00A931D0"/>
    <w:rsid w:val="00A941CB"/>
    <w:rsid w:val="00AA132E"/>
    <w:rsid w:val="00AA3326"/>
    <w:rsid w:val="00AA4952"/>
    <w:rsid w:val="00AA4D52"/>
    <w:rsid w:val="00AA5B68"/>
    <w:rsid w:val="00AA5FD8"/>
    <w:rsid w:val="00AA68F3"/>
    <w:rsid w:val="00AA6F50"/>
    <w:rsid w:val="00AA737F"/>
    <w:rsid w:val="00AB00E0"/>
    <w:rsid w:val="00AB13C1"/>
    <w:rsid w:val="00AB2682"/>
    <w:rsid w:val="00AB34A4"/>
    <w:rsid w:val="00AB5BEE"/>
    <w:rsid w:val="00AC1249"/>
    <w:rsid w:val="00AC1CEF"/>
    <w:rsid w:val="00AC240E"/>
    <w:rsid w:val="00AC31B8"/>
    <w:rsid w:val="00AC3A7C"/>
    <w:rsid w:val="00AC3CCE"/>
    <w:rsid w:val="00AC59C1"/>
    <w:rsid w:val="00AC6238"/>
    <w:rsid w:val="00AC6D38"/>
    <w:rsid w:val="00AC7225"/>
    <w:rsid w:val="00AD0CB7"/>
    <w:rsid w:val="00AD1F4F"/>
    <w:rsid w:val="00AD1F5E"/>
    <w:rsid w:val="00AD3157"/>
    <w:rsid w:val="00AD32C6"/>
    <w:rsid w:val="00AD7CF5"/>
    <w:rsid w:val="00AD7D93"/>
    <w:rsid w:val="00AE05B9"/>
    <w:rsid w:val="00AE1899"/>
    <w:rsid w:val="00AE24E5"/>
    <w:rsid w:val="00AE30BA"/>
    <w:rsid w:val="00AE35DE"/>
    <w:rsid w:val="00AE3C69"/>
    <w:rsid w:val="00AF0614"/>
    <w:rsid w:val="00AF429A"/>
    <w:rsid w:val="00AF5541"/>
    <w:rsid w:val="00AF564C"/>
    <w:rsid w:val="00B01775"/>
    <w:rsid w:val="00B0231D"/>
    <w:rsid w:val="00B03267"/>
    <w:rsid w:val="00B042BA"/>
    <w:rsid w:val="00B05912"/>
    <w:rsid w:val="00B064A6"/>
    <w:rsid w:val="00B102E2"/>
    <w:rsid w:val="00B108F7"/>
    <w:rsid w:val="00B13584"/>
    <w:rsid w:val="00B14127"/>
    <w:rsid w:val="00B16C3B"/>
    <w:rsid w:val="00B16F0A"/>
    <w:rsid w:val="00B17AF6"/>
    <w:rsid w:val="00B21D51"/>
    <w:rsid w:val="00B25FB7"/>
    <w:rsid w:val="00B26563"/>
    <w:rsid w:val="00B27C06"/>
    <w:rsid w:val="00B30E5C"/>
    <w:rsid w:val="00B315F5"/>
    <w:rsid w:val="00B31739"/>
    <w:rsid w:val="00B32377"/>
    <w:rsid w:val="00B35DC2"/>
    <w:rsid w:val="00B36505"/>
    <w:rsid w:val="00B37F4B"/>
    <w:rsid w:val="00B409FD"/>
    <w:rsid w:val="00B412FD"/>
    <w:rsid w:val="00B4179C"/>
    <w:rsid w:val="00B428D5"/>
    <w:rsid w:val="00B42DB7"/>
    <w:rsid w:val="00B42F1C"/>
    <w:rsid w:val="00B43F99"/>
    <w:rsid w:val="00B4484A"/>
    <w:rsid w:val="00B459EB"/>
    <w:rsid w:val="00B47249"/>
    <w:rsid w:val="00B53F0A"/>
    <w:rsid w:val="00B56067"/>
    <w:rsid w:val="00B5669F"/>
    <w:rsid w:val="00B60862"/>
    <w:rsid w:val="00B63C0A"/>
    <w:rsid w:val="00B640CD"/>
    <w:rsid w:val="00B708CF"/>
    <w:rsid w:val="00B731FD"/>
    <w:rsid w:val="00B74BD8"/>
    <w:rsid w:val="00B7518C"/>
    <w:rsid w:val="00B76042"/>
    <w:rsid w:val="00B7650B"/>
    <w:rsid w:val="00B767EA"/>
    <w:rsid w:val="00B768D5"/>
    <w:rsid w:val="00B773E5"/>
    <w:rsid w:val="00B77C85"/>
    <w:rsid w:val="00B81A4A"/>
    <w:rsid w:val="00B82F3A"/>
    <w:rsid w:val="00B84970"/>
    <w:rsid w:val="00B85A8A"/>
    <w:rsid w:val="00B87A64"/>
    <w:rsid w:val="00B90AB3"/>
    <w:rsid w:val="00B96546"/>
    <w:rsid w:val="00BA0CD6"/>
    <w:rsid w:val="00BA1C59"/>
    <w:rsid w:val="00BA1FAA"/>
    <w:rsid w:val="00BA4C49"/>
    <w:rsid w:val="00BA605F"/>
    <w:rsid w:val="00BA659E"/>
    <w:rsid w:val="00BB09EA"/>
    <w:rsid w:val="00BB09F1"/>
    <w:rsid w:val="00BB267D"/>
    <w:rsid w:val="00BB4094"/>
    <w:rsid w:val="00BB4749"/>
    <w:rsid w:val="00BB651C"/>
    <w:rsid w:val="00BC0A84"/>
    <w:rsid w:val="00BC0BDD"/>
    <w:rsid w:val="00BC23C0"/>
    <w:rsid w:val="00BC2AEE"/>
    <w:rsid w:val="00BC665A"/>
    <w:rsid w:val="00BC6977"/>
    <w:rsid w:val="00BD012A"/>
    <w:rsid w:val="00BD0947"/>
    <w:rsid w:val="00BD4DB9"/>
    <w:rsid w:val="00BD6143"/>
    <w:rsid w:val="00BE182C"/>
    <w:rsid w:val="00BE1BC2"/>
    <w:rsid w:val="00BE32D7"/>
    <w:rsid w:val="00BE599A"/>
    <w:rsid w:val="00BE5F4C"/>
    <w:rsid w:val="00BE7026"/>
    <w:rsid w:val="00BF0053"/>
    <w:rsid w:val="00BF035C"/>
    <w:rsid w:val="00BF07AB"/>
    <w:rsid w:val="00BF1993"/>
    <w:rsid w:val="00BF1A36"/>
    <w:rsid w:val="00BF251F"/>
    <w:rsid w:val="00BF2767"/>
    <w:rsid w:val="00BF291C"/>
    <w:rsid w:val="00BF3ECD"/>
    <w:rsid w:val="00BF5A24"/>
    <w:rsid w:val="00BF69C5"/>
    <w:rsid w:val="00BF6C19"/>
    <w:rsid w:val="00BF7231"/>
    <w:rsid w:val="00BF782A"/>
    <w:rsid w:val="00BF790C"/>
    <w:rsid w:val="00C0106B"/>
    <w:rsid w:val="00C01B43"/>
    <w:rsid w:val="00C0439A"/>
    <w:rsid w:val="00C048B6"/>
    <w:rsid w:val="00C062DE"/>
    <w:rsid w:val="00C06B39"/>
    <w:rsid w:val="00C10503"/>
    <w:rsid w:val="00C1054F"/>
    <w:rsid w:val="00C1200E"/>
    <w:rsid w:val="00C12389"/>
    <w:rsid w:val="00C136D1"/>
    <w:rsid w:val="00C15D14"/>
    <w:rsid w:val="00C16BAE"/>
    <w:rsid w:val="00C21201"/>
    <w:rsid w:val="00C245D8"/>
    <w:rsid w:val="00C26C23"/>
    <w:rsid w:val="00C30960"/>
    <w:rsid w:val="00C33CF7"/>
    <w:rsid w:val="00C343D0"/>
    <w:rsid w:val="00C356BE"/>
    <w:rsid w:val="00C42B79"/>
    <w:rsid w:val="00C42D63"/>
    <w:rsid w:val="00C462C8"/>
    <w:rsid w:val="00C46F6D"/>
    <w:rsid w:val="00C47D98"/>
    <w:rsid w:val="00C512D1"/>
    <w:rsid w:val="00C5194D"/>
    <w:rsid w:val="00C529DC"/>
    <w:rsid w:val="00C54F8E"/>
    <w:rsid w:val="00C608E2"/>
    <w:rsid w:val="00C60FE6"/>
    <w:rsid w:val="00C6227C"/>
    <w:rsid w:val="00C62BF2"/>
    <w:rsid w:val="00C6657F"/>
    <w:rsid w:val="00C71B62"/>
    <w:rsid w:val="00C75158"/>
    <w:rsid w:val="00C75631"/>
    <w:rsid w:val="00C76B47"/>
    <w:rsid w:val="00C76CA1"/>
    <w:rsid w:val="00C80639"/>
    <w:rsid w:val="00C80BA9"/>
    <w:rsid w:val="00C82D4A"/>
    <w:rsid w:val="00C83434"/>
    <w:rsid w:val="00C84656"/>
    <w:rsid w:val="00C85090"/>
    <w:rsid w:val="00C8549F"/>
    <w:rsid w:val="00C90EFC"/>
    <w:rsid w:val="00C9304F"/>
    <w:rsid w:val="00C93D26"/>
    <w:rsid w:val="00C97096"/>
    <w:rsid w:val="00CA0405"/>
    <w:rsid w:val="00CA1258"/>
    <w:rsid w:val="00CA17D5"/>
    <w:rsid w:val="00CA1EBA"/>
    <w:rsid w:val="00CA23A0"/>
    <w:rsid w:val="00CA54C6"/>
    <w:rsid w:val="00CA58FD"/>
    <w:rsid w:val="00CA7650"/>
    <w:rsid w:val="00CB0161"/>
    <w:rsid w:val="00CB34A9"/>
    <w:rsid w:val="00CB4427"/>
    <w:rsid w:val="00CB618C"/>
    <w:rsid w:val="00CB69DF"/>
    <w:rsid w:val="00CB7945"/>
    <w:rsid w:val="00CC23FF"/>
    <w:rsid w:val="00CD00A0"/>
    <w:rsid w:val="00CD00CB"/>
    <w:rsid w:val="00CD0844"/>
    <w:rsid w:val="00CD2C53"/>
    <w:rsid w:val="00CD3321"/>
    <w:rsid w:val="00CD3F6F"/>
    <w:rsid w:val="00CD4196"/>
    <w:rsid w:val="00CD4649"/>
    <w:rsid w:val="00CD5A8A"/>
    <w:rsid w:val="00CE2576"/>
    <w:rsid w:val="00CE2AEE"/>
    <w:rsid w:val="00CE3C96"/>
    <w:rsid w:val="00CE49DC"/>
    <w:rsid w:val="00CE51E4"/>
    <w:rsid w:val="00CE5B0A"/>
    <w:rsid w:val="00CE6D67"/>
    <w:rsid w:val="00CE7BA2"/>
    <w:rsid w:val="00CE7F2F"/>
    <w:rsid w:val="00CF09A0"/>
    <w:rsid w:val="00CF18EE"/>
    <w:rsid w:val="00CF1E96"/>
    <w:rsid w:val="00CF33C7"/>
    <w:rsid w:val="00CF3BD1"/>
    <w:rsid w:val="00CF5C10"/>
    <w:rsid w:val="00CF5FFA"/>
    <w:rsid w:val="00CF62BD"/>
    <w:rsid w:val="00CF7623"/>
    <w:rsid w:val="00CF7D33"/>
    <w:rsid w:val="00D00149"/>
    <w:rsid w:val="00D00F7F"/>
    <w:rsid w:val="00D01C71"/>
    <w:rsid w:val="00D026A6"/>
    <w:rsid w:val="00D04937"/>
    <w:rsid w:val="00D12084"/>
    <w:rsid w:val="00D1281C"/>
    <w:rsid w:val="00D12E56"/>
    <w:rsid w:val="00D1452E"/>
    <w:rsid w:val="00D145E2"/>
    <w:rsid w:val="00D14DCB"/>
    <w:rsid w:val="00D1550B"/>
    <w:rsid w:val="00D15E84"/>
    <w:rsid w:val="00D22CD1"/>
    <w:rsid w:val="00D23AF8"/>
    <w:rsid w:val="00D260F8"/>
    <w:rsid w:val="00D31465"/>
    <w:rsid w:val="00D34719"/>
    <w:rsid w:val="00D40F0B"/>
    <w:rsid w:val="00D41D62"/>
    <w:rsid w:val="00D42B2B"/>
    <w:rsid w:val="00D44BB0"/>
    <w:rsid w:val="00D456F8"/>
    <w:rsid w:val="00D459EC"/>
    <w:rsid w:val="00D46334"/>
    <w:rsid w:val="00D46422"/>
    <w:rsid w:val="00D468A3"/>
    <w:rsid w:val="00D51583"/>
    <w:rsid w:val="00D52B74"/>
    <w:rsid w:val="00D60D5F"/>
    <w:rsid w:val="00D61449"/>
    <w:rsid w:val="00D6241A"/>
    <w:rsid w:val="00D631DE"/>
    <w:rsid w:val="00D65F14"/>
    <w:rsid w:val="00D66139"/>
    <w:rsid w:val="00D66586"/>
    <w:rsid w:val="00D71118"/>
    <w:rsid w:val="00D737CD"/>
    <w:rsid w:val="00D739E7"/>
    <w:rsid w:val="00D7593E"/>
    <w:rsid w:val="00D764A8"/>
    <w:rsid w:val="00D77E84"/>
    <w:rsid w:val="00D77FCA"/>
    <w:rsid w:val="00D810C6"/>
    <w:rsid w:val="00D836B7"/>
    <w:rsid w:val="00D853F1"/>
    <w:rsid w:val="00D85AC1"/>
    <w:rsid w:val="00D8626A"/>
    <w:rsid w:val="00D86D7F"/>
    <w:rsid w:val="00D902B1"/>
    <w:rsid w:val="00D92C94"/>
    <w:rsid w:val="00D94F76"/>
    <w:rsid w:val="00D9621D"/>
    <w:rsid w:val="00DA15B9"/>
    <w:rsid w:val="00DA1A31"/>
    <w:rsid w:val="00DA1C44"/>
    <w:rsid w:val="00DA2512"/>
    <w:rsid w:val="00DA2FD2"/>
    <w:rsid w:val="00DA3C0A"/>
    <w:rsid w:val="00DB04C5"/>
    <w:rsid w:val="00DB1065"/>
    <w:rsid w:val="00DB29C2"/>
    <w:rsid w:val="00DB4099"/>
    <w:rsid w:val="00DB5875"/>
    <w:rsid w:val="00DB7670"/>
    <w:rsid w:val="00DC4ACC"/>
    <w:rsid w:val="00DC6170"/>
    <w:rsid w:val="00DD0011"/>
    <w:rsid w:val="00DD1FB0"/>
    <w:rsid w:val="00DD2695"/>
    <w:rsid w:val="00DD33A3"/>
    <w:rsid w:val="00DD3837"/>
    <w:rsid w:val="00DD7CB8"/>
    <w:rsid w:val="00DD7D09"/>
    <w:rsid w:val="00DE1E56"/>
    <w:rsid w:val="00DE3BCB"/>
    <w:rsid w:val="00DE3EA3"/>
    <w:rsid w:val="00DE5570"/>
    <w:rsid w:val="00DF1CB3"/>
    <w:rsid w:val="00DF2A11"/>
    <w:rsid w:val="00DF2B74"/>
    <w:rsid w:val="00DF3638"/>
    <w:rsid w:val="00DF526D"/>
    <w:rsid w:val="00DF5728"/>
    <w:rsid w:val="00DF67C3"/>
    <w:rsid w:val="00DF70BC"/>
    <w:rsid w:val="00DF7A43"/>
    <w:rsid w:val="00E00059"/>
    <w:rsid w:val="00E00348"/>
    <w:rsid w:val="00E003C2"/>
    <w:rsid w:val="00E01AE8"/>
    <w:rsid w:val="00E02059"/>
    <w:rsid w:val="00E04888"/>
    <w:rsid w:val="00E048B8"/>
    <w:rsid w:val="00E052B3"/>
    <w:rsid w:val="00E0536C"/>
    <w:rsid w:val="00E07FC8"/>
    <w:rsid w:val="00E13ADE"/>
    <w:rsid w:val="00E145B0"/>
    <w:rsid w:val="00E147DE"/>
    <w:rsid w:val="00E179BB"/>
    <w:rsid w:val="00E20DF4"/>
    <w:rsid w:val="00E24B43"/>
    <w:rsid w:val="00E255B5"/>
    <w:rsid w:val="00E33702"/>
    <w:rsid w:val="00E35377"/>
    <w:rsid w:val="00E35ED0"/>
    <w:rsid w:val="00E400E4"/>
    <w:rsid w:val="00E404B8"/>
    <w:rsid w:val="00E44F2E"/>
    <w:rsid w:val="00E45778"/>
    <w:rsid w:val="00E51E39"/>
    <w:rsid w:val="00E53676"/>
    <w:rsid w:val="00E543FC"/>
    <w:rsid w:val="00E54FA0"/>
    <w:rsid w:val="00E5595C"/>
    <w:rsid w:val="00E56DD4"/>
    <w:rsid w:val="00E60703"/>
    <w:rsid w:val="00E60B10"/>
    <w:rsid w:val="00E62FC0"/>
    <w:rsid w:val="00E63095"/>
    <w:rsid w:val="00E64828"/>
    <w:rsid w:val="00E64D51"/>
    <w:rsid w:val="00E65D47"/>
    <w:rsid w:val="00E70A0A"/>
    <w:rsid w:val="00E71186"/>
    <w:rsid w:val="00E714F7"/>
    <w:rsid w:val="00E71A54"/>
    <w:rsid w:val="00E72A81"/>
    <w:rsid w:val="00E72B64"/>
    <w:rsid w:val="00E73660"/>
    <w:rsid w:val="00E7434F"/>
    <w:rsid w:val="00E747B1"/>
    <w:rsid w:val="00E76B72"/>
    <w:rsid w:val="00E77A87"/>
    <w:rsid w:val="00E77B3E"/>
    <w:rsid w:val="00E80384"/>
    <w:rsid w:val="00E8363B"/>
    <w:rsid w:val="00E83D67"/>
    <w:rsid w:val="00E857EE"/>
    <w:rsid w:val="00E86B1B"/>
    <w:rsid w:val="00E908E6"/>
    <w:rsid w:val="00E91849"/>
    <w:rsid w:val="00E91D0D"/>
    <w:rsid w:val="00E967F0"/>
    <w:rsid w:val="00E96FA4"/>
    <w:rsid w:val="00EA2ABA"/>
    <w:rsid w:val="00EA39FD"/>
    <w:rsid w:val="00EA4B16"/>
    <w:rsid w:val="00EA55E9"/>
    <w:rsid w:val="00EB0A23"/>
    <w:rsid w:val="00EB1F80"/>
    <w:rsid w:val="00EB57DE"/>
    <w:rsid w:val="00EB6366"/>
    <w:rsid w:val="00EB766F"/>
    <w:rsid w:val="00EC138A"/>
    <w:rsid w:val="00EC31E6"/>
    <w:rsid w:val="00EC56A4"/>
    <w:rsid w:val="00EC61EE"/>
    <w:rsid w:val="00EC7BCA"/>
    <w:rsid w:val="00ED0535"/>
    <w:rsid w:val="00ED2ED7"/>
    <w:rsid w:val="00ED3BA7"/>
    <w:rsid w:val="00ED55F0"/>
    <w:rsid w:val="00ED5723"/>
    <w:rsid w:val="00ED5795"/>
    <w:rsid w:val="00ED6F96"/>
    <w:rsid w:val="00EE29FF"/>
    <w:rsid w:val="00EE3CBA"/>
    <w:rsid w:val="00EE4983"/>
    <w:rsid w:val="00EE4DD6"/>
    <w:rsid w:val="00EE7B94"/>
    <w:rsid w:val="00EF121E"/>
    <w:rsid w:val="00EF3A1D"/>
    <w:rsid w:val="00EF3FCA"/>
    <w:rsid w:val="00EF49AD"/>
    <w:rsid w:val="00EF5F4F"/>
    <w:rsid w:val="00EF722D"/>
    <w:rsid w:val="00F01CE5"/>
    <w:rsid w:val="00F04B06"/>
    <w:rsid w:val="00F108A4"/>
    <w:rsid w:val="00F1190E"/>
    <w:rsid w:val="00F1193B"/>
    <w:rsid w:val="00F12610"/>
    <w:rsid w:val="00F13472"/>
    <w:rsid w:val="00F135E5"/>
    <w:rsid w:val="00F13BE0"/>
    <w:rsid w:val="00F148E9"/>
    <w:rsid w:val="00F1492B"/>
    <w:rsid w:val="00F14B5B"/>
    <w:rsid w:val="00F15E1B"/>
    <w:rsid w:val="00F21571"/>
    <w:rsid w:val="00F21BCB"/>
    <w:rsid w:val="00F230CD"/>
    <w:rsid w:val="00F25567"/>
    <w:rsid w:val="00F2760A"/>
    <w:rsid w:val="00F27D01"/>
    <w:rsid w:val="00F302AB"/>
    <w:rsid w:val="00F31A4E"/>
    <w:rsid w:val="00F32934"/>
    <w:rsid w:val="00F33CB4"/>
    <w:rsid w:val="00F34EEC"/>
    <w:rsid w:val="00F3570C"/>
    <w:rsid w:val="00F36B9D"/>
    <w:rsid w:val="00F37B16"/>
    <w:rsid w:val="00F432BE"/>
    <w:rsid w:val="00F43B59"/>
    <w:rsid w:val="00F44C3E"/>
    <w:rsid w:val="00F44CF0"/>
    <w:rsid w:val="00F451B8"/>
    <w:rsid w:val="00F45EF1"/>
    <w:rsid w:val="00F46B8F"/>
    <w:rsid w:val="00F50278"/>
    <w:rsid w:val="00F51AE4"/>
    <w:rsid w:val="00F51E14"/>
    <w:rsid w:val="00F53623"/>
    <w:rsid w:val="00F53C97"/>
    <w:rsid w:val="00F560F2"/>
    <w:rsid w:val="00F606CD"/>
    <w:rsid w:val="00F62490"/>
    <w:rsid w:val="00F639CA"/>
    <w:rsid w:val="00F64632"/>
    <w:rsid w:val="00F64CC4"/>
    <w:rsid w:val="00F65105"/>
    <w:rsid w:val="00F7013B"/>
    <w:rsid w:val="00F71397"/>
    <w:rsid w:val="00F71546"/>
    <w:rsid w:val="00F71DAD"/>
    <w:rsid w:val="00F7612D"/>
    <w:rsid w:val="00F76164"/>
    <w:rsid w:val="00F763BE"/>
    <w:rsid w:val="00F7672C"/>
    <w:rsid w:val="00F77867"/>
    <w:rsid w:val="00F80067"/>
    <w:rsid w:val="00F80131"/>
    <w:rsid w:val="00F824EC"/>
    <w:rsid w:val="00F84C5E"/>
    <w:rsid w:val="00F84D1F"/>
    <w:rsid w:val="00F86E78"/>
    <w:rsid w:val="00F87BF6"/>
    <w:rsid w:val="00F91D81"/>
    <w:rsid w:val="00F91F77"/>
    <w:rsid w:val="00F944AC"/>
    <w:rsid w:val="00F95534"/>
    <w:rsid w:val="00F96FD5"/>
    <w:rsid w:val="00FA1560"/>
    <w:rsid w:val="00FA1A9A"/>
    <w:rsid w:val="00FA29DE"/>
    <w:rsid w:val="00FA41D5"/>
    <w:rsid w:val="00FA4832"/>
    <w:rsid w:val="00FA5442"/>
    <w:rsid w:val="00FB2627"/>
    <w:rsid w:val="00FB2842"/>
    <w:rsid w:val="00FB36E6"/>
    <w:rsid w:val="00FB3897"/>
    <w:rsid w:val="00FB43CC"/>
    <w:rsid w:val="00FB51C8"/>
    <w:rsid w:val="00FC0127"/>
    <w:rsid w:val="00FC2125"/>
    <w:rsid w:val="00FC468D"/>
    <w:rsid w:val="00FC5CA9"/>
    <w:rsid w:val="00FC6493"/>
    <w:rsid w:val="00FC6B1C"/>
    <w:rsid w:val="00FC75AB"/>
    <w:rsid w:val="00FC7F88"/>
    <w:rsid w:val="00FD0473"/>
    <w:rsid w:val="00FD2400"/>
    <w:rsid w:val="00FD3930"/>
    <w:rsid w:val="00FD3F8F"/>
    <w:rsid w:val="00FD5C2A"/>
    <w:rsid w:val="00FD7C9B"/>
    <w:rsid w:val="00FE1324"/>
    <w:rsid w:val="00FE2868"/>
    <w:rsid w:val="00FE3B3E"/>
    <w:rsid w:val="00FE4FDF"/>
    <w:rsid w:val="00FE5823"/>
    <w:rsid w:val="00FE5F39"/>
    <w:rsid w:val="00FE6129"/>
    <w:rsid w:val="00FE7253"/>
    <w:rsid w:val="00FF07EE"/>
    <w:rsid w:val="00FF0DB8"/>
    <w:rsid w:val="00FF3150"/>
    <w:rsid w:val="00FF373C"/>
    <w:rsid w:val="00FF3C22"/>
    <w:rsid w:val="00FF3EB2"/>
    <w:rsid w:val="00FF42B6"/>
    <w:rsid w:val="00FF78FC"/>
    <w:rsid w:val="00FF7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EAEF13"/>
  <w15:docId w15:val="{CEDC5B04-3034-4191-87F9-B95CF631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DB8"/>
    <w:pPr>
      <w:spacing w:after="160" w:line="259" w:lineRule="auto"/>
    </w:pPr>
    <w:rPr>
      <w:rFonts w:asciiTheme="minorHAnsi" w:eastAsiaTheme="minorEastAsia" w:hAnsiTheme="minorHAnsi"/>
      <w:sz w:val="22"/>
      <w:szCs w:val="22"/>
      <w:lang w:val="en-AU" w:eastAsia="zh-CN"/>
    </w:rPr>
  </w:style>
  <w:style w:type="paragraph" w:styleId="Heading1">
    <w:name w:val="heading 1"/>
    <w:basedOn w:val="Normal"/>
    <w:next w:val="Normal"/>
    <w:link w:val="Heading1Char"/>
    <w:uiPriority w:val="9"/>
    <w:qFormat/>
    <w:rsid w:val="00D40F0B"/>
    <w:pPr>
      <w:keepNext/>
      <w:spacing w:before="240" w:after="60"/>
      <w:outlineLvl w:val="0"/>
    </w:pPr>
    <w:rPr>
      <w:b/>
      <w:bCs/>
      <w:kern w:val="32"/>
      <w:sz w:val="28"/>
      <w:szCs w:val="32"/>
      <w:lang w:val="x-none"/>
    </w:rPr>
  </w:style>
  <w:style w:type="paragraph" w:styleId="Heading2">
    <w:name w:val="heading 2"/>
    <w:basedOn w:val="Normal"/>
    <w:next w:val="Normal"/>
    <w:link w:val="Heading2Char"/>
    <w:uiPriority w:val="9"/>
    <w:qFormat/>
    <w:rsid w:val="00D40F0B"/>
    <w:pPr>
      <w:keepNext/>
      <w:numPr>
        <w:ilvl w:val="4"/>
        <w:numId w:val="2"/>
      </w:numPr>
      <w:jc w:val="center"/>
      <w:outlineLvl w:val="1"/>
    </w:pPr>
    <w:rPr>
      <w:rFonts w:eastAsia="Times"/>
      <w:b/>
      <w:color w:val="000000"/>
      <w:sz w:val="52"/>
      <w:szCs w:val="20"/>
    </w:rPr>
  </w:style>
  <w:style w:type="paragraph" w:styleId="Heading3">
    <w:name w:val="heading 3"/>
    <w:basedOn w:val="Normal"/>
    <w:next w:val="Normal"/>
    <w:link w:val="Heading3Char"/>
    <w:uiPriority w:val="9"/>
    <w:qFormat/>
    <w:rsid w:val="00D40F0B"/>
    <w:pPr>
      <w:keepNext/>
      <w:numPr>
        <w:ilvl w:val="1"/>
        <w:numId w:val="2"/>
      </w:numPr>
      <w:spacing w:before="480"/>
      <w:outlineLvl w:val="2"/>
    </w:pPr>
    <w:rPr>
      <w:rFonts w:ascii="Arial" w:eastAsia="Times" w:hAnsi="Arial"/>
      <w:b/>
      <w:sz w:val="32"/>
      <w:szCs w:val="20"/>
    </w:rPr>
  </w:style>
  <w:style w:type="paragraph" w:styleId="Heading4">
    <w:name w:val="heading 4"/>
    <w:basedOn w:val="Normal"/>
    <w:next w:val="Normal"/>
    <w:link w:val="Heading4Char"/>
    <w:uiPriority w:val="9"/>
    <w:qFormat/>
    <w:rsid w:val="00D40F0B"/>
    <w:pPr>
      <w:keepNext/>
      <w:numPr>
        <w:ilvl w:val="3"/>
        <w:numId w:val="2"/>
      </w:numPr>
      <w:jc w:val="both"/>
      <w:outlineLvl w:val="3"/>
    </w:pPr>
    <w:rPr>
      <w:rFonts w:eastAsia="Times"/>
      <w:b/>
      <w:i/>
      <w:szCs w:val="20"/>
    </w:rPr>
  </w:style>
  <w:style w:type="paragraph" w:styleId="Heading5">
    <w:name w:val="heading 5"/>
    <w:basedOn w:val="Normal"/>
    <w:next w:val="Normal"/>
    <w:link w:val="Heading5Char"/>
    <w:uiPriority w:val="9"/>
    <w:qFormat/>
    <w:rsid w:val="00D40F0B"/>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165678"/>
    <w:pPr>
      <w:suppressLineNumbers/>
      <w:overflowPunct w:val="0"/>
      <w:autoSpaceDE w:val="0"/>
      <w:autoSpaceDN w:val="0"/>
      <w:adjustRightInd w:val="0"/>
      <w:spacing w:before="240" w:after="60"/>
      <w:ind w:left="10064" w:hanging="708"/>
      <w:jc w:val="both"/>
      <w:textAlignment w:val="baseline"/>
      <w:outlineLvl w:val="5"/>
    </w:pPr>
    <w:rPr>
      <w:rFonts w:ascii="Arial" w:eastAsia="Times New Roman" w:hAnsi="Arial" w:cs="Times New Roman"/>
      <w:i/>
      <w:sz w:val="23"/>
      <w:szCs w:val="20"/>
    </w:rPr>
  </w:style>
  <w:style w:type="paragraph" w:styleId="Heading7">
    <w:name w:val="heading 7"/>
    <w:basedOn w:val="Normal"/>
    <w:next w:val="Normal"/>
    <w:link w:val="Heading7Char"/>
    <w:uiPriority w:val="9"/>
    <w:qFormat/>
    <w:rsid w:val="00D40F0B"/>
    <w:pPr>
      <w:keepNext/>
      <w:numPr>
        <w:ilvl w:val="6"/>
        <w:numId w:val="2"/>
      </w:numPr>
      <w:autoSpaceDE w:val="0"/>
      <w:autoSpaceDN w:val="0"/>
      <w:adjustRightInd w:val="0"/>
      <w:jc w:val="both"/>
      <w:outlineLvl w:val="6"/>
    </w:pPr>
    <w:rPr>
      <w:b/>
      <w:szCs w:val="20"/>
    </w:rPr>
  </w:style>
  <w:style w:type="paragraph" w:styleId="Heading8">
    <w:name w:val="heading 8"/>
    <w:basedOn w:val="Normal"/>
    <w:next w:val="Normal"/>
    <w:link w:val="Heading8Char"/>
    <w:uiPriority w:val="9"/>
    <w:qFormat/>
    <w:rsid w:val="00D40F0B"/>
    <w:pPr>
      <w:keepNext/>
      <w:numPr>
        <w:ilvl w:val="7"/>
        <w:numId w:val="2"/>
      </w:numPr>
      <w:jc w:val="both"/>
      <w:outlineLvl w:val="7"/>
    </w:pPr>
    <w:rPr>
      <w:i/>
      <w:szCs w:val="20"/>
    </w:rPr>
  </w:style>
  <w:style w:type="paragraph" w:styleId="Heading9">
    <w:name w:val="heading 9"/>
    <w:basedOn w:val="Normal"/>
    <w:next w:val="Normal"/>
    <w:link w:val="Heading9Char"/>
    <w:uiPriority w:val="9"/>
    <w:qFormat/>
    <w:rsid w:val="00D40F0B"/>
    <w:pPr>
      <w:keepNext/>
      <w:numPr>
        <w:ilvl w:val="8"/>
        <w:numId w:val="2"/>
      </w:numPr>
      <w:ind w:right="-7"/>
      <w:jc w:val="both"/>
      <w:outlineLvl w:val="8"/>
    </w:pPr>
    <w:rPr>
      <w:rFonts w:eastAsia="Times"/>
      <w:b/>
      <w:color w:val="000000"/>
      <w:szCs w:val="20"/>
    </w:rPr>
  </w:style>
  <w:style w:type="character" w:default="1" w:styleId="DefaultParagraphFont">
    <w:name w:val="Default Paragraph Font"/>
    <w:uiPriority w:val="1"/>
    <w:semiHidden/>
    <w:unhideWhenUsed/>
    <w:rsid w:val="00914D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DB8"/>
  </w:style>
  <w:style w:type="character" w:customStyle="1" w:styleId="Heading1Char">
    <w:name w:val="Heading 1 Char"/>
    <w:link w:val="Heading1"/>
    <w:uiPriority w:val="9"/>
    <w:rsid w:val="00D40F0B"/>
    <w:rPr>
      <w:b/>
      <w:bCs/>
      <w:kern w:val="32"/>
      <w:sz w:val="28"/>
      <w:szCs w:val="32"/>
      <w:lang w:val="x-none"/>
    </w:rPr>
  </w:style>
  <w:style w:type="character" w:customStyle="1" w:styleId="Heading2Char">
    <w:name w:val="Heading 2 Char"/>
    <w:link w:val="Heading2"/>
    <w:uiPriority w:val="9"/>
    <w:rsid w:val="00165678"/>
    <w:rPr>
      <w:rFonts w:asciiTheme="minorHAnsi" w:eastAsia="Times" w:hAnsiTheme="minorHAnsi"/>
      <w:b/>
      <w:color w:val="000000"/>
      <w:sz w:val="52"/>
      <w:szCs w:val="20"/>
      <w:lang w:val="en-AU"/>
    </w:rPr>
  </w:style>
  <w:style w:type="character" w:customStyle="1" w:styleId="Heading3Char">
    <w:name w:val="Heading 3 Char"/>
    <w:link w:val="Heading3"/>
    <w:uiPriority w:val="9"/>
    <w:rsid w:val="00165678"/>
    <w:rPr>
      <w:rFonts w:ascii="Arial" w:eastAsia="Times" w:hAnsi="Arial"/>
      <w:b/>
      <w:sz w:val="32"/>
      <w:szCs w:val="20"/>
      <w:lang w:val="en-AU"/>
    </w:rPr>
  </w:style>
  <w:style w:type="character" w:customStyle="1" w:styleId="Heading4Char">
    <w:name w:val="Heading 4 Char"/>
    <w:link w:val="Heading4"/>
    <w:uiPriority w:val="9"/>
    <w:rsid w:val="00165678"/>
    <w:rPr>
      <w:rFonts w:asciiTheme="minorHAnsi" w:eastAsia="Times" w:hAnsiTheme="minorHAnsi"/>
      <w:b/>
      <w:i/>
      <w:sz w:val="22"/>
      <w:szCs w:val="20"/>
      <w:lang w:val="en-AU"/>
    </w:rPr>
  </w:style>
  <w:style w:type="character" w:customStyle="1" w:styleId="Heading5Char">
    <w:name w:val="Heading 5 Char"/>
    <w:link w:val="Heading5"/>
    <w:uiPriority w:val="9"/>
    <w:rsid w:val="00D40F0B"/>
    <w:rPr>
      <w:rFonts w:ascii="Calibri" w:hAnsi="Calibri"/>
      <w:b/>
      <w:bCs/>
      <w:i/>
      <w:iCs/>
      <w:sz w:val="26"/>
      <w:szCs w:val="26"/>
      <w:lang w:val="x-none"/>
    </w:rPr>
  </w:style>
  <w:style w:type="character" w:customStyle="1" w:styleId="Heading6Char">
    <w:name w:val="Heading 6 Char"/>
    <w:basedOn w:val="DefaultParagraphFont"/>
    <w:link w:val="Heading6"/>
    <w:uiPriority w:val="9"/>
    <w:rsid w:val="00165678"/>
    <w:rPr>
      <w:rFonts w:ascii="Arial" w:hAnsi="Arial" w:cs="Times New Roman"/>
      <w:i/>
      <w:sz w:val="23"/>
      <w:szCs w:val="20"/>
      <w:lang w:val="en-AU"/>
    </w:rPr>
  </w:style>
  <w:style w:type="character" w:customStyle="1" w:styleId="Heading7Char">
    <w:name w:val="Heading 7 Char"/>
    <w:link w:val="Heading7"/>
    <w:uiPriority w:val="9"/>
    <w:rsid w:val="00165678"/>
    <w:rPr>
      <w:rFonts w:asciiTheme="minorHAnsi" w:eastAsiaTheme="minorHAnsi" w:hAnsiTheme="minorHAnsi"/>
      <w:b/>
      <w:sz w:val="22"/>
      <w:szCs w:val="20"/>
      <w:lang w:val="en-AU"/>
    </w:rPr>
  </w:style>
  <w:style w:type="character" w:customStyle="1" w:styleId="Heading8Char">
    <w:name w:val="Heading 8 Char"/>
    <w:link w:val="Heading8"/>
    <w:uiPriority w:val="9"/>
    <w:rsid w:val="00165678"/>
    <w:rPr>
      <w:rFonts w:asciiTheme="minorHAnsi" w:eastAsiaTheme="minorHAnsi" w:hAnsiTheme="minorHAnsi"/>
      <w:i/>
      <w:sz w:val="22"/>
      <w:szCs w:val="20"/>
      <w:lang w:val="en-AU"/>
    </w:rPr>
  </w:style>
  <w:style w:type="character" w:customStyle="1" w:styleId="Heading9Char">
    <w:name w:val="Heading 9 Char"/>
    <w:link w:val="Heading9"/>
    <w:uiPriority w:val="9"/>
    <w:rsid w:val="00165678"/>
    <w:rPr>
      <w:rFonts w:asciiTheme="minorHAnsi" w:eastAsia="Times" w:hAnsiTheme="minorHAnsi"/>
      <w:b/>
      <w:color w:val="000000"/>
      <w:sz w:val="22"/>
      <w:szCs w:val="20"/>
      <w:lang w:val="en-AU"/>
    </w:rPr>
  </w:style>
  <w:style w:type="paragraph" w:styleId="FootnoteText">
    <w:name w:val="footnote text"/>
    <w:basedOn w:val="Normal"/>
    <w:link w:val="FootnoteTextChar"/>
    <w:uiPriority w:val="99"/>
    <w:qFormat/>
    <w:rsid w:val="00D40F0B"/>
    <w:pPr>
      <w:spacing w:after="60"/>
      <w:ind w:left="284" w:hanging="284"/>
      <w:jc w:val="both"/>
    </w:pPr>
    <w:rPr>
      <w:sz w:val="18"/>
      <w:lang w:val="x-none"/>
    </w:rPr>
  </w:style>
  <w:style w:type="character" w:customStyle="1" w:styleId="FootnoteTextChar">
    <w:name w:val="Footnote Text Char"/>
    <w:link w:val="FootnoteText"/>
    <w:uiPriority w:val="99"/>
    <w:rsid w:val="00D40F0B"/>
    <w:rPr>
      <w:sz w:val="18"/>
      <w:szCs w:val="24"/>
      <w:lang w:val="x-none"/>
    </w:rPr>
  </w:style>
  <w:style w:type="character" w:styleId="FootnoteReference">
    <w:name w:val="footnote reference"/>
    <w:uiPriority w:val="99"/>
    <w:qFormat/>
    <w:rsid w:val="00565D09"/>
    <w:rPr>
      <w:rFonts w:ascii="Times New Roman" w:hAnsi="Times New Roman"/>
      <w:sz w:val="20"/>
      <w:vertAlign w:val="superscript"/>
    </w:rPr>
  </w:style>
  <w:style w:type="paragraph" w:customStyle="1" w:styleId="DotPointTLRI">
    <w:name w:val="Dot Point TLRI"/>
    <w:qFormat/>
    <w:rsid w:val="00CF09A0"/>
    <w:pPr>
      <w:numPr>
        <w:numId w:val="4"/>
      </w:numPr>
      <w:spacing w:after="120"/>
      <w:ind w:left="709" w:hanging="425"/>
      <w:jc w:val="both"/>
    </w:pPr>
    <w:rPr>
      <w:sz w:val="23"/>
    </w:rPr>
  </w:style>
  <w:style w:type="character" w:styleId="EndnoteReference">
    <w:name w:val="endnote reference"/>
    <w:rsid w:val="00D40F0B"/>
    <w:rPr>
      <w:vertAlign w:val="superscript"/>
    </w:rPr>
  </w:style>
  <w:style w:type="paragraph" w:customStyle="1" w:styleId="QuoteTLRI">
    <w:name w:val="Quote TLRI"/>
    <w:basedOn w:val="Normal"/>
    <w:rsid w:val="00C47D98"/>
    <w:pPr>
      <w:spacing w:after="220" w:line="276" w:lineRule="auto"/>
      <w:ind w:left="709" w:right="851"/>
      <w:jc w:val="both"/>
    </w:pPr>
    <w:rPr>
      <w:rFonts w:ascii="Times New Roman" w:eastAsia="Times" w:hAnsi="Times New Roman"/>
      <w:sz w:val="21"/>
      <w:szCs w:val="20"/>
      <w:lang w:eastAsia="ja-JP"/>
    </w:rPr>
  </w:style>
  <w:style w:type="paragraph" w:customStyle="1" w:styleId="PartNoTLRI">
    <w:name w:val="Part No TLRI"/>
    <w:basedOn w:val="Normal"/>
    <w:link w:val="PartNoTLRIChar"/>
    <w:qFormat/>
    <w:rsid w:val="00D9621D"/>
    <w:pPr>
      <w:numPr>
        <w:numId w:val="3"/>
      </w:numPr>
      <w:jc w:val="center"/>
    </w:pPr>
    <w:rPr>
      <w:rFonts w:ascii="Arial" w:eastAsia="Times" w:hAnsi="Arial"/>
      <w:b/>
      <w:sz w:val="32"/>
      <w:szCs w:val="20"/>
      <w:lang w:val="x-none"/>
    </w:rPr>
  </w:style>
  <w:style w:type="character" w:customStyle="1" w:styleId="PartNoTLRIChar">
    <w:name w:val="Part No TLRI Char"/>
    <w:link w:val="PartNoTLRI"/>
    <w:rsid w:val="00D9621D"/>
    <w:rPr>
      <w:rFonts w:ascii="Arial" w:eastAsia="Times" w:hAnsi="Arial"/>
      <w:b/>
      <w:sz w:val="32"/>
      <w:szCs w:val="20"/>
      <w:lang w:val="x-none"/>
    </w:rPr>
  </w:style>
  <w:style w:type="paragraph" w:customStyle="1" w:styleId="PartHeadingTLRI">
    <w:name w:val="Part Heading TLRI"/>
    <w:basedOn w:val="Normal"/>
    <w:link w:val="PartHeadingTLRIChar"/>
    <w:qFormat/>
    <w:rsid w:val="00D9621D"/>
    <w:pPr>
      <w:tabs>
        <w:tab w:val="num" w:pos="0"/>
      </w:tabs>
      <w:spacing w:before="480" w:after="640"/>
      <w:jc w:val="center"/>
    </w:pPr>
    <w:rPr>
      <w:rFonts w:ascii="Arial" w:eastAsia="Times" w:hAnsi="Arial"/>
      <w:b/>
      <w:sz w:val="52"/>
      <w:szCs w:val="20"/>
      <w:lang w:val="x-none"/>
    </w:rPr>
  </w:style>
  <w:style w:type="character" w:customStyle="1" w:styleId="PartHeadingTLRIChar">
    <w:name w:val="Part Heading TLRI Char"/>
    <w:link w:val="PartHeadingTLRI"/>
    <w:rsid w:val="00D9621D"/>
    <w:rPr>
      <w:rFonts w:ascii="Arial" w:eastAsia="Times" w:hAnsi="Arial"/>
      <w:b/>
      <w:sz w:val="52"/>
      <w:szCs w:val="20"/>
      <w:lang w:val="x-none"/>
    </w:rPr>
  </w:style>
  <w:style w:type="paragraph" w:customStyle="1" w:styleId="NormalNumberedTextTLRI">
    <w:name w:val="Normal Numbered Text TLRI"/>
    <w:basedOn w:val="Normal"/>
    <w:link w:val="NormalNumberedTextTLRIChar"/>
    <w:qFormat/>
    <w:rsid w:val="0080171F"/>
    <w:pPr>
      <w:numPr>
        <w:ilvl w:val="2"/>
        <w:numId w:val="3"/>
      </w:numPr>
      <w:tabs>
        <w:tab w:val="clear" w:pos="720"/>
        <w:tab w:val="left" w:pos="709"/>
      </w:tabs>
      <w:spacing w:before="220" w:after="220" w:line="276" w:lineRule="auto"/>
      <w:jc w:val="both"/>
    </w:pPr>
    <w:rPr>
      <w:rFonts w:ascii="Times New Roman" w:eastAsia="Times" w:hAnsi="Times New Roman"/>
      <w:sz w:val="23"/>
      <w:szCs w:val="20"/>
      <w:lang w:val="x-none"/>
    </w:rPr>
  </w:style>
  <w:style w:type="character" w:customStyle="1" w:styleId="NormalNumberedTextTLRIChar">
    <w:name w:val="Normal Numbered Text TLRI Char"/>
    <w:link w:val="NormalNumberedTextTLRI"/>
    <w:rsid w:val="0080171F"/>
    <w:rPr>
      <w:rFonts w:eastAsia="Times"/>
      <w:sz w:val="23"/>
      <w:szCs w:val="20"/>
      <w:lang w:val="x-none"/>
    </w:rPr>
  </w:style>
  <w:style w:type="character" w:customStyle="1" w:styleId="verdana">
    <w:name w:val="verdana"/>
    <w:basedOn w:val="DefaultParagraphFont"/>
    <w:semiHidden/>
    <w:rsid w:val="00D40F0B"/>
  </w:style>
  <w:style w:type="paragraph" w:customStyle="1" w:styleId="NumberedHeadingTLRI">
    <w:name w:val="Numbered Heading TLRI"/>
    <w:basedOn w:val="Normal"/>
    <w:next w:val="NormalNumberedTextTLRI"/>
    <w:link w:val="NumberedHeadingTLRIChar"/>
    <w:qFormat/>
    <w:rsid w:val="00D40F0B"/>
    <w:pPr>
      <w:numPr>
        <w:ilvl w:val="1"/>
        <w:numId w:val="3"/>
      </w:numPr>
      <w:tabs>
        <w:tab w:val="clear" w:pos="720"/>
      </w:tabs>
      <w:spacing w:before="480" w:after="220"/>
      <w:ind w:left="709" w:hanging="709"/>
    </w:pPr>
    <w:rPr>
      <w:rFonts w:ascii="Arial" w:eastAsia="Times" w:hAnsi="Arial"/>
      <w:b/>
      <w:sz w:val="32"/>
      <w:szCs w:val="20"/>
      <w:lang w:val="x-none"/>
    </w:rPr>
  </w:style>
  <w:style w:type="character" w:customStyle="1" w:styleId="NumberedHeadingTLRIChar">
    <w:name w:val="Numbered Heading TLRI Char"/>
    <w:link w:val="NumberedHeadingTLRI"/>
    <w:rsid w:val="00D40F0B"/>
    <w:rPr>
      <w:rFonts w:ascii="Arial" w:eastAsia="Times" w:hAnsi="Arial"/>
      <w:b/>
      <w:sz w:val="32"/>
      <w:szCs w:val="20"/>
      <w:lang w:val="x-none"/>
    </w:rPr>
  </w:style>
  <w:style w:type="character" w:customStyle="1" w:styleId="hit">
    <w:name w:val="hit"/>
    <w:basedOn w:val="DefaultParagraphFont"/>
    <w:semiHidden/>
    <w:rsid w:val="00D40F0B"/>
  </w:style>
  <w:style w:type="paragraph" w:customStyle="1" w:styleId="Sub-HeadingTLRI">
    <w:name w:val="Sub-Heading TLRI"/>
    <w:basedOn w:val="Normal"/>
    <w:link w:val="Sub-HeadingTLRIChar"/>
    <w:qFormat/>
    <w:rsid w:val="006C5350"/>
    <w:pPr>
      <w:spacing w:before="360" w:after="220"/>
    </w:pPr>
    <w:rPr>
      <w:rFonts w:ascii="Times New Roman" w:eastAsia="Times" w:hAnsi="Times New Roman"/>
      <w:b/>
      <w:i/>
      <w:szCs w:val="20"/>
      <w:lang w:val="x-none"/>
    </w:rPr>
  </w:style>
  <w:style w:type="character" w:customStyle="1" w:styleId="Sub-HeadingTLRIChar">
    <w:name w:val="Sub-Heading TLRI Char"/>
    <w:link w:val="Sub-HeadingTLRI"/>
    <w:rsid w:val="006C5350"/>
    <w:rPr>
      <w:rFonts w:eastAsia="Times"/>
      <w:b/>
      <w:i/>
      <w:szCs w:val="20"/>
      <w:lang w:val="x-none"/>
    </w:rPr>
  </w:style>
  <w:style w:type="character" w:customStyle="1" w:styleId="ColorfulGrid-Accent1Char">
    <w:name w:val="Colorful Grid - Accent 1 Char"/>
    <w:link w:val="ColorfulGrid-Accent1"/>
    <w:uiPriority w:val="29"/>
    <w:rsid w:val="00D40F0B"/>
    <w:rPr>
      <w:rFonts w:ascii="Times New Roman" w:eastAsia="Times New Roman" w:hAnsi="Times New Roman" w:cs="Times New Roman"/>
      <w:i/>
      <w:iCs/>
      <w:color w:val="000000"/>
      <w:sz w:val="24"/>
      <w:szCs w:val="24"/>
    </w:rPr>
  </w:style>
  <w:style w:type="table" w:styleId="ColorfulGrid-Accent1">
    <w:name w:val="Colorful Grid Accent 1"/>
    <w:basedOn w:val="TableNormal"/>
    <w:link w:val="ColorfulGrid-Accent1Char"/>
    <w:uiPriority w:val="29"/>
    <w:rsid w:val="00D40F0B"/>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ootnoteTextTLRI">
    <w:name w:val="Footnote Text TLRI"/>
    <w:basedOn w:val="FootnoteText"/>
    <w:link w:val="FootnoteTextTLRIChar"/>
    <w:qFormat/>
    <w:rsid w:val="004079DF"/>
    <w:pPr>
      <w:spacing w:after="40"/>
    </w:pPr>
    <w:rPr>
      <w:rFonts w:ascii="Times New Roman" w:hAnsi="Times New Roman"/>
      <w:sz w:val="20"/>
      <w:lang w:val="en-US"/>
    </w:rPr>
  </w:style>
  <w:style w:type="character" w:customStyle="1" w:styleId="FootnoteTextTLRIChar">
    <w:name w:val="Footnote Text TLRI Char"/>
    <w:link w:val="FootnoteTextTLRI"/>
    <w:rsid w:val="004079DF"/>
    <w:rPr>
      <w:rFonts w:eastAsiaTheme="minorHAnsi"/>
      <w:sz w:val="20"/>
    </w:rPr>
  </w:style>
  <w:style w:type="paragraph" w:customStyle="1" w:styleId="SecondLevelofQuoteTLRI">
    <w:name w:val="Second Level of Quote TLRI"/>
    <w:rsid w:val="00D40F0B"/>
    <w:pPr>
      <w:spacing w:after="220"/>
      <w:ind w:left="851" w:right="851"/>
      <w:jc w:val="both"/>
    </w:pPr>
    <w:rPr>
      <w:rFonts w:eastAsia="Times"/>
      <w:lang w:val="en-AU"/>
    </w:rPr>
  </w:style>
  <w:style w:type="paragraph" w:customStyle="1" w:styleId="BackgroundNormalTextTLRI">
    <w:name w:val="Background Normal Text TLRI"/>
    <w:rsid w:val="00D40F0B"/>
    <w:pPr>
      <w:tabs>
        <w:tab w:val="left" w:pos="851"/>
      </w:tabs>
      <w:spacing w:before="220" w:after="220"/>
      <w:jc w:val="both"/>
    </w:pPr>
    <w:rPr>
      <w:rFonts w:eastAsia="Times"/>
      <w:sz w:val="22"/>
      <w:lang w:val="en-AU"/>
    </w:rPr>
  </w:style>
  <w:style w:type="paragraph" w:customStyle="1" w:styleId="BackgroundHeadingTLRI">
    <w:name w:val="Background Heading TLRI"/>
    <w:rsid w:val="00D40F0B"/>
    <w:pPr>
      <w:tabs>
        <w:tab w:val="left" w:pos="851"/>
        <w:tab w:val="num" w:pos="1571"/>
      </w:tabs>
      <w:spacing w:before="640" w:after="220"/>
      <w:ind w:left="851"/>
    </w:pPr>
    <w:rPr>
      <w:rFonts w:ascii="Arial" w:eastAsia="Times" w:hAnsi="Arial"/>
      <w:b/>
      <w:sz w:val="32"/>
      <w:lang w:val="en-AU"/>
    </w:rPr>
  </w:style>
  <w:style w:type="paragraph" w:styleId="EndnoteText">
    <w:name w:val="endnote text"/>
    <w:basedOn w:val="Normal"/>
    <w:link w:val="EndnoteTextChar"/>
    <w:uiPriority w:val="99"/>
    <w:rsid w:val="00D40F0B"/>
    <w:rPr>
      <w:sz w:val="20"/>
      <w:szCs w:val="20"/>
      <w:lang w:val="x-none"/>
    </w:rPr>
  </w:style>
  <w:style w:type="character" w:customStyle="1" w:styleId="EndnoteTextChar">
    <w:name w:val="Endnote Text Char"/>
    <w:link w:val="EndnoteText"/>
    <w:uiPriority w:val="99"/>
    <w:rsid w:val="00D40F0B"/>
    <w:rPr>
      <w:lang w:val="x-none"/>
    </w:rPr>
  </w:style>
  <w:style w:type="character" w:styleId="Hyperlink">
    <w:name w:val="Hyperlink"/>
    <w:uiPriority w:val="99"/>
    <w:rsid w:val="00D40F0B"/>
    <w:rPr>
      <w:color w:val="0000FF"/>
      <w:u w:val="single"/>
    </w:rPr>
  </w:style>
  <w:style w:type="paragraph" w:styleId="Footer">
    <w:name w:val="footer"/>
    <w:basedOn w:val="Normal"/>
    <w:link w:val="FooterChar"/>
    <w:uiPriority w:val="99"/>
    <w:rsid w:val="00D40F0B"/>
    <w:pPr>
      <w:tabs>
        <w:tab w:val="center" w:pos="4320"/>
        <w:tab w:val="right" w:pos="8640"/>
      </w:tabs>
    </w:pPr>
    <w:rPr>
      <w:lang w:val="x-none"/>
    </w:rPr>
  </w:style>
  <w:style w:type="character" w:customStyle="1" w:styleId="FooterChar">
    <w:name w:val="Footer Char"/>
    <w:link w:val="Footer"/>
    <w:uiPriority w:val="99"/>
    <w:rsid w:val="00D40F0B"/>
    <w:rPr>
      <w:sz w:val="24"/>
      <w:szCs w:val="24"/>
      <w:lang w:val="x-none"/>
    </w:rPr>
  </w:style>
  <w:style w:type="character" w:styleId="PageNumber">
    <w:name w:val="page number"/>
    <w:basedOn w:val="DefaultParagraphFont"/>
    <w:uiPriority w:val="99"/>
    <w:rsid w:val="00D40F0B"/>
  </w:style>
  <w:style w:type="paragraph" w:styleId="Header">
    <w:name w:val="header"/>
    <w:basedOn w:val="Normal"/>
    <w:link w:val="HeaderChar"/>
    <w:uiPriority w:val="99"/>
    <w:rsid w:val="00D40F0B"/>
    <w:pPr>
      <w:tabs>
        <w:tab w:val="center" w:pos="4320"/>
        <w:tab w:val="right" w:pos="8640"/>
      </w:tabs>
    </w:pPr>
    <w:rPr>
      <w:lang w:val="x-none"/>
    </w:rPr>
  </w:style>
  <w:style w:type="character" w:customStyle="1" w:styleId="HeaderChar">
    <w:name w:val="Header Char"/>
    <w:link w:val="Header"/>
    <w:uiPriority w:val="99"/>
    <w:rsid w:val="00D40F0B"/>
    <w:rPr>
      <w:sz w:val="24"/>
      <w:szCs w:val="24"/>
      <w:lang w:val="x-none"/>
    </w:rPr>
  </w:style>
  <w:style w:type="paragraph" w:styleId="BalloonText">
    <w:name w:val="Balloon Text"/>
    <w:basedOn w:val="Normal"/>
    <w:link w:val="BalloonTextChar"/>
    <w:uiPriority w:val="99"/>
    <w:rsid w:val="00D40F0B"/>
    <w:rPr>
      <w:rFonts w:ascii="Tahoma" w:hAnsi="Tahoma"/>
      <w:sz w:val="16"/>
      <w:szCs w:val="16"/>
      <w:lang w:val="x-none"/>
    </w:rPr>
  </w:style>
  <w:style w:type="character" w:customStyle="1" w:styleId="BalloonTextChar">
    <w:name w:val="Balloon Text Char"/>
    <w:link w:val="BalloonText"/>
    <w:uiPriority w:val="99"/>
    <w:rsid w:val="00D40F0B"/>
    <w:rPr>
      <w:rFonts w:ascii="Tahoma" w:hAnsi="Tahoma"/>
      <w:sz w:val="16"/>
      <w:szCs w:val="16"/>
      <w:lang w:val="x-none"/>
    </w:rPr>
  </w:style>
  <w:style w:type="paragraph" w:styleId="ListBullet">
    <w:name w:val="List Bullet"/>
    <w:basedOn w:val="Normal"/>
    <w:rsid w:val="00D40F0B"/>
    <w:pPr>
      <w:numPr>
        <w:numId w:val="5"/>
      </w:numPr>
      <w:contextualSpacing/>
    </w:pPr>
  </w:style>
  <w:style w:type="character" w:styleId="CommentReference">
    <w:name w:val="annotation reference"/>
    <w:uiPriority w:val="99"/>
    <w:rsid w:val="00D40F0B"/>
    <w:rPr>
      <w:sz w:val="16"/>
      <w:szCs w:val="16"/>
    </w:rPr>
  </w:style>
  <w:style w:type="paragraph" w:styleId="CommentText">
    <w:name w:val="annotation text"/>
    <w:basedOn w:val="Normal"/>
    <w:link w:val="CommentTextChar"/>
    <w:uiPriority w:val="99"/>
    <w:rsid w:val="00D40F0B"/>
    <w:rPr>
      <w:sz w:val="20"/>
      <w:szCs w:val="20"/>
      <w:lang w:val="x-none"/>
    </w:rPr>
  </w:style>
  <w:style w:type="character" w:customStyle="1" w:styleId="CommentTextChar">
    <w:name w:val="Comment Text Char"/>
    <w:link w:val="CommentText"/>
    <w:uiPriority w:val="99"/>
    <w:rsid w:val="00D40F0B"/>
    <w:rPr>
      <w:lang w:val="x-none"/>
    </w:rPr>
  </w:style>
  <w:style w:type="paragraph" w:styleId="CommentSubject">
    <w:name w:val="annotation subject"/>
    <w:basedOn w:val="CommentText"/>
    <w:next w:val="CommentText"/>
    <w:link w:val="CommentSubjectChar"/>
    <w:uiPriority w:val="99"/>
    <w:rsid w:val="00D40F0B"/>
    <w:rPr>
      <w:b/>
      <w:bCs/>
    </w:rPr>
  </w:style>
  <w:style w:type="character" w:customStyle="1" w:styleId="CommentSubjectChar">
    <w:name w:val="Comment Subject Char"/>
    <w:link w:val="CommentSubject"/>
    <w:uiPriority w:val="99"/>
    <w:rsid w:val="00D40F0B"/>
    <w:rPr>
      <w:b/>
      <w:bCs/>
      <w:lang w:val="x-none"/>
    </w:rPr>
  </w:style>
  <w:style w:type="paragraph" w:customStyle="1" w:styleId="TOCHeading1">
    <w:name w:val="TOC Heading1"/>
    <w:basedOn w:val="Heading1"/>
    <w:next w:val="Normal"/>
    <w:uiPriority w:val="39"/>
    <w:qFormat/>
    <w:rsid w:val="00D40F0B"/>
    <w:pPr>
      <w:keepLines/>
      <w:spacing w:before="480" w:after="0" w:line="276" w:lineRule="auto"/>
      <w:outlineLvl w:val="9"/>
    </w:pPr>
    <w:rPr>
      <w:color w:val="365F91"/>
      <w:kern w:val="0"/>
      <w:szCs w:val="28"/>
      <w:lang w:val="en-US"/>
    </w:rPr>
  </w:style>
  <w:style w:type="paragraph" w:styleId="TOC3">
    <w:name w:val="toc 3"/>
    <w:basedOn w:val="Normal"/>
    <w:next w:val="Normal"/>
    <w:autoRedefine/>
    <w:uiPriority w:val="39"/>
    <w:rsid w:val="00D40F0B"/>
    <w:pPr>
      <w:ind w:left="480"/>
    </w:pPr>
    <w:rPr>
      <w:rFonts w:ascii="Cambria" w:hAnsi="Cambria"/>
    </w:rPr>
  </w:style>
  <w:style w:type="paragraph" w:styleId="TOC1">
    <w:name w:val="toc 1"/>
    <w:basedOn w:val="Normal"/>
    <w:next w:val="Normal"/>
    <w:autoRedefine/>
    <w:uiPriority w:val="39"/>
    <w:rsid w:val="00D40F0B"/>
    <w:pPr>
      <w:tabs>
        <w:tab w:val="right" w:leader="dot" w:pos="9016"/>
      </w:tabs>
      <w:spacing w:before="120"/>
    </w:pPr>
    <w:rPr>
      <w:rFonts w:ascii="Cambria" w:hAnsi="Cambria"/>
      <w:b/>
      <w:noProof/>
    </w:rPr>
  </w:style>
  <w:style w:type="paragraph" w:styleId="TOC2">
    <w:name w:val="toc 2"/>
    <w:basedOn w:val="Normal"/>
    <w:next w:val="Normal"/>
    <w:autoRedefine/>
    <w:uiPriority w:val="39"/>
    <w:rsid w:val="00D40F0B"/>
    <w:pPr>
      <w:ind w:left="240"/>
    </w:pPr>
    <w:rPr>
      <w:rFonts w:ascii="Cambria" w:hAnsi="Cambria"/>
      <w:b/>
    </w:rPr>
  </w:style>
  <w:style w:type="paragraph" w:customStyle="1" w:styleId="Subsection">
    <w:name w:val="Subsection"/>
    <w:link w:val="SubsectionChar"/>
    <w:rsid w:val="00D40F0B"/>
    <w:pPr>
      <w:tabs>
        <w:tab w:val="right" w:pos="595"/>
        <w:tab w:val="left" w:pos="879"/>
      </w:tabs>
      <w:spacing w:before="160" w:line="260" w:lineRule="atLeast"/>
      <w:ind w:left="879" w:hanging="879"/>
    </w:pPr>
    <w:rPr>
      <w:lang w:val="en-AU"/>
    </w:rPr>
  </w:style>
  <w:style w:type="character" w:customStyle="1" w:styleId="SubsectionChar">
    <w:name w:val="Subsection Char"/>
    <w:link w:val="Subsection"/>
    <w:rsid w:val="00165678"/>
    <w:rPr>
      <w:lang w:val="en-AU"/>
    </w:rPr>
  </w:style>
  <w:style w:type="paragraph" w:customStyle="1" w:styleId="Indenta">
    <w:name w:val="Indent(a)"/>
    <w:rsid w:val="00D40F0B"/>
    <w:pPr>
      <w:tabs>
        <w:tab w:val="right" w:pos="1332"/>
        <w:tab w:val="left" w:pos="1616"/>
      </w:tabs>
      <w:spacing w:before="80" w:line="260" w:lineRule="atLeast"/>
      <w:ind w:left="1616" w:hanging="1616"/>
    </w:pPr>
    <w:rPr>
      <w:lang w:val="en-AU"/>
    </w:rPr>
  </w:style>
  <w:style w:type="character" w:customStyle="1" w:styleId="CharSectno">
    <w:name w:val="CharSectno"/>
    <w:rsid w:val="00D40F0B"/>
    <w:rPr>
      <w:noProof w:val="0"/>
      <w:lang w:val="en-AU"/>
    </w:rPr>
  </w:style>
  <w:style w:type="paragraph" w:styleId="DocumentMap">
    <w:name w:val="Document Map"/>
    <w:basedOn w:val="Normal"/>
    <w:link w:val="DocumentMapChar"/>
    <w:uiPriority w:val="99"/>
    <w:rsid w:val="00D40F0B"/>
    <w:rPr>
      <w:rFonts w:ascii="Tahoma" w:hAnsi="Tahoma"/>
      <w:sz w:val="16"/>
      <w:szCs w:val="16"/>
      <w:lang w:val="x-none"/>
    </w:rPr>
  </w:style>
  <w:style w:type="character" w:customStyle="1" w:styleId="DocumentMapChar">
    <w:name w:val="Document Map Char"/>
    <w:link w:val="DocumentMap"/>
    <w:uiPriority w:val="99"/>
    <w:rsid w:val="00D40F0B"/>
    <w:rPr>
      <w:rFonts w:ascii="Tahoma" w:hAnsi="Tahoma"/>
      <w:sz w:val="16"/>
      <w:szCs w:val="16"/>
      <w:lang w:val="x-none"/>
    </w:rPr>
  </w:style>
  <w:style w:type="paragraph" w:styleId="Index1">
    <w:name w:val="index 1"/>
    <w:basedOn w:val="Normal"/>
    <w:next w:val="Normal"/>
    <w:autoRedefine/>
    <w:rsid w:val="00D40F0B"/>
    <w:pPr>
      <w:ind w:left="240" w:hanging="240"/>
    </w:pPr>
  </w:style>
  <w:style w:type="paragraph" w:styleId="TOC9">
    <w:name w:val="toc 9"/>
    <w:basedOn w:val="Normal"/>
    <w:next w:val="Normal"/>
    <w:autoRedefine/>
    <w:uiPriority w:val="39"/>
    <w:rsid w:val="00D40F0B"/>
    <w:pPr>
      <w:ind w:left="1920"/>
    </w:pPr>
    <w:rPr>
      <w:rFonts w:ascii="Cambria" w:hAnsi="Cambria"/>
      <w:sz w:val="20"/>
      <w:szCs w:val="20"/>
    </w:rPr>
  </w:style>
  <w:style w:type="paragraph" w:styleId="BodyText">
    <w:name w:val="Body Text"/>
    <w:basedOn w:val="Normal"/>
    <w:link w:val="BodyTextChar"/>
    <w:rsid w:val="00D40F0B"/>
    <w:pPr>
      <w:spacing w:before="120" w:after="120"/>
      <w:jc w:val="both"/>
    </w:pPr>
    <w:rPr>
      <w:b/>
      <w:sz w:val="28"/>
      <w:szCs w:val="20"/>
      <w:lang w:val="x-none"/>
    </w:rPr>
  </w:style>
  <w:style w:type="character" w:customStyle="1" w:styleId="BodyTextChar">
    <w:name w:val="Body Text Char"/>
    <w:link w:val="BodyText"/>
    <w:rsid w:val="00D40F0B"/>
    <w:rPr>
      <w:b/>
      <w:sz w:val="28"/>
      <w:lang w:val="x-none"/>
    </w:rPr>
  </w:style>
  <w:style w:type="paragraph" w:customStyle="1" w:styleId="Referenceheading">
    <w:name w:val="Reference heading"/>
    <w:basedOn w:val="Normal"/>
    <w:rsid w:val="00D40F0B"/>
    <w:pPr>
      <w:spacing w:before="120" w:after="120" w:line="360" w:lineRule="auto"/>
      <w:jc w:val="center"/>
    </w:pPr>
    <w:rPr>
      <w:caps/>
      <w:sz w:val="28"/>
    </w:rPr>
  </w:style>
  <w:style w:type="paragraph" w:customStyle="1" w:styleId="JHeading2">
    <w:name w:val="J Heading 2"/>
    <w:rsid w:val="00D40F0B"/>
    <w:pPr>
      <w:keepNext/>
      <w:tabs>
        <w:tab w:val="num" w:pos="0"/>
      </w:tabs>
      <w:spacing w:before="240" w:after="640"/>
      <w:jc w:val="center"/>
    </w:pPr>
    <w:rPr>
      <w:rFonts w:eastAsia="Times"/>
      <w:b/>
      <w:sz w:val="52"/>
      <w:lang w:val="en-AU"/>
    </w:rPr>
  </w:style>
  <w:style w:type="paragraph" w:customStyle="1" w:styleId="TLRITitle">
    <w:name w:val="TLRI Title"/>
    <w:basedOn w:val="BodyText"/>
    <w:uiPriority w:val="1"/>
    <w:qFormat/>
    <w:rsid w:val="00D40F0B"/>
    <w:pPr>
      <w:jc w:val="center"/>
    </w:pPr>
    <w:rPr>
      <w:sz w:val="56"/>
    </w:rPr>
  </w:style>
  <w:style w:type="paragraph" w:styleId="TOC4">
    <w:name w:val="toc 4"/>
    <w:basedOn w:val="Normal"/>
    <w:next w:val="Normal"/>
    <w:autoRedefine/>
    <w:uiPriority w:val="39"/>
    <w:rsid w:val="00D40F0B"/>
    <w:pPr>
      <w:ind w:left="720"/>
    </w:pPr>
    <w:rPr>
      <w:rFonts w:ascii="Cambria" w:hAnsi="Cambria"/>
      <w:sz w:val="20"/>
      <w:szCs w:val="20"/>
    </w:rPr>
  </w:style>
  <w:style w:type="paragraph" w:styleId="TOC5">
    <w:name w:val="toc 5"/>
    <w:basedOn w:val="Normal"/>
    <w:next w:val="Normal"/>
    <w:autoRedefine/>
    <w:uiPriority w:val="39"/>
    <w:rsid w:val="00D40F0B"/>
    <w:pPr>
      <w:ind w:left="960"/>
    </w:pPr>
    <w:rPr>
      <w:rFonts w:ascii="Cambria" w:hAnsi="Cambria"/>
      <w:sz w:val="20"/>
      <w:szCs w:val="20"/>
    </w:rPr>
  </w:style>
  <w:style w:type="paragraph" w:styleId="TOC6">
    <w:name w:val="toc 6"/>
    <w:basedOn w:val="Normal"/>
    <w:next w:val="Normal"/>
    <w:autoRedefine/>
    <w:uiPriority w:val="39"/>
    <w:rsid w:val="00D40F0B"/>
    <w:pPr>
      <w:ind w:left="1200"/>
    </w:pPr>
    <w:rPr>
      <w:rFonts w:ascii="Cambria" w:hAnsi="Cambria"/>
      <w:sz w:val="20"/>
      <w:szCs w:val="20"/>
    </w:rPr>
  </w:style>
  <w:style w:type="paragraph" w:styleId="TOC7">
    <w:name w:val="toc 7"/>
    <w:basedOn w:val="Normal"/>
    <w:next w:val="Normal"/>
    <w:autoRedefine/>
    <w:uiPriority w:val="39"/>
    <w:rsid w:val="00D40F0B"/>
    <w:pPr>
      <w:ind w:left="1440"/>
    </w:pPr>
    <w:rPr>
      <w:rFonts w:ascii="Cambria" w:hAnsi="Cambria"/>
      <w:sz w:val="20"/>
      <w:szCs w:val="20"/>
    </w:rPr>
  </w:style>
  <w:style w:type="paragraph" w:styleId="TOC8">
    <w:name w:val="toc 8"/>
    <w:basedOn w:val="Normal"/>
    <w:next w:val="Normal"/>
    <w:autoRedefine/>
    <w:uiPriority w:val="39"/>
    <w:rsid w:val="00D40F0B"/>
    <w:pPr>
      <w:ind w:left="1680"/>
    </w:pPr>
    <w:rPr>
      <w:rFonts w:ascii="Cambria" w:hAnsi="Cambria"/>
      <w:sz w:val="20"/>
      <w:szCs w:val="20"/>
    </w:rPr>
  </w:style>
  <w:style w:type="table" w:styleId="ColorfulList-Accent1">
    <w:name w:val="Colorful List Accent 1"/>
    <w:basedOn w:val="TableNormal"/>
    <w:uiPriority w:val="72"/>
    <w:rsid w:val="00D40F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rsid w:val="00D026A6"/>
    <w:pPr>
      <w:ind w:left="720"/>
    </w:pPr>
    <w:rPr>
      <w:rFonts w:ascii="Times New Roman" w:hAnsi="Times New Roman"/>
    </w:rPr>
  </w:style>
  <w:style w:type="character" w:customStyle="1" w:styleId="ListParagraphChar">
    <w:name w:val="List Paragraph Char"/>
    <w:link w:val="ListParagraph"/>
    <w:uiPriority w:val="34"/>
    <w:locked/>
    <w:rsid w:val="00D026A6"/>
    <w:rPr>
      <w:rFonts w:eastAsiaTheme="minorHAnsi"/>
      <w:lang w:val="en-AU"/>
    </w:rPr>
  </w:style>
  <w:style w:type="character" w:customStyle="1" w:styleId="a-size-extra-large3">
    <w:name w:val="a-size-extra-large3"/>
    <w:basedOn w:val="DefaultParagraphFont"/>
    <w:rsid w:val="00BE182C"/>
  </w:style>
  <w:style w:type="character" w:customStyle="1" w:styleId="a-size-large">
    <w:name w:val="a-size-large"/>
    <w:basedOn w:val="DefaultParagraphFont"/>
    <w:rsid w:val="00BE182C"/>
  </w:style>
  <w:style w:type="paragraph" w:customStyle="1" w:styleId="clause">
    <w:name w:val="clause"/>
    <w:basedOn w:val="Normal"/>
    <w:rsid w:val="00115861"/>
    <w:pPr>
      <w:spacing w:before="100" w:beforeAutospacing="1" w:after="100" w:afterAutospacing="1"/>
    </w:pPr>
    <w:rPr>
      <w:rFonts w:ascii="Times" w:eastAsia="Times New Roman" w:hAnsi="Times"/>
      <w:sz w:val="20"/>
      <w:szCs w:val="20"/>
    </w:rPr>
  </w:style>
  <w:style w:type="paragraph" w:styleId="NormalWeb">
    <w:name w:val="Normal (Web)"/>
    <w:basedOn w:val="Normal"/>
    <w:uiPriority w:val="99"/>
    <w:unhideWhenUsed/>
    <w:rsid w:val="00A73373"/>
    <w:pPr>
      <w:spacing w:before="100" w:beforeAutospacing="1" w:after="100" w:afterAutospacing="1"/>
    </w:pPr>
    <w:rPr>
      <w:rFonts w:ascii="Times" w:eastAsia="Times New Roman" w:hAnsi="Times" w:cs="Times New Roman"/>
      <w:sz w:val="20"/>
      <w:szCs w:val="20"/>
    </w:rPr>
  </w:style>
  <w:style w:type="paragraph" w:customStyle="1" w:styleId="NumberlessNormalText">
    <w:name w:val="Numberless Normal Text"/>
    <w:rsid w:val="00D026A6"/>
    <w:pPr>
      <w:tabs>
        <w:tab w:val="left" w:pos="851"/>
      </w:tabs>
      <w:spacing w:before="220" w:after="220" w:line="276" w:lineRule="auto"/>
      <w:ind w:right="142"/>
      <w:jc w:val="both"/>
    </w:pPr>
    <w:rPr>
      <w:rFonts w:eastAsia="Times" w:cs="Times New Roman"/>
      <w:sz w:val="23"/>
      <w:szCs w:val="23"/>
      <w:lang w:val="en-AU"/>
    </w:rPr>
  </w:style>
  <w:style w:type="paragraph" w:customStyle="1" w:styleId="NumberlessSectionHeading">
    <w:name w:val="Numberless Section Heading"/>
    <w:next w:val="NumberlessNormalText"/>
    <w:rsid w:val="00D9621D"/>
    <w:pPr>
      <w:keepNext/>
      <w:tabs>
        <w:tab w:val="left" w:pos="851"/>
        <w:tab w:val="num" w:pos="1571"/>
      </w:tabs>
      <w:spacing w:before="480" w:after="220"/>
      <w:ind w:right="142"/>
    </w:pPr>
    <w:rPr>
      <w:rFonts w:eastAsia="Times" w:cs="Times New Roman"/>
      <w:b/>
      <w:sz w:val="32"/>
      <w:lang w:val="en-AU"/>
    </w:rPr>
  </w:style>
  <w:style w:type="paragraph" w:styleId="Date">
    <w:name w:val="Date"/>
    <w:basedOn w:val="Normal"/>
    <w:next w:val="Normal"/>
    <w:link w:val="DateChar"/>
    <w:uiPriority w:val="99"/>
    <w:semiHidden/>
    <w:unhideWhenUsed/>
    <w:rsid w:val="00D41D62"/>
  </w:style>
  <w:style w:type="character" w:customStyle="1" w:styleId="DateChar">
    <w:name w:val="Date Char"/>
    <w:basedOn w:val="DefaultParagraphFont"/>
    <w:link w:val="Date"/>
    <w:uiPriority w:val="99"/>
    <w:semiHidden/>
    <w:rsid w:val="00D41D62"/>
    <w:rPr>
      <w:rFonts w:asciiTheme="minorHAnsi" w:eastAsiaTheme="minorEastAsia" w:hAnsiTheme="minorHAnsi"/>
      <w:sz w:val="22"/>
      <w:szCs w:val="22"/>
      <w:lang w:val="en-AU" w:eastAsia="zh-CN"/>
    </w:rPr>
  </w:style>
  <w:style w:type="paragraph" w:styleId="NoSpacing">
    <w:name w:val="No Spacing"/>
    <w:uiPriority w:val="1"/>
    <w:qFormat/>
    <w:rsid w:val="009F71A8"/>
    <w:rPr>
      <w:rFonts w:asciiTheme="minorHAnsi" w:eastAsiaTheme="minorEastAsia" w:hAnsiTheme="minorHAnsi"/>
      <w:sz w:val="22"/>
      <w:szCs w:val="22"/>
      <w:lang w:val="en-AU" w:eastAsia="zh-CN"/>
    </w:rPr>
  </w:style>
  <w:style w:type="character" w:styleId="SubtleEmphasis">
    <w:name w:val="Subtle Emphasis"/>
    <w:basedOn w:val="DefaultParagraphFont"/>
    <w:uiPriority w:val="19"/>
    <w:qFormat/>
    <w:rsid w:val="002014DF"/>
    <w:rPr>
      <w:i/>
      <w:iCs/>
      <w:color w:val="404040" w:themeColor="text1" w:themeTint="BF"/>
    </w:rPr>
  </w:style>
  <w:style w:type="character" w:styleId="Emphasis">
    <w:name w:val="Emphasis"/>
    <w:basedOn w:val="DefaultParagraphFont"/>
    <w:uiPriority w:val="20"/>
    <w:qFormat/>
    <w:rsid w:val="002014DF"/>
    <w:rPr>
      <w:i/>
      <w:iCs/>
    </w:rPr>
  </w:style>
  <w:style w:type="character" w:styleId="UnresolvedMention">
    <w:name w:val="Unresolved Mention"/>
    <w:basedOn w:val="DefaultParagraphFont"/>
    <w:uiPriority w:val="99"/>
    <w:semiHidden/>
    <w:unhideWhenUsed/>
    <w:rsid w:val="008C09C6"/>
    <w:rPr>
      <w:color w:val="605E5C"/>
      <w:shd w:val="clear" w:color="auto" w:fill="E1DFDD"/>
    </w:rPr>
  </w:style>
  <w:style w:type="paragraph" w:customStyle="1" w:styleId="furhtersub-heading2">
    <w:name w:val="furhter sub-heading 2"/>
    <w:basedOn w:val="Normal"/>
    <w:uiPriority w:val="1"/>
    <w:qFormat/>
    <w:rsid w:val="005F2FFA"/>
    <w:pPr>
      <w:spacing w:before="240" w:after="220"/>
      <w:jc w:val="both"/>
    </w:pPr>
    <w:rPr>
      <w:rFonts w:ascii="Garamond" w:eastAsia="Times" w:hAnsi="Garamond" w:cs="Times New Roman"/>
      <w:i/>
      <w:sz w:val="23"/>
      <w:szCs w:val="23"/>
      <w:lang w:eastAsia="ja-JP"/>
    </w:rPr>
  </w:style>
  <w:style w:type="character" w:customStyle="1" w:styleId="heading">
    <w:name w:val="heading"/>
    <w:basedOn w:val="DefaultParagraphFont"/>
    <w:rsid w:val="00EB766F"/>
  </w:style>
  <w:style w:type="character" w:customStyle="1" w:styleId="frag-heading">
    <w:name w:val="frag-heading"/>
    <w:basedOn w:val="DefaultParagraphFont"/>
    <w:rsid w:val="00EB766F"/>
  </w:style>
  <w:style w:type="character" w:customStyle="1" w:styleId="frag-defterm">
    <w:name w:val="frag-defterm"/>
    <w:basedOn w:val="DefaultParagraphFont"/>
    <w:rsid w:val="00EB766F"/>
  </w:style>
  <w:style w:type="character" w:styleId="Strong">
    <w:name w:val="Strong"/>
    <w:basedOn w:val="DefaultParagraphFont"/>
    <w:uiPriority w:val="22"/>
    <w:qFormat/>
    <w:rsid w:val="006F59C7"/>
    <w:rPr>
      <w:b/>
      <w:bCs/>
    </w:rPr>
  </w:style>
  <w:style w:type="paragraph" w:styleId="Title">
    <w:name w:val="Title"/>
    <w:basedOn w:val="Normal"/>
    <w:next w:val="Normal"/>
    <w:link w:val="TitleChar"/>
    <w:uiPriority w:val="99"/>
    <w:qFormat/>
    <w:rsid w:val="00165678"/>
    <w:pPr>
      <w:keepNext/>
      <w:keepLines/>
      <w:spacing w:before="480" w:after="120"/>
      <w:contextualSpacing/>
      <w:jc w:val="both"/>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99"/>
    <w:rsid w:val="00165678"/>
    <w:rPr>
      <w:rFonts w:cs="Times New Roman"/>
      <w:b/>
      <w:sz w:val="72"/>
      <w:szCs w:val="72"/>
      <w:lang w:val="en-AU"/>
    </w:rPr>
  </w:style>
  <w:style w:type="paragraph" w:customStyle="1" w:styleId="Reclist">
    <w:name w:val="Rec list"/>
    <w:basedOn w:val="Normal"/>
    <w:link w:val="ReclistChar"/>
    <w:qFormat/>
    <w:rsid w:val="00165678"/>
    <w:pPr>
      <w:tabs>
        <w:tab w:val="left" w:pos="426"/>
      </w:tabs>
      <w:spacing w:before="120" w:after="120" w:line="269" w:lineRule="auto"/>
      <w:ind w:left="426" w:hanging="426"/>
      <w:jc w:val="both"/>
    </w:pPr>
    <w:rPr>
      <w:rFonts w:ascii="Garamond" w:eastAsia="Times" w:hAnsi="Garamond" w:cs="Times New Roman"/>
      <w:color w:val="000000"/>
      <w:sz w:val="23"/>
      <w:szCs w:val="23"/>
    </w:rPr>
  </w:style>
  <w:style w:type="character" w:customStyle="1" w:styleId="ReclistChar">
    <w:name w:val="Rec list Char"/>
    <w:link w:val="Reclist"/>
    <w:rsid w:val="00165678"/>
    <w:rPr>
      <w:rFonts w:ascii="Garamond" w:eastAsia="Times" w:hAnsi="Garamond" w:cs="Times New Roman"/>
      <w:color w:val="000000"/>
      <w:sz w:val="23"/>
      <w:szCs w:val="23"/>
      <w:lang w:val="en-AU"/>
    </w:rPr>
  </w:style>
  <w:style w:type="paragraph" w:customStyle="1" w:styleId="DraftHeading2">
    <w:name w:val="Draft Heading 2"/>
    <w:basedOn w:val="Normal"/>
    <w:next w:val="Normal"/>
    <w:link w:val="DraftHeading2Char"/>
    <w:rsid w:val="00165678"/>
    <w:pPr>
      <w:overflowPunct w:val="0"/>
      <w:autoSpaceDE w:val="0"/>
      <w:autoSpaceDN w:val="0"/>
      <w:adjustRightInd w:val="0"/>
      <w:spacing w:before="120"/>
      <w:jc w:val="both"/>
      <w:textAlignment w:val="baseline"/>
    </w:pPr>
    <w:rPr>
      <w:rFonts w:ascii="Times New Roman" w:eastAsia="Times New Roman" w:hAnsi="Times New Roman" w:cs="Times New Roman"/>
    </w:rPr>
  </w:style>
  <w:style w:type="character" w:customStyle="1" w:styleId="DraftHeading2Char">
    <w:name w:val="Draft Heading 2 Char"/>
    <w:link w:val="DraftHeading2"/>
    <w:rsid w:val="00165678"/>
    <w:rPr>
      <w:rFonts w:cs="Times New Roman"/>
      <w:lang w:val="en-AU"/>
    </w:rPr>
  </w:style>
  <w:style w:type="paragraph" w:customStyle="1" w:styleId="DraftHeading4">
    <w:name w:val="Draft Heading 4"/>
    <w:basedOn w:val="Normal"/>
    <w:next w:val="Normal"/>
    <w:link w:val="DraftHeading4Char"/>
    <w:uiPriority w:val="99"/>
    <w:rsid w:val="00165678"/>
    <w:pPr>
      <w:overflowPunct w:val="0"/>
      <w:autoSpaceDE w:val="0"/>
      <w:autoSpaceDN w:val="0"/>
      <w:adjustRightInd w:val="0"/>
      <w:spacing w:before="120"/>
      <w:jc w:val="both"/>
      <w:textAlignment w:val="baseline"/>
    </w:pPr>
    <w:rPr>
      <w:rFonts w:ascii="Times New Roman" w:eastAsia="Times New Roman" w:hAnsi="Times New Roman" w:cs="Times New Roman"/>
    </w:rPr>
  </w:style>
  <w:style w:type="character" w:customStyle="1" w:styleId="DraftHeading4Char">
    <w:name w:val="Draft Heading 4 Char"/>
    <w:link w:val="DraftHeading4"/>
    <w:uiPriority w:val="99"/>
    <w:rsid w:val="00165678"/>
    <w:rPr>
      <w:rFonts w:cs="Times New Roman"/>
      <w:lang w:val="en-AU"/>
    </w:rPr>
  </w:style>
  <w:style w:type="paragraph" w:styleId="Subtitle">
    <w:name w:val="Subtitle"/>
    <w:basedOn w:val="Normal"/>
    <w:next w:val="Normal"/>
    <w:link w:val="SubtitleChar"/>
    <w:uiPriority w:val="11"/>
    <w:qFormat/>
    <w:rsid w:val="00165678"/>
    <w:pPr>
      <w:keepNext/>
      <w:keepLines/>
      <w:spacing w:before="360" w:after="80"/>
      <w:contextualSpacing/>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65678"/>
    <w:rPr>
      <w:rFonts w:ascii="Georgia" w:eastAsia="Georgia" w:hAnsi="Georgia" w:cs="Georgia"/>
      <w:i/>
      <w:color w:val="666666"/>
      <w:sz w:val="48"/>
      <w:szCs w:val="48"/>
      <w:lang w:val="en-AU"/>
    </w:rPr>
  </w:style>
  <w:style w:type="character" w:customStyle="1" w:styleId="BodyTextIndent2Char">
    <w:name w:val="Body Text Indent 2 Char"/>
    <w:basedOn w:val="DefaultParagraphFont"/>
    <w:link w:val="BodyTextIndent2"/>
    <w:rsid w:val="00165678"/>
    <w:rPr>
      <w:rFonts w:eastAsia="Times" w:cs="Times New Roman"/>
      <w:sz w:val="28"/>
      <w:szCs w:val="20"/>
      <w:lang w:val="en-AU"/>
    </w:rPr>
  </w:style>
  <w:style w:type="paragraph" w:styleId="BodyTextIndent2">
    <w:name w:val="Body Text Indent 2"/>
    <w:basedOn w:val="Normal"/>
    <w:link w:val="BodyTextIndent2Char"/>
    <w:rsid w:val="00165678"/>
    <w:pPr>
      <w:ind w:left="720"/>
      <w:jc w:val="both"/>
    </w:pPr>
    <w:rPr>
      <w:rFonts w:ascii="Times New Roman" w:eastAsia="Times" w:hAnsi="Times New Roman" w:cs="Times New Roman"/>
      <w:sz w:val="28"/>
      <w:szCs w:val="20"/>
    </w:rPr>
  </w:style>
  <w:style w:type="paragraph" w:styleId="Quote">
    <w:name w:val="Quote"/>
    <w:basedOn w:val="Normal"/>
    <w:next w:val="Normal"/>
    <w:link w:val="QuoteChar"/>
    <w:uiPriority w:val="29"/>
    <w:qFormat/>
    <w:rsid w:val="00165678"/>
    <w:pPr>
      <w:spacing w:before="120" w:after="120"/>
      <w:ind w:left="720"/>
      <w:jc w:val="both"/>
    </w:pPr>
    <w:rPr>
      <w:rFonts w:ascii="Garamond" w:eastAsia="Times New Roman" w:hAnsi="Garamond" w:cs="Times New Roman"/>
      <w:color w:val="1F497D"/>
      <w:lang w:val="en-US" w:eastAsia="ja-JP"/>
    </w:rPr>
  </w:style>
  <w:style w:type="character" w:customStyle="1" w:styleId="QuoteChar">
    <w:name w:val="Quote Char"/>
    <w:basedOn w:val="DefaultParagraphFont"/>
    <w:link w:val="Quote"/>
    <w:uiPriority w:val="29"/>
    <w:rsid w:val="00165678"/>
    <w:rPr>
      <w:rFonts w:ascii="Garamond" w:hAnsi="Garamond" w:cs="Times New Roman"/>
      <w:color w:val="1F497D"/>
      <w:lang w:eastAsia="ja-JP"/>
    </w:rPr>
  </w:style>
  <w:style w:type="paragraph" w:customStyle="1" w:styleId="Heading0">
    <w:name w:val="Heading"/>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1RB">
    <w:name w:val="Heading 1 RB"/>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2RB">
    <w:name w:val="Heading 2 RB"/>
    <w:basedOn w:val="Normal"/>
    <w:uiPriority w:val="1"/>
    <w:qFormat/>
    <w:rsid w:val="00165678"/>
    <w:pPr>
      <w:spacing w:line="360" w:lineRule="auto"/>
      <w:jc w:val="both"/>
    </w:pPr>
    <w:rPr>
      <w:rFonts w:ascii="Garamond" w:eastAsia="Times New Roman" w:hAnsi="Garamond" w:cs="Times New Roman"/>
      <w:b/>
      <w:bCs/>
      <w:sz w:val="23"/>
      <w:szCs w:val="23"/>
      <w:lang w:val="en-US" w:eastAsia="ja-JP"/>
    </w:rPr>
  </w:style>
  <w:style w:type="paragraph" w:customStyle="1" w:styleId="Heading2RJB">
    <w:name w:val="Heading 2 RJB"/>
    <w:basedOn w:val="Normal"/>
    <w:uiPriority w:val="1"/>
    <w:qFormat/>
    <w:rsid w:val="00165678"/>
    <w:pPr>
      <w:numPr>
        <w:ilvl w:val="1"/>
        <w:numId w:val="15"/>
      </w:numPr>
      <w:jc w:val="both"/>
      <w:outlineLvl w:val="0"/>
    </w:pPr>
    <w:rPr>
      <w:rFonts w:ascii="Garamond" w:eastAsia="Times New Roman" w:hAnsi="Garamond" w:cs="Times New Roman"/>
      <w:b/>
      <w:sz w:val="23"/>
      <w:szCs w:val="23"/>
      <w:lang w:val="en-US" w:eastAsia="ja-JP"/>
    </w:rPr>
  </w:style>
  <w:style w:type="paragraph" w:customStyle="1" w:styleId="heading3RJB">
    <w:name w:val="heading 3 RJB"/>
    <w:basedOn w:val="Normal"/>
    <w:uiPriority w:val="1"/>
    <w:qFormat/>
    <w:rsid w:val="00165678"/>
    <w:pPr>
      <w:numPr>
        <w:ilvl w:val="2"/>
        <w:numId w:val="15"/>
      </w:numPr>
      <w:jc w:val="both"/>
      <w:outlineLvl w:val="0"/>
    </w:pPr>
    <w:rPr>
      <w:rFonts w:ascii="Garamond" w:eastAsia="Times New Roman" w:hAnsi="Garamond" w:cs="Times New Roman"/>
      <w:sz w:val="23"/>
      <w:szCs w:val="23"/>
      <w:u w:val="single"/>
      <w:lang w:val="en-US" w:eastAsia="ja-JP"/>
    </w:rPr>
  </w:style>
  <w:style w:type="paragraph" w:customStyle="1" w:styleId="heading4RJB">
    <w:name w:val="heading 4 RJB"/>
    <w:basedOn w:val="ListParagraph"/>
    <w:uiPriority w:val="1"/>
    <w:qFormat/>
    <w:rsid w:val="00165678"/>
    <w:pPr>
      <w:numPr>
        <w:ilvl w:val="3"/>
        <w:numId w:val="15"/>
      </w:numPr>
      <w:contextualSpacing/>
      <w:jc w:val="both"/>
    </w:pPr>
    <w:rPr>
      <w:rFonts w:ascii="Garamond" w:eastAsia="Times New Roman" w:hAnsi="Garamond" w:cs="Times New Roman"/>
      <w:bCs/>
      <w:i/>
      <w:sz w:val="23"/>
      <w:szCs w:val="23"/>
      <w:lang w:val="en-US" w:eastAsia="ja-JP"/>
    </w:rPr>
  </w:style>
  <w:style w:type="paragraph" w:customStyle="1" w:styleId="numberedparagraphs">
    <w:name w:val="numbered paragraphs"/>
    <w:basedOn w:val="Reclist"/>
    <w:uiPriority w:val="1"/>
    <w:qFormat/>
    <w:rsid w:val="00165678"/>
    <w:pPr>
      <w:spacing w:line="259" w:lineRule="auto"/>
    </w:pPr>
    <w:rPr>
      <w:color w:val="auto"/>
      <w:szCs w:val="20"/>
      <w:lang w:eastAsia="ja-JP"/>
    </w:rPr>
  </w:style>
  <w:style w:type="paragraph" w:customStyle="1" w:styleId="Heading1RJB">
    <w:name w:val="Heading 1 RJB"/>
    <w:basedOn w:val="TOC1"/>
    <w:uiPriority w:val="1"/>
    <w:qFormat/>
    <w:rsid w:val="00165678"/>
    <w:pPr>
      <w:numPr>
        <w:numId w:val="14"/>
      </w:numPr>
      <w:spacing w:before="0" w:after="100"/>
      <w:jc w:val="both"/>
      <w:outlineLvl w:val="0"/>
    </w:pPr>
    <w:rPr>
      <w:rFonts w:ascii="Garamond" w:eastAsia="Times New Roman" w:hAnsi="Garamond" w:cs="Times New Roman"/>
      <w:b w:val="0"/>
      <w:sz w:val="23"/>
      <w:szCs w:val="23"/>
      <w:lang w:eastAsia="ja-JP"/>
    </w:rPr>
  </w:style>
  <w:style w:type="paragraph" w:customStyle="1" w:styleId="Paragraph">
    <w:name w:val="Paragraph"/>
    <w:basedOn w:val="Normal"/>
    <w:link w:val="ParagraphChar"/>
    <w:rsid w:val="00165678"/>
    <w:pPr>
      <w:widowControl w:val="0"/>
      <w:spacing w:after="240"/>
      <w:ind w:left="1667" w:hanging="567"/>
      <w:jc w:val="both"/>
    </w:pPr>
    <w:rPr>
      <w:rFonts w:ascii="Helvetica" w:eastAsia="Times New Roman" w:hAnsi="Helvetica" w:cs="Times New Roman"/>
      <w:szCs w:val="23"/>
      <w:lang w:val="en-US" w:eastAsia="en-AU"/>
    </w:rPr>
  </w:style>
  <w:style w:type="character" w:customStyle="1" w:styleId="ParagraphChar">
    <w:name w:val="Paragraph Char"/>
    <w:link w:val="Paragraph"/>
    <w:rsid w:val="00165678"/>
    <w:rPr>
      <w:rFonts w:ascii="Helvetica" w:hAnsi="Helvetica" w:cs="Times New Roman"/>
      <w:szCs w:val="23"/>
      <w:lang w:eastAsia="en-AU"/>
    </w:rPr>
  </w:style>
  <w:style w:type="character" w:customStyle="1" w:styleId="SubparaChar">
    <w:name w:val="Subpara Char"/>
    <w:link w:val="Subpara"/>
    <w:rsid w:val="00165678"/>
    <w:rPr>
      <w:rFonts w:ascii="Helvetica" w:hAnsi="Helvetica"/>
    </w:rPr>
  </w:style>
  <w:style w:type="paragraph" w:customStyle="1" w:styleId="Subpara">
    <w:name w:val="Subpara"/>
    <w:basedOn w:val="Paragraph"/>
    <w:link w:val="SubparaChar"/>
    <w:rsid w:val="00165678"/>
    <w:pPr>
      <w:ind w:left="2268"/>
    </w:pPr>
    <w:rPr>
      <w:rFonts w:cstheme="minorBidi"/>
      <w:szCs w:val="24"/>
      <w:lang w:eastAsia="en-US"/>
    </w:rPr>
  </w:style>
  <w:style w:type="paragraph" w:customStyle="1" w:styleId="aDef">
    <w:name w:val="aDef"/>
    <w:basedOn w:val="Normal"/>
    <w:link w:val="aDefChar"/>
    <w:rsid w:val="00165678"/>
    <w:pPr>
      <w:spacing w:before="140"/>
      <w:ind w:left="1100"/>
      <w:jc w:val="both"/>
    </w:pPr>
    <w:rPr>
      <w:rFonts w:ascii="Garamond" w:eastAsia="Times New Roman" w:hAnsi="Garamond" w:cs="Times New Roman"/>
      <w:szCs w:val="20"/>
      <w:lang w:val="en-US" w:eastAsia="ja-JP"/>
    </w:rPr>
  </w:style>
  <w:style w:type="character" w:customStyle="1" w:styleId="aDefChar">
    <w:name w:val="aDef Char"/>
    <w:link w:val="aDef"/>
    <w:locked/>
    <w:rsid w:val="00165678"/>
    <w:rPr>
      <w:rFonts w:ascii="Garamond" w:hAnsi="Garamond" w:cs="Times New Roman"/>
      <w:szCs w:val="20"/>
      <w:lang w:eastAsia="ja-JP"/>
    </w:rPr>
  </w:style>
  <w:style w:type="character" w:customStyle="1" w:styleId="DefinitionChar">
    <w:name w:val="Definition Char"/>
    <w:link w:val="Definition"/>
    <w:rsid w:val="00165678"/>
    <w:rPr>
      <w:rFonts w:ascii="Helvetica" w:hAnsi="Helvetica"/>
    </w:rPr>
  </w:style>
  <w:style w:type="paragraph" w:customStyle="1" w:styleId="Definition">
    <w:name w:val="Definition"/>
    <w:aliases w:val="dd"/>
    <w:basedOn w:val="Normal"/>
    <w:link w:val="DefinitionChar"/>
    <w:rsid w:val="00165678"/>
    <w:pPr>
      <w:widowControl w:val="0"/>
      <w:spacing w:after="240"/>
      <w:ind w:left="1100"/>
      <w:jc w:val="both"/>
    </w:pPr>
    <w:rPr>
      <w:rFonts w:ascii="Helvetica" w:eastAsia="Times New Roman" w:hAnsi="Helvetica"/>
      <w:lang w:val="en-US"/>
    </w:rPr>
  </w:style>
  <w:style w:type="paragraph" w:customStyle="1" w:styleId="DraftHeading1">
    <w:name w:val="Draft Heading 1"/>
    <w:basedOn w:val="Normal"/>
    <w:next w:val="Normal"/>
    <w:link w:val="DraftHeading1Char"/>
    <w:rsid w:val="00165678"/>
    <w:pPr>
      <w:overflowPunct w:val="0"/>
      <w:autoSpaceDE w:val="0"/>
      <w:autoSpaceDN w:val="0"/>
      <w:adjustRightInd w:val="0"/>
      <w:spacing w:before="120"/>
      <w:jc w:val="both"/>
      <w:textAlignment w:val="baseline"/>
      <w:outlineLvl w:val="2"/>
    </w:pPr>
    <w:rPr>
      <w:rFonts w:ascii="Garamond" w:eastAsia="Times New Roman" w:hAnsi="Garamond" w:cs="Times New Roman"/>
      <w:b/>
      <w:szCs w:val="20"/>
      <w:lang w:val="en-US" w:eastAsia="ja-JP"/>
    </w:rPr>
  </w:style>
  <w:style w:type="character" w:customStyle="1" w:styleId="DraftHeading1Char">
    <w:name w:val="Draft Heading 1 Char"/>
    <w:link w:val="DraftHeading1"/>
    <w:locked/>
    <w:rsid w:val="00165678"/>
    <w:rPr>
      <w:rFonts w:ascii="Garamond" w:hAnsi="Garamond" w:cs="Times New Roman"/>
      <w:b/>
      <w:szCs w:val="20"/>
      <w:lang w:eastAsia="ja-JP"/>
    </w:rPr>
  </w:style>
  <w:style w:type="paragraph" w:customStyle="1" w:styleId="BodySectionSub">
    <w:name w:val="Body Section (Sub)"/>
    <w:next w:val="Normal"/>
    <w:link w:val="BodySectionSubChar"/>
    <w:rsid w:val="00165678"/>
    <w:pPr>
      <w:overflowPunct w:val="0"/>
      <w:autoSpaceDE w:val="0"/>
      <w:autoSpaceDN w:val="0"/>
      <w:adjustRightInd w:val="0"/>
      <w:spacing w:before="120" w:after="160" w:line="259" w:lineRule="auto"/>
      <w:ind w:left="1361"/>
      <w:textAlignment w:val="baseline"/>
    </w:pPr>
    <w:rPr>
      <w:rFonts w:cs="Times New Roman"/>
      <w:sz w:val="22"/>
      <w:szCs w:val="20"/>
      <w:lang w:val="en-AU"/>
    </w:rPr>
  </w:style>
  <w:style w:type="character" w:customStyle="1" w:styleId="BodySectionSubChar">
    <w:name w:val="Body Section (Sub) Char"/>
    <w:link w:val="BodySectionSub"/>
    <w:rsid w:val="00165678"/>
    <w:rPr>
      <w:rFonts w:cs="Times New Roman"/>
      <w:sz w:val="22"/>
      <w:szCs w:val="20"/>
      <w:lang w:val="en-AU"/>
    </w:rPr>
  </w:style>
  <w:style w:type="character" w:styleId="BookTitle">
    <w:name w:val="Book Title"/>
    <w:uiPriority w:val="99"/>
    <w:qFormat/>
    <w:rsid w:val="00165678"/>
    <w:rPr>
      <w:b/>
      <w:bCs/>
      <w:smallCaps/>
      <w:spacing w:val="10"/>
    </w:rPr>
  </w:style>
  <w:style w:type="paragraph" w:styleId="IntenseQuote">
    <w:name w:val="Intense Quote"/>
    <w:basedOn w:val="Normal"/>
    <w:next w:val="Normal"/>
    <w:link w:val="IntenseQuoteChar"/>
    <w:uiPriority w:val="30"/>
    <w:qFormat/>
    <w:rsid w:val="00165678"/>
    <w:pPr>
      <w:spacing w:before="100" w:beforeAutospacing="1" w:after="240"/>
      <w:ind w:left="720"/>
      <w:jc w:val="center"/>
    </w:pPr>
    <w:rPr>
      <w:rFonts w:ascii="Cambria" w:eastAsia="Times New Roman" w:hAnsi="Cambria" w:cs="Times New Roman"/>
      <w:color w:val="1F497D"/>
      <w:spacing w:val="-6"/>
      <w:sz w:val="32"/>
      <w:szCs w:val="32"/>
      <w:lang w:val="en-US" w:eastAsia="ja-JP"/>
    </w:rPr>
  </w:style>
  <w:style w:type="character" w:customStyle="1" w:styleId="IntenseQuoteChar">
    <w:name w:val="Intense Quote Char"/>
    <w:basedOn w:val="DefaultParagraphFont"/>
    <w:link w:val="IntenseQuote"/>
    <w:uiPriority w:val="30"/>
    <w:rsid w:val="00165678"/>
    <w:rPr>
      <w:rFonts w:ascii="Cambria" w:hAnsi="Cambria" w:cs="Times New Roman"/>
      <w:color w:val="1F497D"/>
      <w:spacing w:val="-6"/>
      <w:sz w:val="32"/>
      <w:szCs w:val="32"/>
      <w:lang w:eastAsia="ja-JP"/>
    </w:rPr>
  </w:style>
  <w:style w:type="character" w:styleId="IntenseEmphasis">
    <w:name w:val="Intense Emphasis"/>
    <w:uiPriority w:val="21"/>
    <w:qFormat/>
    <w:rsid w:val="00165678"/>
    <w:rPr>
      <w:b/>
      <w:bCs/>
      <w:i/>
      <w:iCs/>
    </w:rPr>
  </w:style>
  <w:style w:type="character" w:styleId="SubtleReference">
    <w:name w:val="Subtle Reference"/>
    <w:uiPriority w:val="31"/>
    <w:qFormat/>
    <w:rsid w:val="00165678"/>
    <w:rPr>
      <w:smallCaps/>
      <w:color w:val="595959"/>
      <w:u w:val="none" w:color="7F7F7F"/>
      <w:bdr w:val="none" w:sz="0" w:space="0" w:color="auto"/>
    </w:rPr>
  </w:style>
  <w:style w:type="character" w:styleId="IntenseReference">
    <w:name w:val="Intense Reference"/>
    <w:uiPriority w:val="32"/>
    <w:qFormat/>
    <w:rsid w:val="00165678"/>
    <w:rPr>
      <w:b/>
      <w:bCs/>
      <w:smallCaps/>
      <w:color w:val="1F497D"/>
      <w:u w:val="single"/>
    </w:rPr>
  </w:style>
  <w:style w:type="paragraph" w:customStyle="1" w:styleId="CoverTextBullet">
    <w:name w:val="CoverTextBullet"/>
    <w:basedOn w:val="Normal"/>
    <w:qFormat/>
    <w:rsid w:val="00165678"/>
    <w:pPr>
      <w:numPr>
        <w:numId w:val="16"/>
      </w:numPr>
      <w:tabs>
        <w:tab w:val="left" w:pos="0"/>
      </w:tabs>
      <w:spacing w:before="100"/>
      <w:jc w:val="both"/>
    </w:pPr>
    <w:rPr>
      <w:rFonts w:ascii="Times New Roman" w:eastAsia="Times New Roman" w:hAnsi="Times New Roman" w:cs="Times New Roman"/>
      <w:color w:val="000000"/>
      <w:sz w:val="20"/>
      <w:szCs w:val="20"/>
    </w:rPr>
  </w:style>
  <w:style w:type="paragraph" w:customStyle="1" w:styleId="Amainreturn">
    <w:name w:val="A main return"/>
    <w:basedOn w:val="Normal"/>
    <w:link w:val="AmainreturnChar"/>
    <w:rsid w:val="00165678"/>
    <w:pPr>
      <w:spacing w:before="140"/>
      <w:ind w:left="1100"/>
      <w:jc w:val="both"/>
    </w:pPr>
    <w:rPr>
      <w:rFonts w:ascii="Times New Roman" w:eastAsia="Times New Roman" w:hAnsi="Times New Roman" w:cs="Times New Roman"/>
      <w:szCs w:val="20"/>
    </w:rPr>
  </w:style>
  <w:style w:type="character" w:customStyle="1" w:styleId="AmainreturnChar">
    <w:name w:val="A main return Char"/>
    <w:link w:val="Amainreturn"/>
    <w:locked/>
    <w:rsid w:val="00165678"/>
    <w:rPr>
      <w:rFonts w:cs="Times New Roman"/>
      <w:szCs w:val="20"/>
      <w:lang w:val="en-AU"/>
    </w:rPr>
  </w:style>
  <w:style w:type="paragraph" w:customStyle="1" w:styleId="aNote">
    <w:name w:val="aNote"/>
    <w:basedOn w:val="Normal"/>
    <w:link w:val="aNoteChar"/>
    <w:rsid w:val="00165678"/>
    <w:pPr>
      <w:spacing w:before="140"/>
      <w:ind w:left="1900" w:hanging="800"/>
      <w:jc w:val="both"/>
    </w:pPr>
    <w:rPr>
      <w:rFonts w:ascii="Times New Roman" w:eastAsia="Times New Roman" w:hAnsi="Times New Roman" w:cs="Times New Roman"/>
      <w:sz w:val="20"/>
      <w:szCs w:val="20"/>
    </w:rPr>
  </w:style>
  <w:style w:type="character" w:customStyle="1" w:styleId="aNoteChar">
    <w:name w:val="aNote Char"/>
    <w:link w:val="aNote"/>
    <w:locked/>
    <w:rsid w:val="00165678"/>
    <w:rPr>
      <w:rFonts w:cs="Times New Roman"/>
      <w:sz w:val="20"/>
      <w:szCs w:val="20"/>
      <w:lang w:val="en-AU"/>
    </w:rPr>
  </w:style>
  <w:style w:type="paragraph" w:customStyle="1" w:styleId="AH5Sec">
    <w:name w:val="A H5 Sec"/>
    <w:basedOn w:val="Normal"/>
    <w:next w:val="Amain"/>
    <w:link w:val="AH5SecChar"/>
    <w:rsid w:val="00165678"/>
    <w:pPr>
      <w:keepNext/>
      <w:tabs>
        <w:tab w:val="left" w:pos="1100"/>
      </w:tabs>
      <w:spacing w:before="240"/>
      <w:ind w:left="1100" w:hanging="1100"/>
      <w:jc w:val="both"/>
      <w:outlineLvl w:val="4"/>
    </w:pPr>
    <w:rPr>
      <w:rFonts w:ascii="Arial" w:eastAsia="Times New Roman" w:hAnsi="Arial" w:cs="Times New Roman"/>
      <w:b/>
      <w:szCs w:val="20"/>
    </w:rPr>
  </w:style>
  <w:style w:type="paragraph" w:customStyle="1" w:styleId="Amain">
    <w:name w:val="A main"/>
    <w:basedOn w:val="Normal"/>
    <w:rsid w:val="00165678"/>
    <w:pPr>
      <w:tabs>
        <w:tab w:val="right" w:pos="900"/>
        <w:tab w:val="left" w:pos="1100"/>
      </w:tabs>
      <w:spacing w:before="140"/>
      <w:ind w:left="1100" w:hanging="1100"/>
      <w:jc w:val="both"/>
      <w:outlineLvl w:val="5"/>
    </w:pPr>
    <w:rPr>
      <w:rFonts w:ascii="Times New Roman" w:eastAsia="Times New Roman" w:hAnsi="Times New Roman" w:cs="Times New Roman"/>
      <w:szCs w:val="20"/>
    </w:rPr>
  </w:style>
  <w:style w:type="character" w:customStyle="1" w:styleId="AH5SecChar">
    <w:name w:val="A H5 Sec Char"/>
    <w:link w:val="AH5Sec"/>
    <w:locked/>
    <w:rsid w:val="00165678"/>
    <w:rPr>
      <w:rFonts w:ascii="Arial" w:hAnsi="Arial" w:cs="Times New Roman"/>
      <w:b/>
      <w:szCs w:val="20"/>
      <w:lang w:val="en-AU"/>
    </w:rPr>
  </w:style>
  <w:style w:type="paragraph" w:customStyle="1" w:styleId="NewSectionHeading">
    <w:name w:val="New Section Heading"/>
    <w:basedOn w:val="Normal"/>
    <w:next w:val="Normal"/>
    <w:link w:val="NewSectionHeadingChar"/>
    <w:rsid w:val="00165678"/>
    <w:pPr>
      <w:keepNext/>
      <w:keepLines/>
      <w:widowControl w:val="0"/>
      <w:spacing w:after="240"/>
      <w:ind w:left="1100" w:hanging="1100"/>
      <w:jc w:val="both"/>
      <w:outlineLvl w:val="4"/>
    </w:pPr>
    <w:rPr>
      <w:rFonts w:ascii="Helvetica" w:eastAsia="Times New Roman" w:hAnsi="Helvetica" w:cs="Times New Roman"/>
      <w:b/>
      <w:lang w:eastAsia="en-AU"/>
    </w:rPr>
  </w:style>
  <w:style w:type="character" w:customStyle="1" w:styleId="NewSectionHeadingChar">
    <w:name w:val="New Section Heading Char"/>
    <w:link w:val="NewSectionHeading"/>
    <w:rsid w:val="00165678"/>
    <w:rPr>
      <w:rFonts w:ascii="Helvetica" w:hAnsi="Helvetica" w:cs="Times New Roman"/>
      <w:b/>
      <w:lang w:val="en-AU" w:eastAsia="en-AU"/>
    </w:rPr>
  </w:style>
  <w:style w:type="paragraph" w:customStyle="1" w:styleId="AmendHeading1">
    <w:name w:val="Amend. Heading 1"/>
    <w:basedOn w:val="Normal"/>
    <w:next w:val="Normal"/>
    <w:link w:val="AmendHeading1Char"/>
    <w:rsid w:val="00165678"/>
    <w:pPr>
      <w:overflowPunct w:val="0"/>
      <w:autoSpaceDE w:val="0"/>
      <w:autoSpaceDN w:val="0"/>
      <w:adjustRightInd w:val="0"/>
      <w:spacing w:before="120"/>
      <w:jc w:val="both"/>
      <w:textAlignment w:val="baseline"/>
    </w:pPr>
    <w:rPr>
      <w:rFonts w:ascii="Times New Roman" w:eastAsia="Times New Roman" w:hAnsi="Times New Roman" w:cs="Times New Roman"/>
      <w:szCs w:val="20"/>
    </w:rPr>
  </w:style>
  <w:style w:type="character" w:customStyle="1" w:styleId="AmendHeading1Char">
    <w:name w:val="Amend. Heading 1 Char"/>
    <w:link w:val="AmendHeading1"/>
    <w:rsid w:val="00165678"/>
    <w:rPr>
      <w:rFonts w:cs="Times New Roman"/>
      <w:szCs w:val="20"/>
      <w:lang w:val="en-AU"/>
    </w:rPr>
  </w:style>
  <w:style w:type="paragraph" w:customStyle="1" w:styleId="AmendHeading1s">
    <w:name w:val="Amend. Heading 1s"/>
    <w:basedOn w:val="Normal"/>
    <w:next w:val="Normal"/>
    <w:link w:val="AmendHeading1sChar"/>
    <w:rsid w:val="00165678"/>
    <w:pPr>
      <w:overflowPunct w:val="0"/>
      <w:autoSpaceDE w:val="0"/>
      <w:autoSpaceDN w:val="0"/>
      <w:adjustRightInd w:val="0"/>
      <w:spacing w:before="120"/>
      <w:jc w:val="both"/>
      <w:textAlignment w:val="baseline"/>
    </w:pPr>
    <w:rPr>
      <w:rFonts w:ascii="Times New Roman" w:eastAsia="Times New Roman" w:hAnsi="Times New Roman" w:cs="Times New Roman"/>
      <w:b/>
      <w:szCs w:val="20"/>
    </w:rPr>
  </w:style>
  <w:style w:type="character" w:customStyle="1" w:styleId="AmendHeading1sChar">
    <w:name w:val="Amend. Heading 1s Char"/>
    <w:link w:val="AmendHeading1s"/>
    <w:rsid w:val="00165678"/>
    <w:rPr>
      <w:rFonts w:cs="Times New Roman"/>
      <w:b/>
      <w:szCs w:val="20"/>
      <w:lang w:val="en-AU"/>
    </w:rPr>
  </w:style>
  <w:style w:type="paragraph" w:customStyle="1" w:styleId="Recommendationhanging1">
    <w:name w:val="Recommendation_hanging(1)"/>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spacing w:before="120" w:after="120"/>
      <w:ind w:left="1559" w:hanging="425"/>
      <w:jc w:val="both"/>
    </w:pPr>
    <w:rPr>
      <w:rFonts w:ascii="Arial" w:eastAsia="Times New Roman" w:hAnsi="Arial" w:cs="Times New Roman"/>
      <w:sz w:val="23"/>
    </w:rPr>
  </w:style>
  <w:style w:type="paragraph" w:customStyle="1" w:styleId="Recommendationhanginga">
    <w:name w:val="Recommendation_hanging(a)"/>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tabs>
        <w:tab w:val="left" w:pos="1559"/>
      </w:tabs>
      <w:spacing w:before="120" w:after="120"/>
      <w:ind w:left="1985" w:hanging="851"/>
      <w:jc w:val="both"/>
    </w:pPr>
    <w:rPr>
      <w:rFonts w:ascii="Arial" w:eastAsia="Times New Roman" w:hAnsi="Arial" w:cs="Times New Roman"/>
      <w:sz w:val="23"/>
    </w:rPr>
  </w:style>
  <w:style w:type="paragraph" w:customStyle="1" w:styleId="Recommendationheading">
    <w:name w:val="Recommendation_heading"/>
    <w:basedOn w:val="Normal"/>
    <w:uiPriority w:val="9"/>
    <w:qFormat/>
    <w:rsid w:val="00165678"/>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both"/>
    </w:pPr>
    <w:rPr>
      <w:rFonts w:ascii="Arial" w:eastAsia="Times New Roman" w:hAnsi="Arial" w:cs="Times New Roman"/>
      <w:b/>
      <w:sz w:val="23"/>
    </w:rPr>
  </w:style>
  <w:style w:type="paragraph" w:customStyle="1" w:styleId="Recheading">
    <w:name w:val="Rec heading"/>
    <w:basedOn w:val="Reclist"/>
    <w:qFormat/>
    <w:rsid w:val="00165678"/>
    <w:pPr>
      <w:snapToGrid w:val="0"/>
      <w:spacing w:before="240"/>
      <w:ind w:left="0" w:firstLine="0"/>
    </w:pPr>
    <w:rPr>
      <w:b/>
    </w:rPr>
  </w:style>
  <w:style w:type="paragraph" w:customStyle="1" w:styleId="Recnumberedlist">
    <w:name w:val="Rec numbered list"/>
    <w:basedOn w:val="Reclist"/>
    <w:qFormat/>
    <w:rsid w:val="00165678"/>
    <w:pPr>
      <w:numPr>
        <w:numId w:val="13"/>
      </w:numPr>
      <w:snapToGrid w:val="0"/>
      <w:ind w:left="426" w:hanging="426"/>
    </w:pPr>
  </w:style>
  <w:style w:type="character" w:styleId="FollowedHyperlink">
    <w:name w:val="FollowedHyperlink"/>
    <w:basedOn w:val="DefaultParagraphFont"/>
    <w:uiPriority w:val="99"/>
    <w:semiHidden/>
    <w:unhideWhenUsed/>
    <w:rsid w:val="00A205CE"/>
    <w:rPr>
      <w:color w:val="800080" w:themeColor="followedHyperlink"/>
      <w:u w:val="single"/>
    </w:rPr>
  </w:style>
  <w:style w:type="paragraph" w:styleId="Revision">
    <w:name w:val="Revision"/>
    <w:hidden/>
    <w:uiPriority w:val="99"/>
    <w:semiHidden/>
    <w:rsid w:val="0022371C"/>
    <w:rPr>
      <w:rFonts w:asciiTheme="minorHAnsi" w:eastAsiaTheme="minorHAnsi" w:hAnsi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4949">
      <w:bodyDiv w:val="1"/>
      <w:marLeft w:val="0"/>
      <w:marRight w:val="0"/>
      <w:marTop w:val="0"/>
      <w:marBottom w:val="0"/>
      <w:divBdr>
        <w:top w:val="none" w:sz="0" w:space="0" w:color="auto"/>
        <w:left w:val="none" w:sz="0" w:space="0" w:color="auto"/>
        <w:bottom w:val="none" w:sz="0" w:space="0" w:color="auto"/>
        <w:right w:val="none" w:sz="0" w:space="0" w:color="auto"/>
      </w:divBdr>
      <w:divsChild>
        <w:div w:id="19501630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8141062">
              <w:marLeft w:val="0"/>
              <w:marRight w:val="0"/>
              <w:marTop w:val="0"/>
              <w:marBottom w:val="0"/>
              <w:divBdr>
                <w:top w:val="none" w:sz="0" w:space="0" w:color="auto"/>
                <w:left w:val="none" w:sz="0" w:space="0" w:color="auto"/>
                <w:bottom w:val="none" w:sz="0" w:space="0" w:color="auto"/>
                <w:right w:val="none" w:sz="0" w:space="0" w:color="auto"/>
              </w:divBdr>
              <w:divsChild>
                <w:div w:id="9688982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9089089">
                      <w:marLeft w:val="0"/>
                      <w:marRight w:val="0"/>
                      <w:marTop w:val="0"/>
                      <w:marBottom w:val="0"/>
                      <w:divBdr>
                        <w:top w:val="none" w:sz="0" w:space="0" w:color="auto"/>
                        <w:left w:val="none" w:sz="0" w:space="0" w:color="auto"/>
                        <w:bottom w:val="none" w:sz="0" w:space="0" w:color="auto"/>
                        <w:right w:val="none" w:sz="0" w:space="0" w:color="auto"/>
                      </w:divBdr>
                      <w:divsChild>
                        <w:div w:id="2187131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9632105">
                      <w:marLeft w:val="0"/>
                      <w:marRight w:val="0"/>
                      <w:marTop w:val="0"/>
                      <w:marBottom w:val="0"/>
                      <w:divBdr>
                        <w:top w:val="none" w:sz="0" w:space="0" w:color="auto"/>
                        <w:left w:val="none" w:sz="0" w:space="0" w:color="auto"/>
                        <w:bottom w:val="none" w:sz="0" w:space="0" w:color="auto"/>
                        <w:right w:val="none" w:sz="0" w:space="0" w:color="auto"/>
                      </w:divBdr>
                      <w:divsChild>
                        <w:div w:id="3799785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784582">
                      <w:marLeft w:val="0"/>
                      <w:marRight w:val="0"/>
                      <w:marTop w:val="0"/>
                      <w:marBottom w:val="0"/>
                      <w:divBdr>
                        <w:top w:val="none" w:sz="0" w:space="0" w:color="auto"/>
                        <w:left w:val="none" w:sz="0" w:space="0" w:color="auto"/>
                        <w:bottom w:val="none" w:sz="0" w:space="0" w:color="auto"/>
                        <w:right w:val="none" w:sz="0" w:space="0" w:color="auto"/>
                      </w:divBdr>
                      <w:divsChild>
                        <w:div w:id="1321883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82865823">
              <w:marLeft w:val="0"/>
              <w:marRight w:val="0"/>
              <w:marTop w:val="0"/>
              <w:marBottom w:val="0"/>
              <w:divBdr>
                <w:top w:val="none" w:sz="0" w:space="0" w:color="auto"/>
                <w:left w:val="none" w:sz="0" w:space="0" w:color="auto"/>
                <w:bottom w:val="none" w:sz="0" w:space="0" w:color="auto"/>
                <w:right w:val="none" w:sz="0" w:space="0" w:color="auto"/>
              </w:divBdr>
              <w:divsChild>
                <w:div w:id="8411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08973226">
              <w:marLeft w:val="0"/>
              <w:marRight w:val="0"/>
              <w:marTop w:val="0"/>
              <w:marBottom w:val="0"/>
              <w:divBdr>
                <w:top w:val="none" w:sz="0" w:space="0" w:color="auto"/>
                <w:left w:val="none" w:sz="0" w:space="0" w:color="auto"/>
                <w:bottom w:val="none" w:sz="0" w:space="0" w:color="auto"/>
                <w:right w:val="none" w:sz="0" w:space="0" w:color="auto"/>
              </w:divBdr>
              <w:divsChild>
                <w:div w:id="1678458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773427">
              <w:marLeft w:val="0"/>
              <w:marRight w:val="0"/>
              <w:marTop w:val="0"/>
              <w:marBottom w:val="0"/>
              <w:divBdr>
                <w:top w:val="none" w:sz="0" w:space="0" w:color="auto"/>
                <w:left w:val="none" w:sz="0" w:space="0" w:color="auto"/>
                <w:bottom w:val="none" w:sz="0" w:space="0" w:color="auto"/>
                <w:right w:val="none" w:sz="0" w:space="0" w:color="auto"/>
              </w:divBdr>
              <w:divsChild>
                <w:div w:id="15526879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199476">
              <w:marLeft w:val="0"/>
              <w:marRight w:val="0"/>
              <w:marTop w:val="0"/>
              <w:marBottom w:val="0"/>
              <w:divBdr>
                <w:top w:val="none" w:sz="0" w:space="0" w:color="auto"/>
                <w:left w:val="none" w:sz="0" w:space="0" w:color="auto"/>
                <w:bottom w:val="none" w:sz="0" w:space="0" w:color="auto"/>
                <w:right w:val="none" w:sz="0" w:space="0" w:color="auto"/>
              </w:divBdr>
              <w:divsChild>
                <w:div w:id="4596905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63920889">
          <w:blockQuote w:val="1"/>
          <w:marLeft w:val="400"/>
          <w:marRight w:val="0"/>
          <w:marTop w:val="160"/>
          <w:marBottom w:val="200"/>
          <w:divBdr>
            <w:top w:val="none" w:sz="0" w:space="0" w:color="auto"/>
            <w:left w:val="none" w:sz="0" w:space="0" w:color="auto"/>
            <w:bottom w:val="none" w:sz="0" w:space="0" w:color="auto"/>
            <w:right w:val="none" w:sz="0" w:space="0" w:color="auto"/>
          </w:divBdr>
        </w:div>
        <w:div w:id="11031116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594265">
      <w:bodyDiv w:val="1"/>
      <w:marLeft w:val="0"/>
      <w:marRight w:val="0"/>
      <w:marTop w:val="0"/>
      <w:marBottom w:val="0"/>
      <w:divBdr>
        <w:top w:val="none" w:sz="0" w:space="0" w:color="auto"/>
        <w:left w:val="none" w:sz="0" w:space="0" w:color="auto"/>
        <w:bottom w:val="none" w:sz="0" w:space="0" w:color="auto"/>
        <w:right w:val="none" w:sz="0" w:space="0" w:color="auto"/>
      </w:divBdr>
      <w:divsChild>
        <w:div w:id="692327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0770178">
              <w:marLeft w:val="0"/>
              <w:marRight w:val="0"/>
              <w:marTop w:val="0"/>
              <w:marBottom w:val="0"/>
              <w:divBdr>
                <w:top w:val="none" w:sz="0" w:space="0" w:color="auto"/>
                <w:left w:val="none" w:sz="0" w:space="0" w:color="auto"/>
                <w:bottom w:val="none" w:sz="0" w:space="0" w:color="auto"/>
                <w:right w:val="none" w:sz="0" w:space="0" w:color="auto"/>
              </w:divBdr>
              <w:divsChild>
                <w:div w:id="19390256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8604496">
              <w:marLeft w:val="0"/>
              <w:marRight w:val="0"/>
              <w:marTop w:val="0"/>
              <w:marBottom w:val="0"/>
              <w:divBdr>
                <w:top w:val="none" w:sz="0" w:space="0" w:color="auto"/>
                <w:left w:val="none" w:sz="0" w:space="0" w:color="auto"/>
                <w:bottom w:val="none" w:sz="0" w:space="0" w:color="auto"/>
                <w:right w:val="none" w:sz="0" w:space="0" w:color="auto"/>
              </w:divBdr>
              <w:divsChild>
                <w:div w:id="1117682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4836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4157018">
      <w:bodyDiv w:val="1"/>
      <w:marLeft w:val="0"/>
      <w:marRight w:val="0"/>
      <w:marTop w:val="0"/>
      <w:marBottom w:val="0"/>
      <w:divBdr>
        <w:top w:val="none" w:sz="0" w:space="0" w:color="auto"/>
        <w:left w:val="none" w:sz="0" w:space="0" w:color="auto"/>
        <w:bottom w:val="none" w:sz="0" w:space="0" w:color="auto"/>
        <w:right w:val="none" w:sz="0" w:space="0" w:color="auto"/>
      </w:divBdr>
    </w:div>
    <w:div w:id="637490250">
      <w:bodyDiv w:val="1"/>
      <w:marLeft w:val="0"/>
      <w:marRight w:val="0"/>
      <w:marTop w:val="0"/>
      <w:marBottom w:val="0"/>
      <w:divBdr>
        <w:top w:val="none" w:sz="0" w:space="0" w:color="auto"/>
        <w:left w:val="none" w:sz="0" w:space="0" w:color="auto"/>
        <w:bottom w:val="none" w:sz="0" w:space="0" w:color="auto"/>
        <w:right w:val="none" w:sz="0" w:space="0" w:color="auto"/>
      </w:divBdr>
    </w:div>
    <w:div w:id="815880048">
      <w:bodyDiv w:val="1"/>
      <w:marLeft w:val="0"/>
      <w:marRight w:val="0"/>
      <w:marTop w:val="0"/>
      <w:marBottom w:val="0"/>
      <w:divBdr>
        <w:top w:val="none" w:sz="0" w:space="0" w:color="auto"/>
        <w:left w:val="none" w:sz="0" w:space="0" w:color="auto"/>
        <w:bottom w:val="none" w:sz="0" w:space="0" w:color="auto"/>
        <w:right w:val="none" w:sz="0" w:space="0" w:color="auto"/>
      </w:divBdr>
      <w:divsChild>
        <w:div w:id="101657599">
          <w:marLeft w:val="340"/>
          <w:marRight w:val="0"/>
          <w:marTop w:val="160"/>
          <w:marBottom w:val="200"/>
          <w:divBdr>
            <w:top w:val="none" w:sz="0" w:space="0" w:color="auto"/>
            <w:left w:val="none" w:sz="0" w:space="0" w:color="auto"/>
            <w:bottom w:val="none" w:sz="0" w:space="0" w:color="auto"/>
            <w:right w:val="none" w:sz="0" w:space="0" w:color="auto"/>
          </w:divBdr>
          <w:divsChild>
            <w:div w:id="418599041">
              <w:marLeft w:val="0"/>
              <w:marRight w:val="0"/>
              <w:marTop w:val="150"/>
              <w:marBottom w:val="150"/>
              <w:divBdr>
                <w:top w:val="none" w:sz="0" w:space="0" w:color="auto"/>
                <w:left w:val="none" w:sz="0" w:space="0" w:color="auto"/>
                <w:bottom w:val="none" w:sz="0" w:space="0" w:color="auto"/>
                <w:right w:val="none" w:sz="0" w:space="0" w:color="auto"/>
              </w:divBdr>
            </w:div>
          </w:divsChild>
        </w:div>
        <w:div w:id="16055277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737114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11054981">
                  <w:marLeft w:val="0"/>
                  <w:marRight w:val="0"/>
                  <w:marTop w:val="0"/>
                  <w:marBottom w:val="0"/>
                  <w:divBdr>
                    <w:top w:val="none" w:sz="0" w:space="0" w:color="auto"/>
                    <w:left w:val="none" w:sz="0" w:space="0" w:color="auto"/>
                    <w:bottom w:val="none" w:sz="0" w:space="0" w:color="auto"/>
                    <w:right w:val="none" w:sz="0" w:space="0" w:color="auto"/>
                  </w:divBdr>
                  <w:divsChild>
                    <w:div w:id="1987200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7319550">
                  <w:marLeft w:val="0"/>
                  <w:marRight w:val="0"/>
                  <w:marTop w:val="0"/>
                  <w:marBottom w:val="0"/>
                  <w:divBdr>
                    <w:top w:val="none" w:sz="0" w:space="0" w:color="auto"/>
                    <w:left w:val="none" w:sz="0" w:space="0" w:color="auto"/>
                    <w:bottom w:val="none" w:sz="0" w:space="0" w:color="auto"/>
                    <w:right w:val="none" w:sz="0" w:space="0" w:color="auto"/>
                  </w:divBdr>
                  <w:divsChild>
                    <w:div w:id="8394628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6729594">
                  <w:marLeft w:val="0"/>
                  <w:marRight w:val="0"/>
                  <w:marTop w:val="0"/>
                  <w:marBottom w:val="0"/>
                  <w:divBdr>
                    <w:top w:val="none" w:sz="0" w:space="0" w:color="auto"/>
                    <w:left w:val="none" w:sz="0" w:space="0" w:color="auto"/>
                    <w:bottom w:val="none" w:sz="0" w:space="0" w:color="auto"/>
                    <w:right w:val="none" w:sz="0" w:space="0" w:color="auto"/>
                  </w:divBdr>
                  <w:divsChild>
                    <w:div w:id="3539249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8055671">
                  <w:marLeft w:val="0"/>
                  <w:marRight w:val="0"/>
                  <w:marTop w:val="0"/>
                  <w:marBottom w:val="0"/>
                  <w:divBdr>
                    <w:top w:val="none" w:sz="0" w:space="0" w:color="auto"/>
                    <w:left w:val="none" w:sz="0" w:space="0" w:color="auto"/>
                    <w:bottom w:val="none" w:sz="0" w:space="0" w:color="auto"/>
                    <w:right w:val="none" w:sz="0" w:space="0" w:color="auto"/>
                  </w:divBdr>
                  <w:divsChild>
                    <w:div w:id="12631461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272427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543762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1139482">
      <w:bodyDiv w:val="1"/>
      <w:marLeft w:val="0"/>
      <w:marRight w:val="0"/>
      <w:marTop w:val="0"/>
      <w:marBottom w:val="0"/>
      <w:divBdr>
        <w:top w:val="none" w:sz="0" w:space="0" w:color="auto"/>
        <w:left w:val="none" w:sz="0" w:space="0" w:color="auto"/>
        <w:bottom w:val="none" w:sz="0" w:space="0" w:color="auto"/>
        <w:right w:val="none" w:sz="0" w:space="0" w:color="auto"/>
      </w:divBdr>
    </w:div>
    <w:div w:id="936787936">
      <w:bodyDiv w:val="1"/>
      <w:marLeft w:val="0"/>
      <w:marRight w:val="0"/>
      <w:marTop w:val="0"/>
      <w:marBottom w:val="0"/>
      <w:divBdr>
        <w:top w:val="none" w:sz="0" w:space="0" w:color="auto"/>
        <w:left w:val="none" w:sz="0" w:space="0" w:color="auto"/>
        <w:bottom w:val="none" w:sz="0" w:space="0" w:color="auto"/>
        <w:right w:val="none" w:sz="0" w:space="0" w:color="auto"/>
      </w:divBdr>
      <w:divsChild>
        <w:div w:id="34906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891093">
      <w:bodyDiv w:val="1"/>
      <w:marLeft w:val="0"/>
      <w:marRight w:val="0"/>
      <w:marTop w:val="0"/>
      <w:marBottom w:val="0"/>
      <w:divBdr>
        <w:top w:val="none" w:sz="0" w:space="0" w:color="auto"/>
        <w:left w:val="none" w:sz="0" w:space="0" w:color="auto"/>
        <w:bottom w:val="none" w:sz="0" w:space="0" w:color="auto"/>
        <w:right w:val="none" w:sz="0" w:space="0" w:color="auto"/>
      </w:divBdr>
    </w:div>
    <w:div w:id="1388648755">
      <w:bodyDiv w:val="1"/>
      <w:marLeft w:val="0"/>
      <w:marRight w:val="0"/>
      <w:marTop w:val="0"/>
      <w:marBottom w:val="0"/>
      <w:divBdr>
        <w:top w:val="none" w:sz="0" w:space="0" w:color="auto"/>
        <w:left w:val="none" w:sz="0" w:space="0" w:color="auto"/>
        <w:bottom w:val="none" w:sz="0" w:space="0" w:color="auto"/>
        <w:right w:val="none" w:sz="0" w:space="0" w:color="auto"/>
      </w:divBdr>
    </w:div>
    <w:div w:id="1509903077">
      <w:bodyDiv w:val="1"/>
      <w:marLeft w:val="0"/>
      <w:marRight w:val="0"/>
      <w:marTop w:val="0"/>
      <w:marBottom w:val="0"/>
      <w:divBdr>
        <w:top w:val="none" w:sz="0" w:space="0" w:color="auto"/>
        <w:left w:val="none" w:sz="0" w:space="0" w:color="auto"/>
        <w:bottom w:val="none" w:sz="0" w:space="0" w:color="auto"/>
        <w:right w:val="none" w:sz="0" w:space="0" w:color="auto"/>
      </w:divBdr>
      <w:divsChild>
        <w:div w:id="758478688">
          <w:blockQuote w:val="1"/>
          <w:marLeft w:val="0"/>
          <w:marRight w:val="0"/>
          <w:marTop w:val="120"/>
          <w:marBottom w:val="120"/>
          <w:divBdr>
            <w:top w:val="none" w:sz="0" w:space="0" w:color="auto"/>
            <w:left w:val="none" w:sz="0" w:space="0" w:color="auto"/>
            <w:bottom w:val="none" w:sz="0" w:space="0" w:color="auto"/>
            <w:right w:val="none" w:sz="0" w:space="0" w:color="auto"/>
          </w:divBdr>
        </w:div>
        <w:div w:id="1060594281">
          <w:blockQuote w:val="1"/>
          <w:marLeft w:val="0"/>
          <w:marRight w:val="0"/>
          <w:marTop w:val="120"/>
          <w:marBottom w:val="120"/>
          <w:divBdr>
            <w:top w:val="none" w:sz="0" w:space="0" w:color="auto"/>
            <w:left w:val="none" w:sz="0" w:space="0" w:color="auto"/>
            <w:bottom w:val="none" w:sz="0" w:space="0" w:color="auto"/>
            <w:right w:val="none" w:sz="0" w:space="0" w:color="auto"/>
          </w:divBdr>
        </w:div>
        <w:div w:id="2081757238">
          <w:blockQuote w:val="1"/>
          <w:marLeft w:val="0"/>
          <w:marRight w:val="0"/>
          <w:marTop w:val="120"/>
          <w:marBottom w:val="120"/>
          <w:divBdr>
            <w:top w:val="none" w:sz="0" w:space="0" w:color="auto"/>
            <w:left w:val="none" w:sz="0" w:space="0" w:color="auto"/>
            <w:bottom w:val="none" w:sz="0" w:space="0" w:color="auto"/>
            <w:right w:val="none" w:sz="0" w:space="0" w:color="auto"/>
          </w:divBdr>
        </w:div>
        <w:div w:id="1300922040">
          <w:blockQuote w:val="1"/>
          <w:marLeft w:val="0"/>
          <w:marRight w:val="0"/>
          <w:marTop w:val="120"/>
          <w:marBottom w:val="120"/>
          <w:divBdr>
            <w:top w:val="none" w:sz="0" w:space="0" w:color="auto"/>
            <w:left w:val="none" w:sz="0" w:space="0" w:color="auto"/>
            <w:bottom w:val="none" w:sz="0" w:space="0" w:color="auto"/>
            <w:right w:val="none" w:sz="0" w:space="0" w:color="auto"/>
          </w:divBdr>
        </w:div>
        <w:div w:id="2064523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692802674">
      <w:bodyDiv w:val="1"/>
      <w:marLeft w:val="0"/>
      <w:marRight w:val="0"/>
      <w:marTop w:val="0"/>
      <w:marBottom w:val="0"/>
      <w:divBdr>
        <w:top w:val="none" w:sz="0" w:space="0" w:color="auto"/>
        <w:left w:val="none" w:sz="0" w:space="0" w:color="auto"/>
        <w:bottom w:val="none" w:sz="0" w:space="0" w:color="auto"/>
        <w:right w:val="none" w:sz="0" w:space="0" w:color="auto"/>
      </w:divBdr>
      <w:divsChild>
        <w:div w:id="1500657971">
          <w:marLeft w:val="0"/>
          <w:marRight w:val="0"/>
          <w:marTop w:val="0"/>
          <w:marBottom w:val="0"/>
          <w:divBdr>
            <w:top w:val="none" w:sz="0" w:space="0" w:color="auto"/>
            <w:left w:val="none" w:sz="0" w:space="0" w:color="auto"/>
            <w:bottom w:val="none" w:sz="0" w:space="0" w:color="auto"/>
            <w:right w:val="none" w:sz="0" w:space="0" w:color="auto"/>
          </w:divBdr>
        </w:div>
      </w:divsChild>
    </w:div>
    <w:div w:id="17026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hyperlink" Target="mailto:Law.Reform@utas.edu.au" TargetMode="Externa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6.xml"/><Relationship Id="rId50" Type="http://schemas.openxmlformats.org/officeDocument/2006/relationships/hyperlink" Target="http://www.austlii.edu.au/cgi-bin/viewdoc/au/legis/tas/consol_act/tfma1912297/" TargetMode="External"/><Relationship Id="rId55" Type="http://schemas.openxmlformats.org/officeDocument/2006/relationships/header" Target="header26.xml"/><Relationship Id="rId63" Type="http://schemas.openxmlformats.org/officeDocument/2006/relationships/header" Target="header34.xml"/><Relationship Id="rId68"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header" Target="header28.xml"/><Relationship Id="rId61" Type="http://schemas.openxmlformats.org/officeDocument/2006/relationships/header" Target="header32.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Law.Reform@utas.edu.au"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1.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yperlink" Target="http://www.utas.edu.au/law-reform/" TargetMode="External"/><Relationship Id="rId41" Type="http://schemas.openxmlformats.org/officeDocument/2006/relationships/footer" Target="footer13.xml"/><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ecourt.tas.gov.au/probate_and_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0851-9A75-4AF1-AF84-93F86624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20431</Words>
  <Characters>102545</Characters>
  <Application>Microsoft Office Word</Application>
  <DocSecurity>8</DocSecurity>
  <Lines>854</Lines>
  <Paragraphs>245</Paragraphs>
  <ScaleCrop>false</ScaleCrop>
  <HeadingPairs>
    <vt:vector size="2" baseType="variant">
      <vt:variant>
        <vt:lpstr>Title</vt:lpstr>
      </vt:variant>
      <vt:variant>
        <vt:i4>1</vt:i4>
      </vt:variant>
    </vt:vector>
  </HeadingPairs>
  <TitlesOfParts>
    <vt:vector size="1" baseType="lpstr">
      <vt:lpstr>Preliminary matter (insert at end)</vt:lpstr>
    </vt:vector>
  </TitlesOfParts>
  <Manager/>
  <Company>Faculty of Law</Company>
  <LinksUpToDate>false</LinksUpToDate>
  <CharactersWithSpaces>122731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matter (insert at end)</dc:title>
  <dc:subject/>
  <dc:creator>Heather Philp</dc:creator>
  <cp:keywords/>
  <dc:description/>
  <cp:lastModifiedBy>Kira White</cp:lastModifiedBy>
  <cp:revision>3</cp:revision>
  <cp:lastPrinted>2018-02-15T02:35:00Z</cp:lastPrinted>
  <dcterms:created xsi:type="dcterms:W3CDTF">2019-03-07T06:34:00Z</dcterms:created>
  <dcterms:modified xsi:type="dcterms:W3CDTF">2019-03-07T06:36:00Z</dcterms:modified>
  <cp:category/>
</cp:coreProperties>
</file>