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F0AAE" w14:textId="4839776D" w:rsidR="00884C4C" w:rsidRPr="004C5271" w:rsidRDefault="00B773E5" w:rsidP="00A61A42">
      <w:pPr>
        <w:pStyle w:val="DotPointTLRI"/>
        <w:numPr>
          <w:ilvl w:val="0"/>
          <w:numId w:val="0"/>
        </w:numPr>
        <w:jc w:val="center"/>
        <w:rPr>
          <w:rFonts w:asciiTheme="majorBidi" w:hAnsiTheme="majorBidi" w:cstheme="majorBidi"/>
          <w:sz w:val="56"/>
          <w:szCs w:val="56"/>
          <w:lang w:val="en-AU"/>
        </w:rPr>
      </w:pPr>
      <w:bookmarkStart w:id="0" w:name="_Toc481844687"/>
      <w:bookmarkStart w:id="1" w:name="_Toc481845033"/>
      <w:bookmarkStart w:id="2" w:name="_GoBack"/>
      <w:bookmarkEnd w:id="2"/>
      <w:r w:rsidRPr="004C5271">
        <w:rPr>
          <w:rFonts w:asciiTheme="majorBidi" w:hAnsiTheme="majorBidi" w:cstheme="majorBidi"/>
          <w:noProof/>
          <w:lang w:val="en-AU" w:eastAsia="en-GB"/>
        </w:rPr>
        <w:drawing>
          <wp:inline distT="0" distB="0" distL="0" distR="0" wp14:anchorId="13B60F75" wp14:editId="78923152">
            <wp:extent cx="4513478" cy="812800"/>
            <wp:effectExtent l="0" t="0" r="190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503" cy="815145"/>
                    </a:xfrm>
                    <a:prstGeom prst="rect">
                      <a:avLst/>
                    </a:prstGeom>
                    <a:noFill/>
                  </pic:spPr>
                </pic:pic>
              </a:graphicData>
            </a:graphic>
          </wp:inline>
        </w:drawing>
      </w:r>
      <w:bookmarkEnd w:id="0"/>
      <w:bookmarkEnd w:id="1"/>
    </w:p>
    <w:p w14:paraId="5FA77CCB" w14:textId="77777777" w:rsidR="00FA41D5" w:rsidRPr="004C5271" w:rsidRDefault="00FA41D5" w:rsidP="00F6074C">
      <w:pPr>
        <w:pStyle w:val="BodyText"/>
        <w:spacing w:before="840" w:after="220" w:line="288" w:lineRule="auto"/>
        <w:jc w:val="center"/>
        <w:rPr>
          <w:rFonts w:asciiTheme="majorBidi" w:hAnsiTheme="majorBidi" w:cstheme="majorBidi"/>
          <w:sz w:val="56"/>
          <w:szCs w:val="56"/>
          <w:lang w:val="en-AU"/>
        </w:rPr>
      </w:pPr>
    </w:p>
    <w:p w14:paraId="115C8C62" w14:textId="545D0A14" w:rsidR="00165678" w:rsidRPr="004C5271" w:rsidRDefault="00285825" w:rsidP="00165678">
      <w:pPr>
        <w:pStyle w:val="BodyText"/>
        <w:spacing w:before="1440" w:after="220" w:line="288" w:lineRule="auto"/>
        <w:jc w:val="center"/>
        <w:rPr>
          <w:rFonts w:asciiTheme="majorBidi" w:hAnsiTheme="majorBidi" w:cstheme="majorBidi"/>
          <w:sz w:val="72"/>
          <w:szCs w:val="72"/>
          <w:lang w:val="en-AU"/>
        </w:rPr>
      </w:pPr>
      <w:r w:rsidRPr="004C5271">
        <w:rPr>
          <w:rFonts w:asciiTheme="majorBidi" w:hAnsiTheme="majorBidi" w:cstheme="majorBidi"/>
          <w:sz w:val="72"/>
          <w:szCs w:val="72"/>
          <w:lang w:val="en-AU"/>
        </w:rPr>
        <w:t>Should Tasmania Introduce</w:t>
      </w:r>
      <w:r w:rsidR="00F6074C" w:rsidRPr="004C5271">
        <w:rPr>
          <w:rFonts w:asciiTheme="majorBidi" w:hAnsiTheme="majorBidi" w:cstheme="majorBidi"/>
          <w:sz w:val="72"/>
          <w:szCs w:val="72"/>
          <w:lang w:val="en-AU"/>
        </w:rPr>
        <w:t xml:space="preserve"> </w:t>
      </w:r>
      <w:r w:rsidRPr="004C5271">
        <w:rPr>
          <w:rFonts w:asciiTheme="majorBidi" w:hAnsiTheme="majorBidi" w:cstheme="majorBidi"/>
          <w:sz w:val="72"/>
          <w:szCs w:val="72"/>
          <w:lang w:val="en-AU"/>
        </w:rPr>
        <w:t>Notional Estate Laws?</w:t>
      </w:r>
    </w:p>
    <w:p w14:paraId="26824573" w14:textId="77777777" w:rsidR="00165678" w:rsidRPr="004C5271" w:rsidRDefault="00165678" w:rsidP="00165678">
      <w:pPr>
        <w:rPr>
          <w:rFonts w:asciiTheme="majorBidi" w:hAnsiTheme="majorBidi" w:cstheme="majorBidi"/>
        </w:rPr>
      </w:pPr>
    </w:p>
    <w:p w14:paraId="6EAF08F1" w14:textId="77777777" w:rsidR="00165678" w:rsidRPr="004C5271" w:rsidRDefault="00165678" w:rsidP="00165678">
      <w:pPr>
        <w:rPr>
          <w:rFonts w:asciiTheme="majorBidi" w:hAnsiTheme="majorBidi" w:cstheme="majorBidi"/>
        </w:rPr>
      </w:pPr>
    </w:p>
    <w:p w14:paraId="7B0C8C85" w14:textId="0DDF7E53" w:rsidR="00165678" w:rsidRPr="004C5271" w:rsidRDefault="00F6074C" w:rsidP="002F2D8C">
      <w:pPr>
        <w:spacing w:before="960" w:after="360" w:line="288" w:lineRule="auto"/>
        <w:jc w:val="center"/>
        <w:outlineLvl w:val="0"/>
        <w:rPr>
          <w:rFonts w:asciiTheme="majorBidi" w:hAnsiTheme="majorBidi" w:cstheme="majorBidi"/>
          <w:smallCaps/>
          <w:color w:val="000000"/>
          <w:sz w:val="32"/>
          <w:szCs w:val="32"/>
        </w:rPr>
      </w:pPr>
      <w:r w:rsidRPr="004C5271">
        <w:rPr>
          <w:rFonts w:asciiTheme="majorBidi" w:hAnsiTheme="majorBidi" w:cstheme="majorBidi"/>
          <w:smallCaps/>
          <w:color w:val="000000"/>
          <w:sz w:val="32"/>
          <w:szCs w:val="32"/>
        </w:rPr>
        <w:t>Final Report No. 27</w:t>
      </w:r>
    </w:p>
    <w:p w14:paraId="2B77B671" w14:textId="51F8BE32" w:rsidR="00165678" w:rsidRPr="004C5271" w:rsidRDefault="00A376C7" w:rsidP="00165678">
      <w:pPr>
        <w:spacing w:before="220" w:after="220" w:line="288" w:lineRule="auto"/>
        <w:jc w:val="center"/>
        <w:outlineLvl w:val="0"/>
        <w:rPr>
          <w:rFonts w:asciiTheme="majorBidi" w:hAnsiTheme="majorBidi" w:cstheme="majorBidi"/>
          <w:smallCaps/>
          <w:color w:val="000000"/>
          <w:sz w:val="32"/>
          <w:szCs w:val="32"/>
        </w:rPr>
      </w:pPr>
      <w:r>
        <w:rPr>
          <w:rFonts w:asciiTheme="majorBidi" w:hAnsiTheme="majorBidi" w:cstheme="majorBidi"/>
          <w:smallCaps/>
          <w:color w:val="000000"/>
          <w:sz w:val="32"/>
          <w:szCs w:val="32"/>
        </w:rPr>
        <w:t>September</w:t>
      </w:r>
      <w:r w:rsidR="00285825" w:rsidRPr="004C5271">
        <w:rPr>
          <w:rFonts w:asciiTheme="majorBidi" w:hAnsiTheme="majorBidi" w:cstheme="majorBidi"/>
          <w:smallCaps/>
          <w:color w:val="000000"/>
          <w:sz w:val="32"/>
          <w:szCs w:val="32"/>
        </w:rPr>
        <w:t xml:space="preserve"> 2019</w:t>
      </w:r>
    </w:p>
    <w:p w14:paraId="2A9EC4B9" w14:textId="77777777" w:rsidR="00165678" w:rsidRPr="004C5271" w:rsidRDefault="00165678" w:rsidP="00165678">
      <w:pPr>
        <w:rPr>
          <w:rFonts w:asciiTheme="majorBidi" w:hAnsiTheme="majorBidi" w:cstheme="majorBidi"/>
        </w:rPr>
      </w:pPr>
    </w:p>
    <w:p w14:paraId="27EDC579" w14:textId="77777777" w:rsidR="00165678" w:rsidRPr="004C5271" w:rsidRDefault="00165678" w:rsidP="00165678">
      <w:pPr>
        <w:rPr>
          <w:rFonts w:asciiTheme="majorBidi" w:hAnsiTheme="majorBidi" w:cstheme="majorBidi"/>
        </w:rPr>
        <w:sectPr w:rsidR="00165678" w:rsidRPr="004C5271" w:rsidSect="004C5271">
          <w:headerReference w:type="even" r:id="rId9"/>
          <w:headerReference w:type="default" r:id="rId10"/>
          <w:footerReference w:type="even" r:id="rId11"/>
          <w:footerReference w:type="default" r:id="rId12"/>
          <w:headerReference w:type="first" r:id="rId13"/>
          <w:footerReference w:type="first" r:id="rId14"/>
          <w:pgSz w:w="9979" w:h="14232" w:code="9"/>
          <w:pgMar w:top="1440" w:right="1440" w:bottom="1440" w:left="1440" w:header="709" w:footer="709" w:gutter="0"/>
          <w:pgNumType w:fmt="lowerRoman" w:start="1"/>
          <w:cols w:space="708"/>
          <w:titlePg/>
          <w:docGrid w:linePitch="360"/>
        </w:sectPr>
      </w:pPr>
    </w:p>
    <w:p w14:paraId="08D2E6E8" w14:textId="77777777" w:rsidR="000F2AEC" w:rsidRPr="004C5271" w:rsidRDefault="000F2AEC" w:rsidP="00887711">
      <w:pPr>
        <w:spacing w:after="480"/>
        <w:rPr>
          <w:rFonts w:asciiTheme="majorBidi" w:eastAsia="Times New Roman" w:hAnsiTheme="majorBidi" w:cstheme="majorBidi"/>
          <w:b/>
          <w:smallCaps/>
          <w:color w:val="000000"/>
          <w:sz w:val="32"/>
          <w:szCs w:val="32"/>
        </w:rPr>
        <w:sectPr w:rsidR="000F2AEC" w:rsidRPr="004C5271" w:rsidSect="004C5271">
          <w:headerReference w:type="even" r:id="rId15"/>
          <w:headerReference w:type="default" r:id="rId16"/>
          <w:headerReference w:type="first" r:id="rId17"/>
          <w:footerReference w:type="first" r:id="rId18"/>
          <w:pgSz w:w="9979" w:h="14232" w:code="9"/>
          <w:pgMar w:top="1440" w:right="1440" w:bottom="1440" w:left="1440" w:header="709" w:footer="709" w:gutter="0"/>
          <w:pgNumType w:fmt="lowerRoman"/>
          <w:cols w:space="708"/>
          <w:titlePg/>
          <w:docGrid w:linePitch="360"/>
        </w:sectPr>
      </w:pPr>
      <w:bookmarkStart w:id="3" w:name="_Toc509914011"/>
    </w:p>
    <w:p w14:paraId="67BD8BBF" w14:textId="6158055F" w:rsidR="00165678" w:rsidRPr="008C389C" w:rsidRDefault="00165678" w:rsidP="00FC5E29">
      <w:pPr>
        <w:pStyle w:val="Heading2RB"/>
        <w:rPr>
          <w:rFonts w:asciiTheme="majorBidi" w:hAnsiTheme="majorBidi" w:cstheme="majorBidi"/>
          <w:sz w:val="28"/>
          <w:szCs w:val="28"/>
        </w:rPr>
      </w:pPr>
      <w:r w:rsidRPr="008C389C">
        <w:rPr>
          <w:rFonts w:asciiTheme="majorBidi" w:hAnsiTheme="majorBidi" w:cstheme="majorBidi"/>
          <w:sz w:val="28"/>
          <w:szCs w:val="28"/>
        </w:rPr>
        <w:lastRenderedPageBreak/>
        <w:t>Contents</w:t>
      </w:r>
      <w:bookmarkEnd w:id="3"/>
    </w:p>
    <w:p w14:paraId="01A193BB" w14:textId="502F7DD6" w:rsidR="008D6F74" w:rsidRPr="00CD5761" w:rsidRDefault="00165678" w:rsidP="00E16DB6">
      <w:pPr>
        <w:pStyle w:val="TOC1"/>
        <w:spacing w:before="40" w:after="40"/>
        <w:rPr>
          <w:rFonts w:asciiTheme="majorBidi" w:hAnsiTheme="majorBidi" w:cstheme="majorBidi"/>
          <w:b w:val="0"/>
        </w:rPr>
      </w:pPr>
      <w:r w:rsidRPr="00CD5761">
        <w:rPr>
          <w:rFonts w:asciiTheme="majorBidi" w:hAnsiTheme="majorBidi" w:cstheme="majorBidi"/>
          <w:b w:val="0"/>
          <w:noProof w:val="0"/>
        </w:rPr>
        <w:fldChar w:fldCharType="begin"/>
      </w:r>
      <w:r w:rsidRPr="00CD5761">
        <w:rPr>
          <w:rFonts w:asciiTheme="majorBidi" w:hAnsiTheme="majorBidi" w:cstheme="majorBidi"/>
          <w:b w:val="0"/>
          <w:noProof w:val="0"/>
        </w:rPr>
        <w:instrText xml:space="preserve"> TOC \f \t "Numbered Heading TLRI,2,Part No TLRI,1,Part Heading TLRI,1,Numberless Section Heading,1" </w:instrText>
      </w:r>
      <w:r w:rsidRPr="00CD5761">
        <w:rPr>
          <w:rFonts w:asciiTheme="majorBidi" w:hAnsiTheme="majorBidi" w:cstheme="majorBidi"/>
          <w:b w:val="0"/>
          <w:noProof w:val="0"/>
        </w:rPr>
        <w:fldChar w:fldCharType="separate"/>
      </w:r>
      <w:r w:rsidR="008D6F74" w:rsidRPr="00CD5761">
        <w:rPr>
          <w:rFonts w:asciiTheme="majorBidi" w:hAnsiTheme="majorBidi" w:cstheme="majorBidi"/>
          <w:b w:val="0"/>
        </w:rPr>
        <w:t>Information about the Tasmania Law Reform Institute</w:t>
      </w:r>
      <w:r w:rsidR="008D6F74" w:rsidRPr="00CD5761">
        <w:rPr>
          <w:rFonts w:asciiTheme="majorBidi" w:hAnsiTheme="majorBidi" w:cstheme="majorBidi"/>
          <w:b w:val="0"/>
        </w:rPr>
        <w:tab/>
      </w:r>
      <w:r w:rsidR="008D6F74" w:rsidRPr="00CD5761">
        <w:rPr>
          <w:rFonts w:asciiTheme="majorBidi" w:hAnsiTheme="majorBidi" w:cstheme="majorBidi"/>
          <w:b w:val="0"/>
        </w:rPr>
        <w:fldChar w:fldCharType="begin"/>
      </w:r>
      <w:r w:rsidR="008D6F74" w:rsidRPr="00CD5761">
        <w:rPr>
          <w:rFonts w:asciiTheme="majorBidi" w:hAnsiTheme="majorBidi" w:cstheme="majorBidi"/>
          <w:b w:val="0"/>
        </w:rPr>
        <w:instrText xml:space="preserve"> PAGEREF _Toc12268921 \h </w:instrText>
      </w:r>
      <w:r w:rsidR="008D6F74" w:rsidRPr="00CD5761">
        <w:rPr>
          <w:rFonts w:asciiTheme="majorBidi" w:hAnsiTheme="majorBidi" w:cstheme="majorBidi"/>
          <w:b w:val="0"/>
        </w:rPr>
      </w:r>
      <w:r w:rsidR="008D6F74" w:rsidRPr="00CD5761">
        <w:rPr>
          <w:rFonts w:asciiTheme="majorBidi" w:hAnsiTheme="majorBidi" w:cstheme="majorBidi"/>
          <w:b w:val="0"/>
        </w:rPr>
        <w:fldChar w:fldCharType="separate"/>
      </w:r>
      <w:r w:rsidR="00CE66A7">
        <w:rPr>
          <w:rFonts w:asciiTheme="majorBidi" w:hAnsiTheme="majorBidi" w:cstheme="majorBidi"/>
          <w:b w:val="0"/>
        </w:rPr>
        <w:t>v</w:t>
      </w:r>
      <w:r w:rsidR="008D6F74" w:rsidRPr="00CD5761">
        <w:rPr>
          <w:rFonts w:asciiTheme="majorBidi" w:hAnsiTheme="majorBidi" w:cstheme="majorBidi"/>
          <w:b w:val="0"/>
        </w:rPr>
        <w:fldChar w:fldCharType="end"/>
      </w:r>
    </w:p>
    <w:p w14:paraId="2EAD1A7E" w14:textId="6EA635C1" w:rsidR="008D6F74" w:rsidRPr="00CD5761" w:rsidRDefault="008D6F74" w:rsidP="00E16DB6">
      <w:pPr>
        <w:pStyle w:val="TOC1"/>
        <w:spacing w:before="40" w:after="40"/>
        <w:rPr>
          <w:rFonts w:asciiTheme="majorBidi" w:hAnsiTheme="majorBidi" w:cstheme="majorBidi"/>
          <w:b w:val="0"/>
        </w:rPr>
      </w:pPr>
      <w:r w:rsidRPr="00CD5761">
        <w:rPr>
          <w:rFonts w:asciiTheme="majorBidi" w:hAnsiTheme="majorBidi" w:cstheme="majorBidi"/>
          <w:b w:val="0"/>
        </w:rPr>
        <w:t>Background to this Final Report</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_Toc12268922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vi</w:t>
      </w:r>
      <w:r w:rsidRPr="00CD5761">
        <w:rPr>
          <w:rFonts w:asciiTheme="majorBidi" w:hAnsiTheme="majorBidi" w:cstheme="majorBidi"/>
          <w:b w:val="0"/>
        </w:rPr>
        <w:fldChar w:fldCharType="end"/>
      </w:r>
    </w:p>
    <w:p w14:paraId="41DE1809" w14:textId="4F2DD9F0" w:rsidR="008D6F74" w:rsidRPr="00CD5761" w:rsidRDefault="008D6F74" w:rsidP="00E16DB6">
      <w:pPr>
        <w:pStyle w:val="TOC1"/>
        <w:spacing w:before="40" w:after="40"/>
        <w:rPr>
          <w:rFonts w:asciiTheme="majorBidi" w:hAnsiTheme="majorBidi" w:cstheme="majorBidi"/>
          <w:b w:val="0"/>
        </w:rPr>
      </w:pPr>
      <w:r w:rsidRPr="00CD5761">
        <w:rPr>
          <w:rFonts w:asciiTheme="majorBidi" w:hAnsiTheme="majorBidi" w:cstheme="majorBidi"/>
          <w:b w:val="0"/>
        </w:rPr>
        <w:t>Acknowledgments</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_Toc12268923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viii</w:t>
      </w:r>
      <w:r w:rsidRPr="00CD5761">
        <w:rPr>
          <w:rFonts w:asciiTheme="majorBidi" w:hAnsiTheme="majorBidi" w:cstheme="majorBidi"/>
          <w:b w:val="0"/>
        </w:rPr>
        <w:fldChar w:fldCharType="end"/>
      </w:r>
    </w:p>
    <w:p w14:paraId="004CE275" w14:textId="285A1151" w:rsidR="008D6F74" w:rsidRPr="00CD5761" w:rsidRDefault="008D6F74" w:rsidP="00E16DB6">
      <w:pPr>
        <w:pStyle w:val="TOC1"/>
        <w:spacing w:before="40" w:after="40"/>
        <w:rPr>
          <w:rFonts w:asciiTheme="majorBidi" w:hAnsiTheme="majorBidi" w:cstheme="majorBidi"/>
          <w:b w:val="0"/>
        </w:rPr>
      </w:pPr>
      <w:r w:rsidRPr="00CD5761">
        <w:rPr>
          <w:rFonts w:asciiTheme="majorBidi" w:hAnsiTheme="majorBidi" w:cstheme="majorBidi"/>
          <w:b w:val="0"/>
        </w:rPr>
        <w:t>Terms of Reference</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_Toc12268924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viii</w:t>
      </w:r>
      <w:r w:rsidRPr="00CD5761">
        <w:rPr>
          <w:rFonts w:asciiTheme="majorBidi" w:hAnsiTheme="majorBidi" w:cstheme="majorBidi"/>
          <w:b w:val="0"/>
        </w:rPr>
        <w:fldChar w:fldCharType="end"/>
      </w:r>
    </w:p>
    <w:p w14:paraId="209861BF" w14:textId="02F21BEB" w:rsidR="008D6F74" w:rsidRPr="00CD5761" w:rsidRDefault="008D6F74" w:rsidP="00E16DB6">
      <w:pPr>
        <w:pStyle w:val="TOC1"/>
        <w:spacing w:before="40" w:after="40"/>
        <w:rPr>
          <w:rFonts w:asciiTheme="majorBidi" w:hAnsiTheme="majorBidi" w:cstheme="majorBidi"/>
          <w:b w:val="0"/>
        </w:rPr>
      </w:pPr>
      <w:r w:rsidRPr="00CD5761">
        <w:rPr>
          <w:rFonts w:asciiTheme="majorBidi" w:hAnsiTheme="majorBidi" w:cstheme="majorBidi"/>
          <w:b w:val="0"/>
        </w:rPr>
        <w:t>List of Recommendations</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_Toc12268925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ix</w:t>
      </w:r>
      <w:r w:rsidRPr="00CD5761">
        <w:rPr>
          <w:rFonts w:asciiTheme="majorBidi" w:hAnsiTheme="majorBidi" w:cstheme="majorBidi"/>
          <w:b w:val="0"/>
        </w:rPr>
        <w:fldChar w:fldCharType="end"/>
      </w:r>
    </w:p>
    <w:p w14:paraId="10EA9B8E" w14:textId="48B12A07" w:rsidR="008D6F74" w:rsidRPr="00CD5761" w:rsidRDefault="008D6F74" w:rsidP="00E16DB6">
      <w:pPr>
        <w:pStyle w:val="TOC1"/>
        <w:spacing w:before="40" w:after="40"/>
        <w:rPr>
          <w:rFonts w:asciiTheme="majorBidi" w:hAnsiTheme="majorBidi" w:cstheme="majorBidi"/>
          <w:b w:val="0"/>
        </w:rPr>
      </w:pPr>
      <w:r w:rsidRPr="00CD5761">
        <w:rPr>
          <w:rFonts w:asciiTheme="majorBidi" w:hAnsiTheme="majorBidi" w:cstheme="majorBidi"/>
          <w:b w:val="0"/>
        </w:rPr>
        <w:t>Glossary and Abbreviations</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_Toc12268926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x</w:t>
      </w:r>
      <w:r w:rsidRPr="00CD5761">
        <w:rPr>
          <w:rFonts w:asciiTheme="majorBidi" w:hAnsiTheme="majorBidi" w:cstheme="majorBidi"/>
          <w:b w:val="0"/>
        </w:rPr>
        <w:fldChar w:fldCharType="end"/>
      </w:r>
    </w:p>
    <w:p w14:paraId="135E5D2C" w14:textId="340EED49" w:rsidR="008D6F74" w:rsidRPr="00CD5761" w:rsidRDefault="008D6F74" w:rsidP="00E16DB6">
      <w:pPr>
        <w:pStyle w:val="TOC1"/>
        <w:spacing w:before="40" w:after="40"/>
        <w:rPr>
          <w:rFonts w:asciiTheme="majorBidi" w:hAnsiTheme="majorBidi" w:cstheme="majorBidi"/>
          <w:b w:val="0"/>
        </w:rPr>
      </w:pPr>
      <w:r w:rsidRPr="00CD5761">
        <w:rPr>
          <w:rFonts w:asciiTheme="majorBidi" w:hAnsiTheme="majorBidi" w:cstheme="majorBidi"/>
          <w:b w:val="0"/>
        </w:rPr>
        <w:t>Executive Summary</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_Toc12268927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xiii</w:t>
      </w:r>
      <w:r w:rsidRPr="00CD5761">
        <w:rPr>
          <w:rFonts w:asciiTheme="majorBidi" w:hAnsiTheme="majorBidi" w:cstheme="majorBidi"/>
          <w:b w:val="0"/>
        </w:rPr>
        <w:fldChar w:fldCharType="end"/>
      </w:r>
    </w:p>
    <w:p w14:paraId="119DFD8F" w14:textId="2E80DF3B" w:rsidR="008D6F74" w:rsidRPr="00CD5761" w:rsidRDefault="008D6F74">
      <w:pPr>
        <w:pStyle w:val="TOC1"/>
        <w:rPr>
          <w:rFonts w:asciiTheme="majorBidi" w:hAnsiTheme="majorBidi" w:cstheme="majorBidi"/>
          <w:bCs/>
        </w:rPr>
      </w:pPr>
      <w:r w:rsidRPr="00CD5761">
        <w:rPr>
          <w:rFonts w:asciiTheme="majorBidi" w:hAnsiTheme="majorBidi" w:cstheme="majorBidi"/>
          <w:bCs/>
        </w:rPr>
        <w:t>Part 1</w:t>
      </w:r>
      <w:r w:rsidR="001C1DC6" w:rsidRPr="00CD5761">
        <w:rPr>
          <w:rFonts w:asciiTheme="majorBidi" w:hAnsiTheme="majorBidi" w:cstheme="majorBidi"/>
          <w:bCs/>
        </w:rPr>
        <w:t xml:space="preserve">: </w:t>
      </w:r>
      <w:r w:rsidRPr="00CD5761">
        <w:rPr>
          <w:rFonts w:asciiTheme="majorBidi" w:hAnsiTheme="majorBidi" w:cstheme="majorBidi"/>
          <w:bCs/>
        </w:rPr>
        <w:t>Introduction</w:t>
      </w:r>
      <w:r w:rsidRPr="00CD5761">
        <w:rPr>
          <w:rFonts w:asciiTheme="majorBidi" w:hAnsiTheme="majorBidi" w:cstheme="majorBidi"/>
          <w:bCs/>
        </w:rPr>
        <w:tab/>
      </w:r>
      <w:r w:rsidRPr="00CD5761">
        <w:rPr>
          <w:rFonts w:asciiTheme="majorBidi" w:hAnsiTheme="majorBidi" w:cstheme="majorBidi"/>
          <w:bCs/>
        </w:rPr>
        <w:fldChar w:fldCharType="begin"/>
      </w:r>
      <w:r w:rsidRPr="00CD5761">
        <w:rPr>
          <w:rFonts w:asciiTheme="majorBidi" w:hAnsiTheme="majorBidi" w:cstheme="majorBidi"/>
          <w:bCs/>
        </w:rPr>
        <w:instrText xml:space="preserve"> PAGEREF _Toc12268929 \h </w:instrText>
      </w:r>
      <w:r w:rsidRPr="00CD5761">
        <w:rPr>
          <w:rFonts w:asciiTheme="majorBidi" w:hAnsiTheme="majorBidi" w:cstheme="majorBidi"/>
          <w:bCs/>
        </w:rPr>
      </w:r>
      <w:r w:rsidRPr="00CD5761">
        <w:rPr>
          <w:rFonts w:asciiTheme="majorBidi" w:hAnsiTheme="majorBidi" w:cstheme="majorBidi"/>
          <w:bCs/>
        </w:rPr>
        <w:fldChar w:fldCharType="separate"/>
      </w:r>
      <w:r w:rsidR="00CE66A7">
        <w:rPr>
          <w:rFonts w:asciiTheme="majorBidi" w:hAnsiTheme="majorBidi" w:cstheme="majorBidi"/>
          <w:bCs/>
        </w:rPr>
        <w:t>1</w:t>
      </w:r>
      <w:r w:rsidRPr="00CD5761">
        <w:rPr>
          <w:rFonts w:asciiTheme="majorBidi" w:hAnsiTheme="majorBidi" w:cstheme="majorBidi"/>
          <w:bCs/>
        </w:rPr>
        <w:fldChar w:fldCharType="end"/>
      </w:r>
    </w:p>
    <w:p w14:paraId="7515119D" w14:textId="301135A2" w:rsidR="008D6F74" w:rsidRPr="00CD5761" w:rsidRDefault="008D6F74" w:rsidP="00CD5761">
      <w:pPr>
        <w:pStyle w:val="TOC2"/>
        <w:tabs>
          <w:tab w:val="left" w:pos="709"/>
          <w:tab w:val="left" w:pos="851"/>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1.1</w:t>
      </w:r>
      <w:r w:rsidRPr="00CD5761">
        <w:rPr>
          <w:rFonts w:asciiTheme="majorBidi" w:hAnsiTheme="majorBidi" w:cstheme="majorBidi"/>
          <w:b w:val="0"/>
          <w:noProof/>
        </w:rPr>
        <w:tab/>
        <w:t>The issue</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_Toc12268930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w:t>
      </w:r>
      <w:r w:rsidRPr="00CD5761">
        <w:rPr>
          <w:rFonts w:asciiTheme="majorBidi" w:hAnsiTheme="majorBidi" w:cstheme="majorBidi"/>
          <w:b w:val="0"/>
          <w:noProof/>
        </w:rPr>
        <w:fldChar w:fldCharType="end"/>
      </w:r>
    </w:p>
    <w:p w14:paraId="4451BCDB" w14:textId="7521CAD3" w:rsidR="008D6F74" w:rsidRPr="00CD5761" w:rsidRDefault="008D6F74" w:rsidP="00E16DB6">
      <w:pPr>
        <w:pStyle w:val="TOC2"/>
        <w:tabs>
          <w:tab w:val="left" w:pos="709"/>
          <w:tab w:val="left" w:pos="851"/>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1.2</w:t>
      </w:r>
      <w:r w:rsidRPr="00CD5761">
        <w:rPr>
          <w:rFonts w:asciiTheme="majorBidi" w:hAnsiTheme="majorBidi" w:cstheme="majorBidi"/>
          <w:b w:val="0"/>
          <w:noProof/>
        </w:rPr>
        <w:tab/>
        <w:t>Report structure</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_Toc12268931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2</w:t>
      </w:r>
      <w:r w:rsidRPr="00CD5761">
        <w:rPr>
          <w:rFonts w:asciiTheme="majorBidi" w:hAnsiTheme="majorBidi" w:cstheme="majorBidi"/>
          <w:b w:val="0"/>
          <w:noProof/>
        </w:rPr>
        <w:fldChar w:fldCharType="end"/>
      </w:r>
    </w:p>
    <w:p w14:paraId="0EC6EB1D" w14:textId="3A5279CA" w:rsidR="008D6F74" w:rsidRPr="00CD5761" w:rsidRDefault="008D6F74" w:rsidP="00CD5761">
      <w:pPr>
        <w:pStyle w:val="TOC2"/>
        <w:tabs>
          <w:tab w:val="left" w:pos="709"/>
          <w:tab w:val="right" w:leader="dot" w:pos="7099"/>
        </w:tabs>
        <w:spacing w:before="40" w:after="40"/>
        <w:ind w:left="238"/>
        <w:rPr>
          <w:rFonts w:asciiTheme="majorBidi" w:hAnsiTheme="majorBidi" w:cstheme="majorBidi"/>
          <w:b w:val="0"/>
          <w:noProof/>
        </w:rPr>
      </w:pPr>
      <w:r w:rsidRPr="00CD5761">
        <w:rPr>
          <w:rFonts w:asciiTheme="majorBidi" w:hAnsiTheme="majorBidi" w:cstheme="majorBidi"/>
          <w:b w:val="0"/>
          <w:noProof/>
        </w:rPr>
        <w:t>1.3</w:t>
      </w:r>
      <w:r w:rsidR="00CD5761" w:rsidRPr="00CD5761">
        <w:rPr>
          <w:rFonts w:asciiTheme="majorBidi" w:hAnsiTheme="majorBidi" w:cstheme="majorBidi"/>
          <w:b w:val="0"/>
          <w:noProof/>
        </w:rPr>
        <w:tab/>
      </w:r>
      <w:r w:rsidRPr="00CD5761">
        <w:rPr>
          <w:rFonts w:asciiTheme="majorBidi" w:hAnsiTheme="majorBidi" w:cstheme="majorBidi"/>
          <w:b w:val="0"/>
          <w:noProof/>
        </w:rPr>
        <w:t>Freedom of testation and the development of family provision</w:t>
      </w:r>
      <w:r w:rsidR="00CD5761" w:rsidRPr="00CD5761">
        <w:rPr>
          <w:rFonts w:asciiTheme="majorBidi" w:hAnsiTheme="majorBidi" w:cstheme="majorBidi"/>
          <w:b w:val="0"/>
          <w:noProof/>
        </w:rPr>
        <w:t xml:space="preserve"> </w:t>
      </w:r>
      <w:r w:rsidRPr="00CD5761">
        <w:rPr>
          <w:rFonts w:asciiTheme="majorBidi" w:hAnsiTheme="majorBidi" w:cstheme="majorBidi"/>
          <w:b w:val="0"/>
          <w:noProof/>
        </w:rPr>
        <w:t>laws</w:t>
      </w:r>
      <w:r w:rsidR="00CD5761" w:rsidRPr="00CD5761">
        <w:rPr>
          <w:rFonts w:asciiTheme="majorBidi" w:hAnsiTheme="majorBidi" w:cstheme="majorBidi"/>
          <w:b w:val="0"/>
          <w:noProof/>
        </w:rPr>
        <w:t xml:space="preserve"> </w:t>
      </w:r>
      <w:r w:rsidR="00CD5761"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_Toc12268932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3</w:t>
      </w:r>
      <w:r w:rsidRPr="00CD5761">
        <w:rPr>
          <w:rFonts w:asciiTheme="majorBidi" w:hAnsiTheme="majorBidi" w:cstheme="majorBidi"/>
          <w:b w:val="0"/>
          <w:noProof/>
        </w:rPr>
        <w:fldChar w:fldCharType="end"/>
      </w:r>
    </w:p>
    <w:p w14:paraId="00366AF1" w14:textId="564736AE" w:rsidR="008D6F74" w:rsidRPr="00CD5761" w:rsidRDefault="008D6F74" w:rsidP="00E16DB6">
      <w:pPr>
        <w:pStyle w:val="TOC2"/>
        <w:tabs>
          <w:tab w:val="left" w:pos="709"/>
          <w:tab w:val="left" w:pos="851"/>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1.4</w:t>
      </w:r>
      <w:r w:rsidRPr="00CD5761">
        <w:rPr>
          <w:rFonts w:asciiTheme="majorBidi" w:hAnsiTheme="majorBidi" w:cstheme="majorBidi"/>
          <w:b w:val="0"/>
          <w:noProof/>
        </w:rPr>
        <w:tab/>
        <w:t xml:space="preserve">The </w:t>
      </w:r>
      <w:r w:rsidRPr="00CD5761">
        <w:rPr>
          <w:rFonts w:asciiTheme="majorBidi" w:hAnsiTheme="majorBidi" w:cstheme="majorBidi"/>
          <w:b w:val="0"/>
          <w:i/>
          <w:iCs/>
          <w:noProof/>
        </w:rPr>
        <w:t>Testator’s Family Maintenance Act 1912</w:t>
      </w:r>
      <w:r w:rsidRPr="00CD5761">
        <w:rPr>
          <w:rFonts w:asciiTheme="majorBidi" w:hAnsiTheme="majorBidi" w:cstheme="majorBidi"/>
          <w:b w:val="0"/>
          <w:noProof/>
        </w:rPr>
        <w:t xml:space="preserve"> (Tas)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_Toc12268933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7</w:t>
      </w:r>
      <w:r w:rsidRPr="00CD5761">
        <w:rPr>
          <w:rFonts w:asciiTheme="majorBidi" w:hAnsiTheme="majorBidi" w:cstheme="majorBidi"/>
          <w:b w:val="0"/>
          <w:noProof/>
        </w:rPr>
        <w:fldChar w:fldCharType="end"/>
      </w:r>
    </w:p>
    <w:p w14:paraId="25865F58" w14:textId="59C3A7EB" w:rsidR="008D6F74" w:rsidRPr="00CD5761" w:rsidRDefault="008D6F74">
      <w:pPr>
        <w:pStyle w:val="TOC1"/>
        <w:rPr>
          <w:rFonts w:asciiTheme="majorBidi" w:hAnsiTheme="majorBidi" w:cstheme="majorBidi"/>
          <w:bCs/>
        </w:rPr>
      </w:pPr>
      <w:r w:rsidRPr="00CD5761">
        <w:rPr>
          <w:rFonts w:asciiTheme="majorBidi" w:hAnsiTheme="majorBidi" w:cstheme="majorBidi"/>
          <w:bCs/>
          <w:color w:val="000000"/>
          <w14:scene3d>
            <w14:camera w14:prst="orthographicFront"/>
            <w14:lightRig w14:rig="threePt" w14:dir="t">
              <w14:rot w14:lat="0" w14:lon="0" w14:rev="0"/>
            </w14:lightRig>
          </w14:scene3d>
        </w:rPr>
        <w:t>Part 2</w:t>
      </w:r>
      <w:r w:rsidR="001C1DC6" w:rsidRPr="00CD5761">
        <w:rPr>
          <w:rFonts w:asciiTheme="majorBidi" w:hAnsiTheme="majorBidi" w:cstheme="majorBidi"/>
          <w:bCs/>
          <w:color w:val="000000"/>
          <w14:scene3d>
            <w14:camera w14:prst="orthographicFront"/>
            <w14:lightRig w14:rig="threePt" w14:dir="t">
              <w14:rot w14:lat="0" w14:lon="0" w14:rev="0"/>
            </w14:lightRig>
          </w14:scene3d>
        </w:rPr>
        <w:t xml:space="preserve">: </w:t>
      </w:r>
      <w:r w:rsidRPr="00CD5761">
        <w:rPr>
          <w:rFonts w:asciiTheme="majorBidi" w:hAnsiTheme="majorBidi" w:cstheme="majorBidi"/>
          <w:bCs/>
        </w:rPr>
        <w:t>Property falling outside family provision claims</w:t>
      </w:r>
      <w:r w:rsidRPr="00CD5761">
        <w:rPr>
          <w:rFonts w:asciiTheme="majorBidi" w:hAnsiTheme="majorBidi" w:cstheme="majorBidi"/>
          <w:bCs/>
        </w:rPr>
        <w:tab/>
      </w:r>
      <w:r w:rsidRPr="00CD5761">
        <w:rPr>
          <w:rFonts w:asciiTheme="majorBidi" w:hAnsiTheme="majorBidi" w:cstheme="majorBidi"/>
          <w:bCs/>
        </w:rPr>
        <w:fldChar w:fldCharType="begin"/>
      </w:r>
      <w:r w:rsidRPr="00CD5761">
        <w:rPr>
          <w:rFonts w:asciiTheme="majorBidi" w:hAnsiTheme="majorBidi" w:cstheme="majorBidi"/>
          <w:bCs/>
        </w:rPr>
        <w:instrText xml:space="preserve"> PAGEREF _Toc12268935 \h </w:instrText>
      </w:r>
      <w:r w:rsidRPr="00CD5761">
        <w:rPr>
          <w:rFonts w:asciiTheme="majorBidi" w:hAnsiTheme="majorBidi" w:cstheme="majorBidi"/>
          <w:bCs/>
        </w:rPr>
      </w:r>
      <w:r w:rsidRPr="00CD5761">
        <w:rPr>
          <w:rFonts w:asciiTheme="majorBidi" w:hAnsiTheme="majorBidi" w:cstheme="majorBidi"/>
          <w:bCs/>
        </w:rPr>
        <w:fldChar w:fldCharType="separate"/>
      </w:r>
      <w:r w:rsidR="00CE66A7">
        <w:rPr>
          <w:rFonts w:asciiTheme="majorBidi" w:hAnsiTheme="majorBidi" w:cstheme="majorBidi"/>
          <w:bCs/>
        </w:rPr>
        <w:t>13</w:t>
      </w:r>
      <w:r w:rsidRPr="00CD5761">
        <w:rPr>
          <w:rFonts w:asciiTheme="majorBidi" w:hAnsiTheme="majorBidi" w:cstheme="majorBidi"/>
          <w:bCs/>
        </w:rPr>
        <w:fldChar w:fldCharType="end"/>
      </w:r>
    </w:p>
    <w:p w14:paraId="2F0468D8" w14:textId="284723C2"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2.1</w:t>
      </w:r>
      <w:r w:rsidRPr="00CD5761">
        <w:rPr>
          <w:rFonts w:asciiTheme="majorBidi" w:hAnsiTheme="majorBidi" w:cstheme="majorBidi"/>
          <w:b w:val="0"/>
          <w:noProof/>
        </w:rPr>
        <w:tab/>
        <w:t>Introduction</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_Toc12268936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13</w:t>
      </w:r>
      <w:r w:rsidRPr="00CD5761">
        <w:rPr>
          <w:rFonts w:asciiTheme="majorBidi" w:hAnsiTheme="majorBidi" w:cstheme="majorBidi"/>
          <w:b w:val="0"/>
          <w:noProof/>
        </w:rPr>
        <w:fldChar w:fldCharType="end"/>
      </w:r>
    </w:p>
    <w:p w14:paraId="5736F0F2" w14:textId="732A1650"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2.2</w:t>
      </w:r>
      <w:r w:rsidRPr="00CD5761">
        <w:rPr>
          <w:rFonts w:asciiTheme="majorBidi" w:hAnsiTheme="majorBidi" w:cstheme="majorBidi"/>
          <w:b w:val="0"/>
          <w:noProof/>
        </w:rPr>
        <w:tab/>
        <w:t>Pre-death gifts and transfers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_Toc12268937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13</w:t>
      </w:r>
      <w:r w:rsidRPr="00CD5761">
        <w:rPr>
          <w:rFonts w:asciiTheme="majorBidi" w:hAnsiTheme="majorBidi" w:cstheme="majorBidi"/>
          <w:b w:val="0"/>
          <w:noProof/>
        </w:rPr>
        <w:fldChar w:fldCharType="end"/>
      </w:r>
    </w:p>
    <w:p w14:paraId="71C662E1" w14:textId="0DFCF451"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2.3</w:t>
      </w:r>
      <w:r w:rsidRPr="00CD5761">
        <w:rPr>
          <w:rFonts w:asciiTheme="majorBidi" w:hAnsiTheme="majorBidi" w:cstheme="majorBidi"/>
          <w:b w:val="0"/>
          <w:noProof/>
        </w:rPr>
        <w:tab/>
        <w:t>Joint tenancy assets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_Toc12268938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14</w:t>
      </w:r>
      <w:r w:rsidRPr="00CD5761">
        <w:rPr>
          <w:rFonts w:asciiTheme="majorBidi" w:hAnsiTheme="majorBidi" w:cstheme="majorBidi"/>
          <w:b w:val="0"/>
          <w:noProof/>
        </w:rPr>
        <w:fldChar w:fldCharType="end"/>
      </w:r>
    </w:p>
    <w:p w14:paraId="62CC5250" w14:textId="6C25D12A"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2.4</w:t>
      </w:r>
      <w:r w:rsidRPr="00CD5761">
        <w:rPr>
          <w:rFonts w:asciiTheme="majorBidi" w:hAnsiTheme="majorBidi" w:cstheme="majorBidi"/>
          <w:b w:val="0"/>
          <w:noProof/>
        </w:rPr>
        <w:tab/>
        <w:t>Superannuation</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_Toc12268939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16</w:t>
      </w:r>
      <w:r w:rsidRPr="00CD5761">
        <w:rPr>
          <w:rFonts w:asciiTheme="majorBidi" w:hAnsiTheme="majorBidi" w:cstheme="majorBidi"/>
          <w:b w:val="0"/>
          <w:noProof/>
        </w:rPr>
        <w:fldChar w:fldCharType="end"/>
      </w:r>
    </w:p>
    <w:p w14:paraId="537EBB93" w14:textId="0E7DE3DE"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2.5</w:t>
      </w:r>
      <w:r w:rsidRPr="00CD5761">
        <w:rPr>
          <w:rFonts w:asciiTheme="majorBidi" w:hAnsiTheme="majorBidi" w:cstheme="majorBidi"/>
          <w:b w:val="0"/>
          <w:noProof/>
        </w:rPr>
        <w:tab/>
        <w:t>Proceeds of a life insurance policy</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_Toc12268940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18</w:t>
      </w:r>
      <w:r w:rsidRPr="00CD5761">
        <w:rPr>
          <w:rFonts w:asciiTheme="majorBidi" w:hAnsiTheme="majorBidi" w:cstheme="majorBidi"/>
          <w:b w:val="0"/>
          <w:noProof/>
        </w:rPr>
        <w:fldChar w:fldCharType="end"/>
      </w:r>
    </w:p>
    <w:p w14:paraId="3FEEE18D" w14:textId="7BDDA8FA"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2.6</w:t>
      </w:r>
      <w:r w:rsidRPr="00CD5761">
        <w:rPr>
          <w:rFonts w:asciiTheme="majorBidi" w:hAnsiTheme="majorBidi" w:cstheme="majorBidi"/>
          <w:b w:val="0"/>
          <w:noProof/>
        </w:rPr>
        <w:tab/>
        <w:t>Trust assets and property the subject of a power of appointment</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_Toc12268941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19</w:t>
      </w:r>
      <w:r w:rsidRPr="00CD5761">
        <w:rPr>
          <w:rFonts w:asciiTheme="majorBidi" w:hAnsiTheme="majorBidi" w:cstheme="majorBidi"/>
          <w:b w:val="0"/>
          <w:noProof/>
        </w:rPr>
        <w:fldChar w:fldCharType="end"/>
      </w:r>
    </w:p>
    <w:p w14:paraId="4A4FAE52" w14:textId="38F85119"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2.7</w:t>
      </w:r>
      <w:r w:rsidRPr="00CD5761">
        <w:rPr>
          <w:rFonts w:asciiTheme="majorBidi" w:hAnsiTheme="majorBidi" w:cstheme="majorBidi"/>
          <w:b w:val="0"/>
          <w:noProof/>
        </w:rPr>
        <w:tab/>
        <w:t>Estate assets distributed from an estate</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_Toc12268942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20</w:t>
      </w:r>
      <w:r w:rsidRPr="00CD5761">
        <w:rPr>
          <w:rFonts w:asciiTheme="majorBidi" w:hAnsiTheme="majorBidi" w:cstheme="majorBidi"/>
          <w:b w:val="0"/>
          <w:noProof/>
        </w:rPr>
        <w:fldChar w:fldCharType="end"/>
      </w:r>
    </w:p>
    <w:p w14:paraId="6DDF604B" w14:textId="6494AB7B"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2.8</w:t>
      </w:r>
      <w:r w:rsidRPr="00CD5761">
        <w:rPr>
          <w:rFonts w:asciiTheme="majorBidi" w:hAnsiTheme="majorBidi" w:cstheme="majorBidi"/>
          <w:b w:val="0"/>
          <w:noProof/>
        </w:rPr>
        <w:tab/>
        <w:t>Conclusion</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_Toc12268943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22</w:t>
      </w:r>
      <w:r w:rsidRPr="00CD5761">
        <w:rPr>
          <w:rFonts w:asciiTheme="majorBidi" w:hAnsiTheme="majorBidi" w:cstheme="majorBidi"/>
          <w:b w:val="0"/>
          <w:noProof/>
        </w:rPr>
        <w:fldChar w:fldCharType="end"/>
      </w:r>
    </w:p>
    <w:p w14:paraId="59F799A0" w14:textId="6CC7F316" w:rsidR="008D6F74" w:rsidRPr="00CD5761" w:rsidRDefault="008D6F74">
      <w:pPr>
        <w:pStyle w:val="TOC1"/>
        <w:rPr>
          <w:rFonts w:asciiTheme="majorBidi" w:hAnsiTheme="majorBidi" w:cstheme="majorBidi"/>
          <w:bCs/>
        </w:rPr>
      </w:pPr>
      <w:r w:rsidRPr="00CD5761">
        <w:rPr>
          <w:rFonts w:asciiTheme="majorBidi" w:hAnsiTheme="majorBidi" w:cstheme="majorBidi"/>
          <w:bCs/>
          <w:color w:val="000000"/>
          <w14:scene3d>
            <w14:camera w14:prst="orthographicFront"/>
            <w14:lightRig w14:rig="threePt" w14:dir="t">
              <w14:rot w14:lat="0" w14:lon="0" w14:rev="0"/>
            </w14:lightRig>
          </w14:scene3d>
        </w:rPr>
        <w:t>Part 3</w:t>
      </w:r>
      <w:r w:rsidR="001C1DC6" w:rsidRPr="00CD5761">
        <w:rPr>
          <w:rFonts w:asciiTheme="majorBidi" w:hAnsiTheme="majorBidi" w:cstheme="majorBidi"/>
          <w:bCs/>
          <w:color w:val="000000"/>
          <w14:scene3d>
            <w14:camera w14:prst="orthographicFront"/>
            <w14:lightRig w14:rig="threePt" w14:dir="t">
              <w14:rot w14:lat="0" w14:lon="0" w14:rev="0"/>
            </w14:lightRig>
          </w14:scene3d>
        </w:rPr>
        <w:t xml:space="preserve">: </w:t>
      </w:r>
      <w:r w:rsidRPr="00CD5761">
        <w:rPr>
          <w:rFonts w:asciiTheme="majorBidi" w:hAnsiTheme="majorBidi" w:cstheme="majorBidi"/>
          <w:bCs/>
        </w:rPr>
        <w:t>Development of Notional Estate Laws</w:t>
      </w:r>
      <w:r w:rsidRPr="00CD5761">
        <w:rPr>
          <w:rFonts w:asciiTheme="majorBidi" w:hAnsiTheme="majorBidi" w:cstheme="majorBidi"/>
          <w:bCs/>
        </w:rPr>
        <w:tab/>
      </w:r>
      <w:r w:rsidRPr="00CD5761">
        <w:rPr>
          <w:rFonts w:asciiTheme="majorBidi" w:hAnsiTheme="majorBidi" w:cstheme="majorBidi"/>
          <w:bCs/>
        </w:rPr>
        <w:fldChar w:fldCharType="begin"/>
      </w:r>
      <w:r w:rsidRPr="00CD5761">
        <w:rPr>
          <w:rFonts w:asciiTheme="majorBidi" w:hAnsiTheme="majorBidi" w:cstheme="majorBidi"/>
          <w:bCs/>
        </w:rPr>
        <w:instrText xml:space="preserve"> PAGEREF _Toc12268945 \h </w:instrText>
      </w:r>
      <w:r w:rsidRPr="00CD5761">
        <w:rPr>
          <w:rFonts w:asciiTheme="majorBidi" w:hAnsiTheme="majorBidi" w:cstheme="majorBidi"/>
          <w:bCs/>
        </w:rPr>
      </w:r>
      <w:r w:rsidRPr="00CD5761">
        <w:rPr>
          <w:rFonts w:asciiTheme="majorBidi" w:hAnsiTheme="majorBidi" w:cstheme="majorBidi"/>
          <w:bCs/>
        </w:rPr>
        <w:fldChar w:fldCharType="separate"/>
      </w:r>
      <w:r w:rsidR="00CE66A7">
        <w:rPr>
          <w:rFonts w:asciiTheme="majorBidi" w:hAnsiTheme="majorBidi" w:cstheme="majorBidi"/>
          <w:bCs/>
        </w:rPr>
        <w:t>23</w:t>
      </w:r>
      <w:r w:rsidRPr="00CD5761">
        <w:rPr>
          <w:rFonts w:asciiTheme="majorBidi" w:hAnsiTheme="majorBidi" w:cstheme="majorBidi"/>
          <w:bCs/>
        </w:rPr>
        <w:fldChar w:fldCharType="end"/>
      </w:r>
    </w:p>
    <w:p w14:paraId="0ACD85AA" w14:textId="2ED240BE"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3.1</w:t>
      </w:r>
      <w:r w:rsidRPr="00CD5761">
        <w:rPr>
          <w:rFonts w:asciiTheme="majorBidi" w:hAnsiTheme="majorBidi" w:cstheme="majorBidi"/>
          <w:b w:val="0"/>
          <w:noProof/>
        </w:rPr>
        <w:tab/>
        <w:t>Introduction</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_Toc12268946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23</w:t>
      </w:r>
      <w:r w:rsidRPr="00CD5761">
        <w:rPr>
          <w:rFonts w:asciiTheme="majorBidi" w:hAnsiTheme="majorBidi" w:cstheme="majorBidi"/>
          <w:b w:val="0"/>
          <w:noProof/>
        </w:rPr>
        <w:fldChar w:fldCharType="end"/>
      </w:r>
    </w:p>
    <w:p w14:paraId="098D8BE0" w14:textId="53DCC60E"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3.2</w:t>
      </w:r>
      <w:r w:rsidRPr="00CD5761">
        <w:rPr>
          <w:rFonts w:asciiTheme="majorBidi" w:hAnsiTheme="majorBidi" w:cstheme="majorBidi"/>
          <w:b w:val="0"/>
          <w:noProof/>
        </w:rPr>
        <w:tab/>
        <w:t>England and Wales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_Toc12268947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24</w:t>
      </w:r>
      <w:r w:rsidRPr="00CD5761">
        <w:rPr>
          <w:rFonts w:asciiTheme="majorBidi" w:hAnsiTheme="majorBidi" w:cstheme="majorBidi"/>
          <w:b w:val="0"/>
          <w:noProof/>
        </w:rPr>
        <w:fldChar w:fldCharType="end"/>
      </w:r>
    </w:p>
    <w:p w14:paraId="163BBDEF" w14:textId="3B9EECC6"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3.3</w:t>
      </w:r>
      <w:r w:rsidRPr="00CD5761">
        <w:rPr>
          <w:rFonts w:asciiTheme="majorBidi" w:hAnsiTheme="majorBidi" w:cstheme="majorBidi"/>
          <w:b w:val="0"/>
          <w:noProof/>
        </w:rPr>
        <w:tab/>
        <w:t>Scotland</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_Toc12268948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31</w:t>
      </w:r>
      <w:r w:rsidRPr="00CD5761">
        <w:rPr>
          <w:rFonts w:asciiTheme="majorBidi" w:hAnsiTheme="majorBidi" w:cstheme="majorBidi"/>
          <w:b w:val="0"/>
          <w:noProof/>
        </w:rPr>
        <w:fldChar w:fldCharType="end"/>
      </w:r>
    </w:p>
    <w:p w14:paraId="0CF23E16" w14:textId="00FF1883"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3.4</w:t>
      </w:r>
      <w:r w:rsidRPr="00CD5761">
        <w:rPr>
          <w:rFonts w:asciiTheme="majorBidi" w:hAnsiTheme="majorBidi" w:cstheme="majorBidi"/>
          <w:b w:val="0"/>
          <w:noProof/>
        </w:rPr>
        <w:tab/>
        <w:t>Canada</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_Toc12268949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32</w:t>
      </w:r>
      <w:r w:rsidRPr="00CD5761">
        <w:rPr>
          <w:rFonts w:asciiTheme="majorBidi" w:hAnsiTheme="majorBidi" w:cstheme="majorBidi"/>
          <w:b w:val="0"/>
          <w:noProof/>
        </w:rPr>
        <w:fldChar w:fldCharType="end"/>
      </w:r>
    </w:p>
    <w:p w14:paraId="444497AD" w14:textId="44BF15C2"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3.5</w:t>
      </w:r>
      <w:r w:rsidRPr="00CD5761">
        <w:rPr>
          <w:rFonts w:asciiTheme="majorBidi" w:hAnsiTheme="majorBidi" w:cstheme="majorBidi"/>
          <w:b w:val="0"/>
          <w:noProof/>
        </w:rPr>
        <w:tab/>
        <w:t>New Zealand</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_Toc12268950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37</w:t>
      </w:r>
      <w:r w:rsidRPr="00CD5761">
        <w:rPr>
          <w:rFonts w:asciiTheme="majorBidi" w:hAnsiTheme="majorBidi" w:cstheme="majorBidi"/>
          <w:b w:val="0"/>
          <w:noProof/>
        </w:rPr>
        <w:fldChar w:fldCharType="end"/>
      </w:r>
    </w:p>
    <w:p w14:paraId="167B9ED8" w14:textId="69AAB0AF"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3.6</w:t>
      </w:r>
      <w:r w:rsidRPr="00CD5761">
        <w:rPr>
          <w:rFonts w:asciiTheme="majorBidi" w:hAnsiTheme="majorBidi" w:cstheme="majorBidi"/>
          <w:b w:val="0"/>
          <w:noProof/>
        </w:rPr>
        <w:tab/>
        <w:t>United States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_Toc12268951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41</w:t>
      </w:r>
      <w:r w:rsidRPr="00CD5761">
        <w:rPr>
          <w:rFonts w:asciiTheme="majorBidi" w:hAnsiTheme="majorBidi" w:cstheme="majorBidi"/>
          <w:b w:val="0"/>
          <w:noProof/>
        </w:rPr>
        <w:fldChar w:fldCharType="end"/>
      </w:r>
    </w:p>
    <w:p w14:paraId="1F897387" w14:textId="10E3C1DF"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3.7</w:t>
      </w:r>
      <w:r w:rsidRPr="00CD5761">
        <w:rPr>
          <w:rFonts w:asciiTheme="majorBidi" w:hAnsiTheme="majorBidi" w:cstheme="majorBidi"/>
          <w:b w:val="0"/>
          <w:noProof/>
        </w:rPr>
        <w:tab/>
        <w:t>Australia</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_Toc12268952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41</w:t>
      </w:r>
      <w:r w:rsidRPr="00CD5761">
        <w:rPr>
          <w:rFonts w:asciiTheme="majorBidi" w:hAnsiTheme="majorBidi" w:cstheme="majorBidi"/>
          <w:b w:val="0"/>
          <w:noProof/>
        </w:rPr>
        <w:fldChar w:fldCharType="end"/>
      </w:r>
    </w:p>
    <w:p w14:paraId="63A4FC55" w14:textId="3C19AB45" w:rsidR="008D6F74" w:rsidRPr="00CD5761" w:rsidRDefault="008D6F74">
      <w:pPr>
        <w:pStyle w:val="TOC1"/>
        <w:rPr>
          <w:rFonts w:asciiTheme="majorBidi" w:hAnsiTheme="majorBidi" w:cstheme="majorBidi"/>
          <w:bCs/>
        </w:rPr>
      </w:pPr>
      <w:r w:rsidRPr="00CD5761">
        <w:rPr>
          <w:rFonts w:asciiTheme="majorBidi" w:hAnsiTheme="majorBidi" w:cstheme="majorBidi"/>
          <w:bCs/>
          <w:color w:val="000000"/>
          <w14:scene3d>
            <w14:camera w14:prst="orthographicFront"/>
            <w14:lightRig w14:rig="threePt" w14:dir="t">
              <w14:rot w14:lat="0" w14:lon="0" w14:rev="0"/>
            </w14:lightRig>
          </w14:scene3d>
        </w:rPr>
        <w:t>Part 4</w:t>
      </w:r>
      <w:r w:rsidR="001C1DC6" w:rsidRPr="00CD5761">
        <w:rPr>
          <w:rFonts w:asciiTheme="majorBidi" w:hAnsiTheme="majorBidi" w:cstheme="majorBidi"/>
          <w:bCs/>
          <w:color w:val="000000"/>
          <w14:scene3d>
            <w14:camera w14:prst="orthographicFront"/>
            <w14:lightRig w14:rig="threePt" w14:dir="t">
              <w14:rot w14:lat="0" w14:lon="0" w14:rev="0"/>
            </w14:lightRig>
          </w14:scene3d>
        </w:rPr>
        <w:t xml:space="preserve">: </w:t>
      </w:r>
      <w:r w:rsidRPr="00CD5761">
        <w:rPr>
          <w:rFonts w:asciiTheme="majorBidi" w:hAnsiTheme="majorBidi" w:cstheme="majorBidi"/>
          <w:bCs/>
        </w:rPr>
        <w:t>New South Wales Notional Estate Laws</w:t>
      </w:r>
      <w:r w:rsidRPr="00CD5761">
        <w:rPr>
          <w:rFonts w:asciiTheme="majorBidi" w:hAnsiTheme="majorBidi" w:cstheme="majorBidi"/>
          <w:bCs/>
        </w:rPr>
        <w:tab/>
      </w:r>
      <w:r w:rsidRPr="00CD5761">
        <w:rPr>
          <w:rFonts w:asciiTheme="majorBidi" w:hAnsiTheme="majorBidi" w:cstheme="majorBidi"/>
          <w:bCs/>
        </w:rPr>
        <w:fldChar w:fldCharType="begin"/>
      </w:r>
      <w:r w:rsidRPr="00CD5761">
        <w:rPr>
          <w:rFonts w:asciiTheme="majorBidi" w:hAnsiTheme="majorBidi" w:cstheme="majorBidi"/>
          <w:bCs/>
        </w:rPr>
        <w:instrText xml:space="preserve"> PAGEREF _Toc12268954 \h </w:instrText>
      </w:r>
      <w:r w:rsidRPr="00CD5761">
        <w:rPr>
          <w:rFonts w:asciiTheme="majorBidi" w:hAnsiTheme="majorBidi" w:cstheme="majorBidi"/>
          <w:bCs/>
        </w:rPr>
      </w:r>
      <w:r w:rsidRPr="00CD5761">
        <w:rPr>
          <w:rFonts w:asciiTheme="majorBidi" w:hAnsiTheme="majorBidi" w:cstheme="majorBidi"/>
          <w:bCs/>
        </w:rPr>
        <w:fldChar w:fldCharType="separate"/>
      </w:r>
      <w:r w:rsidR="00CE66A7">
        <w:rPr>
          <w:rFonts w:asciiTheme="majorBidi" w:hAnsiTheme="majorBidi" w:cstheme="majorBidi"/>
          <w:bCs/>
        </w:rPr>
        <w:t>49</w:t>
      </w:r>
      <w:r w:rsidRPr="00CD5761">
        <w:rPr>
          <w:rFonts w:asciiTheme="majorBidi" w:hAnsiTheme="majorBidi" w:cstheme="majorBidi"/>
          <w:bCs/>
        </w:rPr>
        <w:fldChar w:fldCharType="end"/>
      </w:r>
    </w:p>
    <w:p w14:paraId="4B712783" w14:textId="1C44C767"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iCs/>
          <w:noProof/>
        </w:rPr>
        <w:t>4.1</w:t>
      </w:r>
      <w:r w:rsidRPr="00CD5761">
        <w:rPr>
          <w:rFonts w:asciiTheme="majorBidi" w:hAnsiTheme="majorBidi" w:cstheme="majorBidi"/>
          <w:b w:val="0"/>
          <w:noProof/>
        </w:rPr>
        <w:tab/>
        <w:t>Introduction</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_Toc12268955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49</w:t>
      </w:r>
      <w:r w:rsidRPr="00CD5761">
        <w:rPr>
          <w:rFonts w:asciiTheme="majorBidi" w:hAnsiTheme="majorBidi" w:cstheme="majorBidi"/>
          <w:b w:val="0"/>
          <w:noProof/>
        </w:rPr>
        <w:fldChar w:fldCharType="end"/>
      </w:r>
    </w:p>
    <w:p w14:paraId="4F05B63D" w14:textId="1763CD91"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lastRenderedPageBreak/>
        <w:t>4.2</w:t>
      </w:r>
      <w:r w:rsidRPr="00CD5761">
        <w:rPr>
          <w:rFonts w:asciiTheme="majorBidi" w:hAnsiTheme="majorBidi" w:cstheme="majorBidi"/>
          <w:b w:val="0"/>
          <w:noProof/>
        </w:rPr>
        <w:tab/>
        <w:t>Background</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_Toc12268956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49</w:t>
      </w:r>
      <w:r w:rsidRPr="00CD5761">
        <w:rPr>
          <w:rFonts w:asciiTheme="majorBidi" w:hAnsiTheme="majorBidi" w:cstheme="majorBidi"/>
          <w:b w:val="0"/>
          <w:noProof/>
        </w:rPr>
        <w:fldChar w:fldCharType="end"/>
      </w:r>
    </w:p>
    <w:p w14:paraId="292D2059" w14:textId="14AB71AB"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4.3</w:t>
      </w:r>
      <w:r w:rsidRPr="00CD5761">
        <w:rPr>
          <w:rFonts w:asciiTheme="majorBidi" w:hAnsiTheme="majorBidi" w:cstheme="majorBidi"/>
          <w:b w:val="0"/>
          <w:noProof/>
        </w:rPr>
        <w:tab/>
        <w:t xml:space="preserve">Part 3.3 of the NSW </w:t>
      </w:r>
      <w:r w:rsidRPr="00CD5761">
        <w:rPr>
          <w:rFonts w:asciiTheme="majorBidi" w:hAnsiTheme="majorBidi" w:cstheme="majorBidi"/>
          <w:b w:val="0"/>
          <w:i/>
          <w:iCs/>
          <w:noProof/>
        </w:rPr>
        <w:t>Succession Act</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_Toc12268957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52</w:t>
      </w:r>
      <w:r w:rsidRPr="00CD5761">
        <w:rPr>
          <w:rFonts w:asciiTheme="majorBidi" w:hAnsiTheme="majorBidi" w:cstheme="majorBidi"/>
          <w:b w:val="0"/>
          <w:noProof/>
        </w:rPr>
        <w:fldChar w:fldCharType="end"/>
      </w:r>
    </w:p>
    <w:p w14:paraId="433EB62C" w14:textId="431D2E41"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4.4</w:t>
      </w:r>
      <w:r w:rsidRPr="00CD5761">
        <w:rPr>
          <w:rFonts w:asciiTheme="majorBidi" w:hAnsiTheme="majorBidi" w:cstheme="majorBidi"/>
          <w:b w:val="0"/>
          <w:noProof/>
        </w:rPr>
        <w:tab/>
        <w:t>When the court may make a notional estate order</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_Toc12268958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53</w:t>
      </w:r>
      <w:r w:rsidRPr="00CD5761">
        <w:rPr>
          <w:rFonts w:asciiTheme="majorBidi" w:hAnsiTheme="majorBidi" w:cstheme="majorBidi"/>
          <w:b w:val="0"/>
          <w:noProof/>
        </w:rPr>
        <w:fldChar w:fldCharType="end"/>
      </w:r>
    </w:p>
    <w:p w14:paraId="57DF8688" w14:textId="5E314F11"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4.5</w:t>
      </w:r>
      <w:r w:rsidRPr="00CD5761">
        <w:rPr>
          <w:rFonts w:asciiTheme="majorBidi" w:hAnsiTheme="majorBidi" w:cstheme="majorBidi"/>
          <w:b w:val="0"/>
          <w:noProof/>
        </w:rPr>
        <w:tab/>
        <w:t>Effect of notional estate order</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_Toc12268959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60</w:t>
      </w:r>
      <w:r w:rsidRPr="00CD5761">
        <w:rPr>
          <w:rFonts w:asciiTheme="majorBidi" w:hAnsiTheme="majorBidi" w:cstheme="majorBidi"/>
          <w:b w:val="0"/>
          <w:noProof/>
        </w:rPr>
        <w:fldChar w:fldCharType="end"/>
      </w:r>
    </w:p>
    <w:p w14:paraId="3538F35D" w14:textId="07716D81"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4.6</w:t>
      </w:r>
      <w:r w:rsidRPr="00CD5761">
        <w:rPr>
          <w:rFonts w:asciiTheme="majorBidi" w:hAnsiTheme="majorBidi" w:cstheme="majorBidi"/>
          <w:b w:val="0"/>
          <w:noProof/>
        </w:rPr>
        <w:tab/>
        <w:t>Critique of New South Wales’ notional estate laws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_Toc12268960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60</w:t>
      </w:r>
      <w:r w:rsidRPr="00CD5761">
        <w:rPr>
          <w:rFonts w:asciiTheme="majorBidi" w:hAnsiTheme="majorBidi" w:cstheme="majorBidi"/>
          <w:b w:val="0"/>
          <w:noProof/>
        </w:rPr>
        <w:fldChar w:fldCharType="end"/>
      </w:r>
    </w:p>
    <w:p w14:paraId="64DCF619" w14:textId="2270F5E1"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4.7</w:t>
      </w:r>
      <w:r w:rsidRPr="00CD5761">
        <w:rPr>
          <w:rFonts w:asciiTheme="majorBidi" w:hAnsiTheme="majorBidi" w:cstheme="majorBidi"/>
          <w:b w:val="0"/>
          <w:noProof/>
        </w:rPr>
        <w:tab/>
        <w:t>Summary</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_Toc12268961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61</w:t>
      </w:r>
      <w:r w:rsidRPr="00CD5761">
        <w:rPr>
          <w:rFonts w:asciiTheme="majorBidi" w:hAnsiTheme="majorBidi" w:cstheme="majorBidi"/>
          <w:b w:val="0"/>
          <w:noProof/>
        </w:rPr>
        <w:fldChar w:fldCharType="end"/>
      </w:r>
    </w:p>
    <w:p w14:paraId="46AE4D34" w14:textId="1BC6B03D" w:rsidR="008D6F74" w:rsidRPr="00CD5761" w:rsidRDefault="008D6F74">
      <w:pPr>
        <w:pStyle w:val="TOC1"/>
        <w:rPr>
          <w:rFonts w:asciiTheme="majorBidi" w:hAnsiTheme="majorBidi" w:cstheme="majorBidi"/>
          <w:bCs/>
        </w:rPr>
      </w:pPr>
      <w:r w:rsidRPr="00CD5761">
        <w:rPr>
          <w:rFonts w:asciiTheme="majorBidi" w:hAnsiTheme="majorBidi" w:cstheme="majorBidi"/>
          <w:bCs/>
          <w:color w:val="000000"/>
          <w14:scene3d>
            <w14:camera w14:prst="orthographicFront"/>
            <w14:lightRig w14:rig="threePt" w14:dir="t">
              <w14:rot w14:lat="0" w14:lon="0" w14:rev="0"/>
            </w14:lightRig>
          </w14:scene3d>
        </w:rPr>
        <w:t>Part 5</w:t>
      </w:r>
      <w:r w:rsidR="001C1DC6" w:rsidRPr="00CD5761">
        <w:rPr>
          <w:rFonts w:asciiTheme="majorBidi" w:hAnsiTheme="majorBidi" w:cstheme="majorBidi"/>
          <w:bCs/>
          <w:color w:val="000000"/>
          <w14:scene3d>
            <w14:camera w14:prst="orthographicFront"/>
            <w14:lightRig w14:rig="threePt" w14:dir="t">
              <w14:rot w14:lat="0" w14:lon="0" w14:rev="0"/>
            </w14:lightRig>
          </w14:scene3d>
        </w:rPr>
        <w:t xml:space="preserve">: </w:t>
      </w:r>
      <w:r w:rsidRPr="00CD5761">
        <w:rPr>
          <w:rFonts w:asciiTheme="majorBidi" w:hAnsiTheme="majorBidi" w:cstheme="majorBidi"/>
          <w:bCs/>
        </w:rPr>
        <w:t>Should Tasmania Introduce Notional Estate Laws?</w:t>
      </w:r>
      <w:r w:rsidRPr="00CD5761">
        <w:rPr>
          <w:rFonts w:asciiTheme="majorBidi" w:hAnsiTheme="majorBidi" w:cstheme="majorBidi"/>
          <w:bCs/>
        </w:rPr>
        <w:tab/>
      </w:r>
      <w:r w:rsidRPr="00CD5761">
        <w:rPr>
          <w:rFonts w:asciiTheme="majorBidi" w:hAnsiTheme="majorBidi" w:cstheme="majorBidi"/>
          <w:bCs/>
        </w:rPr>
        <w:fldChar w:fldCharType="begin"/>
      </w:r>
      <w:r w:rsidRPr="00CD5761">
        <w:rPr>
          <w:rFonts w:asciiTheme="majorBidi" w:hAnsiTheme="majorBidi" w:cstheme="majorBidi"/>
          <w:bCs/>
        </w:rPr>
        <w:instrText xml:space="preserve"> PAGEREF _Toc12268963 \h </w:instrText>
      </w:r>
      <w:r w:rsidRPr="00CD5761">
        <w:rPr>
          <w:rFonts w:asciiTheme="majorBidi" w:hAnsiTheme="majorBidi" w:cstheme="majorBidi"/>
          <w:bCs/>
        </w:rPr>
      </w:r>
      <w:r w:rsidRPr="00CD5761">
        <w:rPr>
          <w:rFonts w:asciiTheme="majorBidi" w:hAnsiTheme="majorBidi" w:cstheme="majorBidi"/>
          <w:bCs/>
        </w:rPr>
        <w:fldChar w:fldCharType="separate"/>
      </w:r>
      <w:r w:rsidR="00CE66A7">
        <w:rPr>
          <w:rFonts w:asciiTheme="majorBidi" w:hAnsiTheme="majorBidi" w:cstheme="majorBidi"/>
          <w:bCs/>
        </w:rPr>
        <w:t>62</w:t>
      </w:r>
      <w:r w:rsidRPr="00CD5761">
        <w:rPr>
          <w:rFonts w:asciiTheme="majorBidi" w:hAnsiTheme="majorBidi" w:cstheme="majorBidi"/>
          <w:bCs/>
        </w:rPr>
        <w:fldChar w:fldCharType="end"/>
      </w:r>
    </w:p>
    <w:p w14:paraId="27D4A6F3" w14:textId="002ABBAA"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5.1</w:t>
      </w:r>
      <w:r w:rsidRPr="00CD5761">
        <w:rPr>
          <w:rFonts w:asciiTheme="majorBidi" w:hAnsiTheme="majorBidi" w:cstheme="majorBidi"/>
          <w:b w:val="0"/>
          <w:noProof/>
        </w:rPr>
        <w:tab/>
        <w:t>Introduction</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_Toc12268964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62</w:t>
      </w:r>
      <w:r w:rsidRPr="00CD5761">
        <w:rPr>
          <w:rFonts w:asciiTheme="majorBidi" w:hAnsiTheme="majorBidi" w:cstheme="majorBidi"/>
          <w:b w:val="0"/>
          <w:noProof/>
        </w:rPr>
        <w:fldChar w:fldCharType="end"/>
      </w:r>
    </w:p>
    <w:p w14:paraId="241570B3" w14:textId="563AF017"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5.2</w:t>
      </w:r>
      <w:r w:rsidRPr="00CD5761">
        <w:rPr>
          <w:rFonts w:asciiTheme="majorBidi" w:hAnsiTheme="majorBidi" w:cstheme="majorBidi"/>
          <w:b w:val="0"/>
          <w:noProof/>
        </w:rPr>
        <w:tab/>
        <w:t>Is there a problem?</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_Toc12268965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62</w:t>
      </w:r>
      <w:r w:rsidRPr="00CD5761">
        <w:rPr>
          <w:rFonts w:asciiTheme="majorBidi" w:hAnsiTheme="majorBidi" w:cstheme="majorBidi"/>
          <w:b w:val="0"/>
          <w:noProof/>
        </w:rPr>
        <w:fldChar w:fldCharType="end"/>
      </w:r>
    </w:p>
    <w:p w14:paraId="6591543F" w14:textId="2239AEC6"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5.3</w:t>
      </w:r>
      <w:r w:rsidRPr="00CD5761">
        <w:rPr>
          <w:rFonts w:asciiTheme="majorBidi" w:hAnsiTheme="majorBidi" w:cstheme="majorBidi"/>
          <w:b w:val="0"/>
          <w:noProof/>
        </w:rPr>
        <w:tab/>
        <w:t>Potential issues with notional estate provisions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_Toc12268966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73</w:t>
      </w:r>
      <w:r w:rsidRPr="00CD5761">
        <w:rPr>
          <w:rFonts w:asciiTheme="majorBidi" w:hAnsiTheme="majorBidi" w:cstheme="majorBidi"/>
          <w:b w:val="0"/>
          <w:noProof/>
        </w:rPr>
        <w:fldChar w:fldCharType="end"/>
      </w:r>
    </w:p>
    <w:p w14:paraId="1359F132" w14:textId="0AFE6116"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5.4</w:t>
      </w:r>
      <w:r w:rsidRPr="00CD5761">
        <w:rPr>
          <w:rFonts w:asciiTheme="majorBidi" w:hAnsiTheme="majorBidi" w:cstheme="majorBidi"/>
          <w:b w:val="0"/>
          <w:noProof/>
        </w:rPr>
        <w:tab/>
        <w:t>Should Tasmania introduce notional estate legislation?</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_Toc12268967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76</w:t>
      </w:r>
      <w:r w:rsidRPr="00CD5761">
        <w:rPr>
          <w:rFonts w:asciiTheme="majorBidi" w:hAnsiTheme="majorBidi" w:cstheme="majorBidi"/>
          <w:b w:val="0"/>
          <w:noProof/>
        </w:rPr>
        <w:fldChar w:fldCharType="end"/>
      </w:r>
    </w:p>
    <w:p w14:paraId="7C86CBC0" w14:textId="1D594231"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5.5</w:t>
      </w:r>
      <w:r w:rsidRPr="00CD5761">
        <w:rPr>
          <w:rFonts w:asciiTheme="majorBidi" w:hAnsiTheme="majorBidi" w:cstheme="majorBidi"/>
          <w:b w:val="0"/>
          <w:noProof/>
        </w:rPr>
        <w:tab/>
        <w:t>Arguments against notional estate provisions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_Toc12268968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77</w:t>
      </w:r>
      <w:r w:rsidRPr="00CD5761">
        <w:rPr>
          <w:rFonts w:asciiTheme="majorBidi" w:hAnsiTheme="majorBidi" w:cstheme="majorBidi"/>
          <w:b w:val="0"/>
          <w:noProof/>
        </w:rPr>
        <w:fldChar w:fldCharType="end"/>
      </w:r>
    </w:p>
    <w:p w14:paraId="5A43749E" w14:textId="1C1D8BF5"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5.6</w:t>
      </w:r>
      <w:r w:rsidRPr="00CD5761">
        <w:rPr>
          <w:rFonts w:asciiTheme="majorBidi" w:hAnsiTheme="majorBidi" w:cstheme="majorBidi"/>
          <w:b w:val="0"/>
          <w:noProof/>
        </w:rPr>
        <w:tab/>
        <w:t>Arguments in support of notional estate provisions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_Toc12268969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106</w:t>
      </w:r>
      <w:r w:rsidRPr="00CD5761">
        <w:rPr>
          <w:rFonts w:asciiTheme="majorBidi" w:hAnsiTheme="majorBidi" w:cstheme="majorBidi"/>
          <w:b w:val="0"/>
          <w:noProof/>
        </w:rPr>
        <w:fldChar w:fldCharType="end"/>
      </w:r>
    </w:p>
    <w:p w14:paraId="68DDB294" w14:textId="696F078D"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5.7</w:t>
      </w:r>
      <w:r w:rsidRPr="00CD5761">
        <w:rPr>
          <w:rFonts w:asciiTheme="majorBidi" w:hAnsiTheme="majorBidi" w:cstheme="majorBidi"/>
          <w:b w:val="0"/>
          <w:noProof/>
        </w:rPr>
        <w:tab/>
        <w:t>The New South Wales provisions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_Toc12268970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120</w:t>
      </w:r>
      <w:r w:rsidRPr="00CD5761">
        <w:rPr>
          <w:rFonts w:asciiTheme="majorBidi" w:hAnsiTheme="majorBidi" w:cstheme="majorBidi"/>
          <w:b w:val="0"/>
          <w:noProof/>
        </w:rPr>
        <w:fldChar w:fldCharType="end"/>
      </w:r>
    </w:p>
    <w:p w14:paraId="1C18C829" w14:textId="7FAF8F8D"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5.8</w:t>
      </w:r>
      <w:r w:rsidRPr="00CD5761">
        <w:rPr>
          <w:rFonts w:asciiTheme="majorBidi" w:hAnsiTheme="majorBidi" w:cstheme="majorBidi"/>
          <w:b w:val="0"/>
          <w:noProof/>
        </w:rPr>
        <w:tab/>
        <w:t>Other matters</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_Toc12268971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127</w:t>
      </w:r>
      <w:r w:rsidRPr="00CD5761">
        <w:rPr>
          <w:rFonts w:asciiTheme="majorBidi" w:hAnsiTheme="majorBidi" w:cstheme="majorBidi"/>
          <w:b w:val="0"/>
          <w:noProof/>
        </w:rPr>
        <w:fldChar w:fldCharType="end"/>
      </w:r>
    </w:p>
    <w:p w14:paraId="7DC3920D" w14:textId="16EFFE9E" w:rsidR="008D6F74" w:rsidRPr="00CD5761" w:rsidRDefault="008D6F74" w:rsidP="00E16DB6">
      <w:pPr>
        <w:pStyle w:val="TOC2"/>
        <w:tabs>
          <w:tab w:val="left" w:pos="709"/>
          <w:tab w:val="right" w:leader="dot" w:pos="9016"/>
        </w:tabs>
        <w:spacing w:before="40" w:after="40"/>
        <w:ind w:left="238"/>
        <w:rPr>
          <w:rFonts w:asciiTheme="majorBidi" w:hAnsiTheme="majorBidi" w:cstheme="majorBidi"/>
          <w:b w:val="0"/>
          <w:noProof/>
        </w:rPr>
      </w:pPr>
      <w:r w:rsidRPr="00CD5761">
        <w:rPr>
          <w:rFonts w:asciiTheme="majorBidi" w:hAnsiTheme="majorBidi" w:cstheme="majorBidi"/>
          <w:b w:val="0"/>
          <w:noProof/>
        </w:rPr>
        <w:t>5.9</w:t>
      </w:r>
      <w:r w:rsidRPr="00CD5761">
        <w:rPr>
          <w:rFonts w:asciiTheme="majorBidi" w:hAnsiTheme="majorBidi" w:cstheme="majorBidi"/>
          <w:b w:val="0"/>
          <w:noProof/>
        </w:rPr>
        <w:tab/>
        <w:t>Conclusion and recommendation</w:t>
      </w:r>
      <w:r w:rsidRPr="00CD5761">
        <w:rPr>
          <w:rFonts w:asciiTheme="majorBidi" w:hAnsiTheme="majorBidi" w:cstheme="majorBidi"/>
          <w:b w:val="0"/>
          <w:noProof/>
        </w:rPr>
        <w:tab/>
      </w:r>
      <w:r w:rsidRPr="00CD5761">
        <w:rPr>
          <w:rFonts w:asciiTheme="majorBidi" w:hAnsiTheme="majorBidi" w:cstheme="majorBidi"/>
          <w:b w:val="0"/>
          <w:noProof/>
        </w:rPr>
        <w:fldChar w:fldCharType="begin"/>
      </w:r>
      <w:r w:rsidRPr="00CD5761">
        <w:rPr>
          <w:rFonts w:asciiTheme="majorBidi" w:hAnsiTheme="majorBidi" w:cstheme="majorBidi"/>
          <w:b w:val="0"/>
          <w:noProof/>
        </w:rPr>
        <w:instrText xml:space="preserve"> PAGEREF _Toc12268972 \h </w:instrText>
      </w:r>
      <w:r w:rsidRPr="00CD5761">
        <w:rPr>
          <w:rFonts w:asciiTheme="majorBidi" w:hAnsiTheme="majorBidi" w:cstheme="majorBidi"/>
          <w:b w:val="0"/>
          <w:noProof/>
        </w:rPr>
      </w:r>
      <w:r w:rsidRPr="00CD5761">
        <w:rPr>
          <w:rFonts w:asciiTheme="majorBidi" w:hAnsiTheme="majorBidi" w:cstheme="majorBidi"/>
          <w:b w:val="0"/>
          <w:noProof/>
        </w:rPr>
        <w:fldChar w:fldCharType="separate"/>
      </w:r>
      <w:r w:rsidR="00CE66A7">
        <w:rPr>
          <w:rFonts w:asciiTheme="majorBidi" w:hAnsiTheme="majorBidi" w:cstheme="majorBidi"/>
          <w:b w:val="0"/>
          <w:noProof/>
        </w:rPr>
        <w:t>129</w:t>
      </w:r>
      <w:r w:rsidRPr="00CD5761">
        <w:rPr>
          <w:rFonts w:asciiTheme="majorBidi" w:hAnsiTheme="majorBidi" w:cstheme="majorBidi"/>
          <w:b w:val="0"/>
          <w:noProof/>
        </w:rPr>
        <w:fldChar w:fldCharType="end"/>
      </w:r>
    </w:p>
    <w:p w14:paraId="52C6EFA9" w14:textId="14B8A196" w:rsidR="008D6F74" w:rsidRPr="00CD5761" w:rsidRDefault="008D6F74" w:rsidP="00E16DB6">
      <w:pPr>
        <w:pStyle w:val="TOC1"/>
        <w:spacing w:beforeLines="40" w:before="96" w:after="40"/>
        <w:rPr>
          <w:rFonts w:asciiTheme="majorBidi" w:hAnsiTheme="majorBidi" w:cstheme="majorBidi"/>
          <w:b w:val="0"/>
        </w:rPr>
      </w:pPr>
      <w:r w:rsidRPr="00CD5761">
        <w:rPr>
          <w:rFonts w:asciiTheme="majorBidi" w:hAnsiTheme="majorBidi" w:cstheme="majorBidi"/>
          <w:b w:val="0"/>
        </w:rPr>
        <w:t>Appendix 1: ‘Notional estate’ style provisions – New South Wales and England and Wales</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_Toc12268973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139</w:t>
      </w:r>
      <w:r w:rsidRPr="00CD5761">
        <w:rPr>
          <w:rFonts w:asciiTheme="majorBidi" w:hAnsiTheme="majorBidi" w:cstheme="majorBidi"/>
          <w:b w:val="0"/>
        </w:rPr>
        <w:fldChar w:fldCharType="end"/>
      </w:r>
    </w:p>
    <w:p w14:paraId="34E518D0" w14:textId="65B97863" w:rsidR="008D6F74" w:rsidRPr="00CD5761" w:rsidRDefault="008D6F74" w:rsidP="00E16DB6">
      <w:pPr>
        <w:pStyle w:val="TOC1"/>
        <w:spacing w:beforeLines="40" w:before="96" w:after="40"/>
        <w:rPr>
          <w:rFonts w:asciiTheme="majorBidi" w:hAnsiTheme="majorBidi" w:cstheme="majorBidi"/>
          <w:b w:val="0"/>
        </w:rPr>
      </w:pPr>
      <w:r w:rsidRPr="00CD5761">
        <w:rPr>
          <w:rFonts w:asciiTheme="majorBidi" w:hAnsiTheme="majorBidi" w:cstheme="majorBidi"/>
          <w:b w:val="0"/>
        </w:rPr>
        <w:t>Appendix 2: ‘Notional estate’ style provisions in Canada</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_Toc12268974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141</w:t>
      </w:r>
      <w:r w:rsidRPr="00CD5761">
        <w:rPr>
          <w:rFonts w:asciiTheme="majorBidi" w:hAnsiTheme="majorBidi" w:cstheme="majorBidi"/>
          <w:b w:val="0"/>
        </w:rPr>
        <w:fldChar w:fldCharType="end"/>
      </w:r>
    </w:p>
    <w:p w14:paraId="53F5A50D" w14:textId="69D7DD0B" w:rsidR="008D6F74" w:rsidRPr="00CD5761" w:rsidRDefault="008D6F74" w:rsidP="00E16DB6">
      <w:pPr>
        <w:pStyle w:val="TOC1"/>
        <w:spacing w:beforeLines="40" w:before="96" w:after="40"/>
        <w:rPr>
          <w:rFonts w:asciiTheme="majorBidi" w:hAnsiTheme="majorBidi" w:cstheme="majorBidi"/>
          <w:b w:val="0"/>
        </w:rPr>
      </w:pPr>
      <w:r w:rsidRPr="00CD5761">
        <w:rPr>
          <w:rFonts w:asciiTheme="majorBidi" w:hAnsiTheme="majorBidi" w:cstheme="majorBidi"/>
          <w:b w:val="0"/>
        </w:rPr>
        <w:t>Appendix 3: Reported Tasmanian Family Provision Decisions, April 2009 to April 2019</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_Toc12268975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149</w:t>
      </w:r>
      <w:r w:rsidRPr="00CD5761">
        <w:rPr>
          <w:rFonts w:asciiTheme="majorBidi" w:hAnsiTheme="majorBidi" w:cstheme="majorBidi"/>
          <w:b w:val="0"/>
        </w:rPr>
        <w:fldChar w:fldCharType="end"/>
      </w:r>
    </w:p>
    <w:p w14:paraId="11C9B420" w14:textId="7288E48F" w:rsidR="008D6F74" w:rsidRPr="00CD5761" w:rsidRDefault="008D6F74" w:rsidP="00E16DB6">
      <w:pPr>
        <w:pStyle w:val="TOC1"/>
        <w:spacing w:beforeLines="40" w:before="96" w:after="40"/>
        <w:rPr>
          <w:rFonts w:asciiTheme="majorBidi" w:hAnsiTheme="majorBidi" w:cstheme="majorBidi"/>
          <w:b w:val="0"/>
        </w:rPr>
      </w:pPr>
      <w:r w:rsidRPr="00CD5761">
        <w:rPr>
          <w:rFonts w:asciiTheme="majorBidi" w:hAnsiTheme="majorBidi" w:cstheme="majorBidi"/>
          <w:b w:val="0"/>
        </w:rPr>
        <w:t>Appendix 4: Reported New South Wales decisions involving potential notional estate April 2018 to April 2019</w:t>
      </w:r>
      <w:r w:rsidRPr="00CD5761">
        <w:rPr>
          <w:rFonts w:asciiTheme="majorBidi" w:hAnsiTheme="majorBidi" w:cstheme="majorBidi"/>
          <w:b w:val="0"/>
        </w:rPr>
        <w:tab/>
      </w:r>
      <w:r w:rsidRPr="00CD5761">
        <w:rPr>
          <w:rFonts w:asciiTheme="majorBidi" w:hAnsiTheme="majorBidi" w:cstheme="majorBidi"/>
          <w:b w:val="0"/>
        </w:rPr>
        <w:fldChar w:fldCharType="begin"/>
      </w:r>
      <w:r w:rsidRPr="00CD5761">
        <w:rPr>
          <w:rFonts w:asciiTheme="majorBidi" w:hAnsiTheme="majorBidi" w:cstheme="majorBidi"/>
          <w:b w:val="0"/>
        </w:rPr>
        <w:instrText xml:space="preserve"> PAGEREF _Toc12268976 \h </w:instrText>
      </w:r>
      <w:r w:rsidRPr="00CD5761">
        <w:rPr>
          <w:rFonts w:asciiTheme="majorBidi" w:hAnsiTheme="majorBidi" w:cstheme="majorBidi"/>
          <w:b w:val="0"/>
        </w:rPr>
      </w:r>
      <w:r w:rsidRPr="00CD5761">
        <w:rPr>
          <w:rFonts w:asciiTheme="majorBidi" w:hAnsiTheme="majorBidi" w:cstheme="majorBidi"/>
          <w:b w:val="0"/>
        </w:rPr>
        <w:fldChar w:fldCharType="separate"/>
      </w:r>
      <w:r w:rsidR="00CE66A7">
        <w:rPr>
          <w:rFonts w:asciiTheme="majorBidi" w:hAnsiTheme="majorBidi" w:cstheme="majorBidi"/>
          <w:b w:val="0"/>
        </w:rPr>
        <w:t>155</w:t>
      </w:r>
      <w:r w:rsidRPr="00CD5761">
        <w:rPr>
          <w:rFonts w:asciiTheme="majorBidi" w:hAnsiTheme="majorBidi" w:cstheme="majorBidi"/>
          <w:b w:val="0"/>
        </w:rPr>
        <w:fldChar w:fldCharType="end"/>
      </w:r>
    </w:p>
    <w:p w14:paraId="27C7742E" w14:textId="293C1941" w:rsidR="0092284C" w:rsidRPr="004C5271" w:rsidRDefault="00165678" w:rsidP="0092284C">
      <w:pPr>
        <w:rPr>
          <w:rFonts w:asciiTheme="majorBidi" w:hAnsiTheme="majorBidi" w:cstheme="majorBidi"/>
        </w:rPr>
      </w:pPr>
      <w:r w:rsidRPr="00CD5761">
        <w:rPr>
          <w:rFonts w:asciiTheme="majorBidi" w:hAnsiTheme="majorBidi" w:cstheme="majorBidi"/>
        </w:rPr>
        <w:fldChar w:fldCharType="end"/>
      </w:r>
    </w:p>
    <w:p w14:paraId="3857467E" w14:textId="5519BB59" w:rsidR="00B03267" w:rsidRPr="004C5271" w:rsidRDefault="00B03267" w:rsidP="00165678">
      <w:pPr>
        <w:rPr>
          <w:rFonts w:asciiTheme="majorBidi" w:hAnsiTheme="majorBidi" w:cstheme="majorBidi"/>
        </w:rPr>
      </w:pPr>
    </w:p>
    <w:p w14:paraId="7BEB3298" w14:textId="77777777" w:rsidR="00B03267" w:rsidRPr="004C5271" w:rsidRDefault="00B03267" w:rsidP="00165678">
      <w:pPr>
        <w:rPr>
          <w:rFonts w:asciiTheme="majorBidi" w:hAnsiTheme="majorBidi" w:cstheme="majorBidi"/>
        </w:rPr>
        <w:sectPr w:rsidR="00B03267" w:rsidRPr="004C5271" w:rsidSect="004C5271">
          <w:headerReference w:type="even" r:id="rId19"/>
          <w:headerReference w:type="default" r:id="rId20"/>
          <w:headerReference w:type="first" r:id="rId21"/>
          <w:footerReference w:type="first" r:id="rId22"/>
          <w:pgSz w:w="9979" w:h="14232" w:code="9"/>
          <w:pgMar w:top="1440" w:right="1440" w:bottom="1440" w:left="1440" w:header="709" w:footer="709" w:gutter="0"/>
          <w:pgNumType w:fmt="lowerRoman"/>
          <w:cols w:space="708"/>
          <w:titlePg/>
          <w:docGrid w:linePitch="360"/>
        </w:sectPr>
      </w:pPr>
    </w:p>
    <w:p w14:paraId="7E23A055" w14:textId="77777777" w:rsidR="00334220" w:rsidRPr="004C5271" w:rsidRDefault="00334220" w:rsidP="00F148E9">
      <w:pPr>
        <w:pStyle w:val="NumberlessSectionHeading"/>
        <w:spacing w:before="0"/>
        <w:ind w:right="0"/>
        <w:rPr>
          <w:rFonts w:asciiTheme="majorBidi" w:hAnsiTheme="majorBidi" w:cstheme="majorBidi"/>
        </w:rPr>
      </w:pPr>
      <w:bookmarkStart w:id="4" w:name="_Toc515817985"/>
      <w:bookmarkStart w:id="5" w:name="_Toc519782119"/>
      <w:bookmarkStart w:id="6" w:name="_Toc12268921"/>
      <w:r w:rsidRPr="004C5271">
        <w:rPr>
          <w:rFonts w:asciiTheme="majorBidi" w:hAnsiTheme="majorBidi" w:cstheme="majorBidi"/>
        </w:rPr>
        <w:lastRenderedPageBreak/>
        <w:t>Information about the Tasmania Law Reform Institute</w:t>
      </w:r>
      <w:bookmarkEnd w:id="4"/>
      <w:bookmarkEnd w:id="5"/>
      <w:bookmarkEnd w:id="6"/>
      <w:r w:rsidRPr="004C5271">
        <w:rPr>
          <w:rFonts w:asciiTheme="majorBidi" w:hAnsiTheme="majorBidi" w:cstheme="majorBidi"/>
        </w:rPr>
        <w:t xml:space="preserve"> </w:t>
      </w:r>
    </w:p>
    <w:p w14:paraId="37CAE314" w14:textId="77777777" w:rsidR="00334220" w:rsidRPr="004C5271" w:rsidRDefault="00334220"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The Tasmania Law Reform Institute was established on 23 July 2001 by agreement between the Government of the State of Tasmania, the University of Tasmania and the Law Society of Tasmania. The creation of the Institute was part of a Partnership Agreement between the University and the State government signed in 2000. The Institute is based at the Sandy Bay campus of the University of Tasmania within the Faculty of Law. The Institute undertakes law reform work and research on topics proposed by the government, the community, the University and the Institute itself. </w:t>
      </w:r>
    </w:p>
    <w:p w14:paraId="7D763607" w14:textId="77777777" w:rsidR="00334220" w:rsidRPr="004C5271" w:rsidRDefault="00334220" w:rsidP="00C0478D">
      <w:pPr>
        <w:pStyle w:val="NumberlessNormalText"/>
        <w:rPr>
          <w:rFonts w:asciiTheme="majorBidi" w:hAnsiTheme="majorBidi" w:cstheme="majorBidi"/>
          <w:lang w:val="en-AU"/>
        </w:rPr>
      </w:pPr>
      <w:r w:rsidRPr="004C5271">
        <w:rPr>
          <w:rFonts w:asciiTheme="majorBidi" w:hAnsiTheme="majorBidi" w:cstheme="majorBidi"/>
          <w:lang w:val="en-AU"/>
        </w:rPr>
        <w:t>The work of the Institute involves the review of laws with a view to:</w:t>
      </w:r>
    </w:p>
    <w:p w14:paraId="3B039A7D" w14:textId="77777777" w:rsidR="00334220" w:rsidRPr="004C5271" w:rsidRDefault="00334220" w:rsidP="000F2AEC">
      <w:pPr>
        <w:pStyle w:val="ListParagraph"/>
        <w:numPr>
          <w:ilvl w:val="0"/>
          <w:numId w:val="10"/>
        </w:numPr>
        <w:spacing w:before="120" w:after="120"/>
        <w:ind w:left="709" w:hanging="425"/>
        <w:jc w:val="both"/>
        <w:rPr>
          <w:rFonts w:asciiTheme="majorBidi" w:eastAsia="Times New Roman" w:hAnsiTheme="majorBidi" w:cstheme="majorBidi"/>
          <w:sz w:val="23"/>
          <w:szCs w:val="23"/>
        </w:rPr>
      </w:pPr>
      <w:r w:rsidRPr="004C5271">
        <w:rPr>
          <w:rFonts w:asciiTheme="majorBidi" w:eastAsia="Times New Roman" w:hAnsiTheme="majorBidi" w:cstheme="majorBidi"/>
          <w:sz w:val="23"/>
          <w:szCs w:val="23"/>
        </w:rPr>
        <w:t>the modernisation of the law</w:t>
      </w:r>
    </w:p>
    <w:p w14:paraId="144A6F46" w14:textId="77777777" w:rsidR="00334220" w:rsidRPr="004C5271" w:rsidRDefault="00334220" w:rsidP="000F2AEC">
      <w:pPr>
        <w:pStyle w:val="ListParagraph"/>
        <w:numPr>
          <w:ilvl w:val="0"/>
          <w:numId w:val="10"/>
        </w:numPr>
        <w:spacing w:before="120" w:after="120"/>
        <w:ind w:left="709" w:hanging="425"/>
        <w:jc w:val="both"/>
        <w:rPr>
          <w:rFonts w:asciiTheme="majorBidi" w:eastAsia="Times New Roman" w:hAnsiTheme="majorBidi" w:cstheme="majorBidi"/>
          <w:sz w:val="23"/>
          <w:szCs w:val="23"/>
        </w:rPr>
      </w:pPr>
      <w:r w:rsidRPr="004C5271">
        <w:rPr>
          <w:rFonts w:asciiTheme="majorBidi" w:eastAsia="Times New Roman" w:hAnsiTheme="majorBidi" w:cstheme="majorBidi"/>
          <w:sz w:val="23"/>
          <w:szCs w:val="23"/>
        </w:rPr>
        <w:t>the elimination of defects in the law</w:t>
      </w:r>
    </w:p>
    <w:p w14:paraId="069B9D4F" w14:textId="77777777" w:rsidR="00334220" w:rsidRPr="004C5271" w:rsidRDefault="00334220" w:rsidP="000F2AEC">
      <w:pPr>
        <w:pStyle w:val="ListParagraph"/>
        <w:numPr>
          <w:ilvl w:val="0"/>
          <w:numId w:val="10"/>
        </w:numPr>
        <w:spacing w:before="120" w:after="120"/>
        <w:ind w:left="709" w:hanging="425"/>
        <w:jc w:val="both"/>
        <w:rPr>
          <w:rFonts w:asciiTheme="majorBidi" w:eastAsia="Times New Roman" w:hAnsiTheme="majorBidi" w:cstheme="majorBidi"/>
          <w:sz w:val="23"/>
          <w:szCs w:val="23"/>
        </w:rPr>
      </w:pPr>
      <w:r w:rsidRPr="004C5271">
        <w:rPr>
          <w:rFonts w:asciiTheme="majorBidi" w:eastAsia="Times New Roman" w:hAnsiTheme="majorBidi" w:cstheme="majorBidi"/>
          <w:sz w:val="23"/>
          <w:szCs w:val="23"/>
        </w:rPr>
        <w:t>the simplification of the law</w:t>
      </w:r>
    </w:p>
    <w:p w14:paraId="1AEEA11D" w14:textId="77777777" w:rsidR="00334220" w:rsidRPr="004C5271" w:rsidRDefault="00334220" w:rsidP="000F2AEC">
      <w:pPr>
        <w:pStyle w:val="ListParagraph"/>
        <w:numPr>
          <w:ilvl w:val="0"/>
          <w:numId w:val="10"/>
        </w:numPr>
        <w:spacing w:before="120" w:after="120"/>
        <w:ind w:left="709" w:hanging="425"/>
        <w:jc w:val="both"/>
        <w:rPr>
          <w:rFonts w:asciiTheme="majorBidi" w:eastAsia="Times New Roman" w:hAnsiTheme="majorBidi" w:cstheme="majorBidi"/>
          <w:sz w:val="23"/>
          <w:szCs w:val="23"/>
        </w:rPr>
      </w:pPr>
      <w:r w:rsidRPr="004C5271">
        <w:rPr>
          <w:rFonts w:asciiTheme="majorBidi" w:eastAsia="Times New Roman" w:hAnsiTheme="majorBidi" w:cstheme="majorBidi"/>
          <w:sz w:val="23"/>
          <w:szCs w:val="23"/>
        </w:rPr>
        <w:t>the consolidation of any laws</w:t>
      </w:r>
    </w:p>
    <w:p w14:paraId="4FA79EF7" w14:textId="77777777" w:rsidR="00334220" w:rsidRPr="004C5271" w:rsidRDefault="00334220" w:rsidP="000F2AEC">
      <w:pPr>
        <w:pStyle w:val="ListParagraph"/>
        <w:numPr>
          <w:ilvl w:val="0"/>
          <w:numId w:val="10"/>
        </w:numPr>
        <w:spacing w:before="120" w:after="120"/>
        <w:ind w:left="709" w:hanging="425"/>
        <w:jc w:val="both"/>
        <w:rPr>
          <w:rFonts w:asciiTheme="majorBidi" w:eastAsia="Times New Roman" w:hAnsiTheme="majorBidi" w:cstheme="majorBidi"/>
          <w:sz w:val="23"/>
          <w:szCs w:val="23"/>
        </w:rPr>
      </w:pPr>
      <w:r w:rsidRPr="004C5271">
        <w:rPr>
          <w:rFonts w:asciiTheme="majorBidi" w:eastAsia="Times New Roman" w:hAnsiTheme="majorBidi" w:cstheme="majorBidi"/>
          <w:sz w:val="23"/>
          <w:szCs w:val="23"/>
        </w:rPr>
        <w:t>the repeal of laws that are obsolete or unnecessary</w:t>
      </w:r>
    </w:p>
    <w:p w14:paraId="6C8A43DE" w14:textId="77777777" w:rsidR="00334220" w:rsidRPr="004C5271" w:rsidRDefault="00334220" w:rsidP="000F2AEC">
      <w:pPr>
        <w:pStyle w:val="ListParagraph"/>
        <w:numPr>
          <w:ilvl w:val="0"/>
          <w:numId w:val="10"/>
        </w:numPr>
        <w:spacing w:before="120" w:after="120"/>
        <w:ind w:left="709" w:hanging="425"/>
        <w:jc w:val="both"/>
        <w:rPr>
          <w:rFonts w:asciiTheme="majorBidi" w:eastAsia="Times New Roman" w:hAnsiTheme="majorBidi" w:cstheme="majorBidi"/>
          <w:sz w:val="23"/>
          <w:szCs w:val="23"/>
        </w:rPr>
      </w:pPr>
      <w:r w:rsidRPr="004C5271">
        <w:rPr>
          <w:rFonts w:asciiTheme="majorBidi" w:eastAsia="Times New Roman" w:hAnsiTheme="majorBidi" w:cstheme="majorBidi"/>
          <w:sz w:val="23"/>
          <w:szCs w:val="23"/>
        </w:rPr>
        <w:t>uniformity between laws of other States and the Commonwealth.</w:t>
      </w:r>
    </w:p>
    <w:p w14:paraId="0F5A8932" w14:textId="29990981" w:rsidR="00334220" w:rsidRPr="004C5271" w:rsidRDefault="00334220"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The Institute’s Director is Associate Professor Terese Henning. The members of the Board of the Institute are Associate Professor Terese Henning (Chair), Professor Tim McCormack (Dean of the Faculty of Law at the University of Tasmania), the Honourable Justice Helen Wood (appointed by the Honourable Chief Justice of Tasmania), Ms Kristy Bourne (appointed by the Attorney-General), </w:t>
      </w:r>
      <w:r w:rsidR="00887711" w:rsidRPr="004C5271">
        <w:rPr>
          <w:rFonts w:asciiTheme="majorBidi" w:hAnsiTheme="majorBidi" w:cstheme="majorBidi"/>
          <w:lang w:val="en-AU"/>
        </w:rPr>
        <w:t>Associate Professor</w:t>
      </w:r>
      <w:r w:rsidRPr="004C5271">
        <w:rPr>
          <w:rFonts w:asciiTheme="majorBidi" w:hAnsiTheme="majorBidi" w:cstheme="majorBidi"/>
          <w:lang w:val="en-AU"/>
        </w:rPr>
        <w:t xml:space="preserve"> Jeremy Prichard (appointed by the Council of the University), Mr Craig Mackie (nominated by the Tasmanian Bar Association), Ms Ann Hughes (appointed at the invitation of the Institute Board), Mr Rohan Foon (appointed by the Law Society of Tasmania), Ms Kim Baumeler (appointed at the invitation of the Institute Board) and Ms Rosie Smith (appointed at the invitation of the Institute Board as a member of the Tasmanian Aboriginal community). </w:t>
      </w:r>
    </w:p>
    <w:p w14:paraId="1F4E0C39" w14:textId="72C059E8" w:rsidR="00334220" w:rsidRPr="004C5271" w:rsidRDefault="00334220" w:rsidP="00C0478D">
      <w:pPr>
        <w:pStyle w:val="NumberlessNormalText"/>
        <w:rPr>
          <w:rFonts w:asciiTheme="majorBidi" w:hAnsiTheme="majorBidi" w:cstheme="majorBidi"/>
          <w:lang w:val="en-AU"/>
        </w:rPr>
      </w:pPr>
      <w:r w:rsidRPr="004C5271">
        <w:rPr>
          <w:rFonts w:asciiTheme="majorBidi" w:hAnsiTheme="majorBidi" w:cstheme="majorBidi"/>
          <w:lang w:val="en-AU"/>
        </w:rPr>
        <w:t>The Board oversees the Institute’s research, considering each reference before it is accepted, and approving publications before their release.</w:t>
      </w:r>
    </w:p>
    <w:p w14:paraId="0473B4E6" w14:textId="0CFD59AB" w:rsidR="001B54C6" w:rsidRPr="004C5271" w:rsidRDefault="001B54C6" w:rsidP="002F2953">
      <w:pPr>
        <w:pStyle w:val="NumberlessNormalText"/>
        <w:rPr>
          <w:rFonts w:asciiTheme="majorBidi" w:hAnsiTheme="majorBidi" w:cstheme="majorBidi"/>
          <w:lang w:val="en-AU"/>
        </w:rPr>
      </w:pPr>
      <w:r w:rsidRPr="004C5271">
        <w:rPr>
          <w:rFonts w:asciiTheme="majorBidi" w:hAnsiTheme="majorBidi" w:cstheme="majorBidi"/>
        </w:rPr>
        <w:lastRenderedPageBreak/>
        <w:t>The Institute can be contacted by</w:t>
      </w:r>
      <w:r w:rsidR="009B1633" w:rsidRPr="004C5271">
        <w:rPr>
          <w:rFonts w:asciiTheme="majorBidi" w:hAnsiTheme="majorBidi" w:cstheme="majorBidi"/>
        </w:rPr>
        <w:t xml:space="preserve"> email at Law.Reform@utas.edu.au</w:t>
      </w:r>
      <w:r w:rsidR="002F2953" w:rsidRPr="004C5271">
        <w:rPr>
          <w:rFonts w:asciiTheme="majorBidi" w:hAnsiTheme="majorBidi" w:cstheme="majorBidi"/>
          <w:lang w:val="en-AU"/>
        </w:rPr>
        <w:t>, or by mail at:</w:t>
      </w:r>
    </w:p>
    <w:p w14:paraId="328D78D7" w14:textId="77777777" w:rsidR="00334220" w:rsidRPr="004C5271" w:rsidRDefault="00334220" w:rsidP="002F2953">
      <w:pPr>
        <w:pStyle w:val="NumberlessNormalText"/>
        <w:spacing w:after="120"/>
        <w:rPr>
          <w:rFonts w:asciiTheme="majorBidi" w:hAnsiTheme="majorBidi" w:cstheme="majorBidi"/>
          <w:lang w:val="en-AU"/>
        </w:rPr>
      </w:pPr>
      <w:r w:rsidRPr="004C5271">
        <w:rPr>
          <w:rFonts w:asciiTheme="majorBidi" w:hAnsiTheme="majorBidi" w:cstheme="majorBidi"/>
          <w:lang w:val="en-AU"/>
        </w:rPr>
        <w:t xml:space="preserve">Tasmania Law Reform Institute </w:t>
      </w:r>
    </w:p>
    <w:p w14:paraId="7861933D" w14:textId="77777777" w:rsidR="00334220" w:rsidRPr="004C5271" w:rsidRDefault="00334220" w:rsidP="002F2953">
      <w:pPr>
        <w:pStyle w:val="NumberlessNormalText"/>
        <w:spacing w:before="120" w:after="120"/>
        <w:rPr>
          <w:rFonts w:asciiTheme="majorBidi" w:hAnsiTheme="majorBidi" w:cstheme="majorBidi"/>
          <w:lang w:val="en-AU"/>
        </w:rPr>
      </w:pPr>
      <w:r w:rsidRPr="004C5271">
        <w:rPr>
          <w:rFonts w:asciiTheme="majorBidi" w:hAnsiTheme="majorBidi" w:cstheme="majorBidi"/>
          <w:lang w:val="en-AU"/>
        </w:rPr>
        <w:t>Private Bag 89</w:t>
      </w:r>
    </w:p>
    <w:p w14:paraId="525A81C5" w14:textId="77777777" w:rsidR="00334220" w:rsidRPr="004C5271" w:rsidRDefault="00334220" w:rsidP="002F2953">
      <w:pPr>
        <w:pStyle w:val="NumberlessNormalText"/>
        <w:spacing w:before="120"/>
        <w:rPr>
          <w:rFonts w:asciiTheme="majorBidi" w:hAnsiTheme="majorBidi" w:cstheme="majorBidi"/>
          <w:lang w:val="en-AU"/>
        </w:rPr>
      </w:pPr>
      <w:r w:rsidRPr="004C5271">
        <w:rPr>
          <w:rFonts w:asciiTheme="majorBidi" w:hAnsiTheme="majorBidi" w:cstheme="majorBidi"/>
          <w:lang w:val="en-AU"/>
        </w:rPr>
        <w:t>Hobart, TAS 7001</w:t>
      </w:r>
    </w:p>
    <w:p w14:paraId="33EA88EE" w14:textId="02EC0C02" w:rsidR="00425783" w:rsidRPr="004C5271" w:rsidRDefault="00425783" w:rsidP="000F2AEC">
      <w:pPr>
        <w:pStyle w:val="NumberlessSectionHeading"/>
        <w:ind w:right="0"/>
        <w:outlineLvl w:val="0"/>
        <w:rPr>
          <w:rFonts w:asciiTheme="majorBidi" w:hAnsiTheme="majorBidi" w:cstheme="majorBidi"/>
        </w:rPr>
      </w:pPr>
      <w:bookmarkStart w:id="7" w:name="_Toc12268922"/>
      <w:bookmarkStart w:id="8" w:name="_Toc515817988"/>
      <w:bookmarkStart w:id="9" w:name="_Toc519782122"/>
      <w:r w:rsidRPr="004C5271">
        <w:rPr>
          <w:rFonts w:asciiTheme="majorBidi" w:hAnsiTheme="majorBidi" w:cstheme="majorBidi"/>
        </w:rPr>
        <w:t>Background to this Final Report</w:t>
      </w:r>
      <w:bookmarkEnd w:id="7"/>
    </w:p>
    <w:p w14:paraId="4D018072" w14:textId="020751C6" w:rsidR="007C45E7" w:rsidRPr="004C5271" w:rsidRDefault="00425783"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In December 2016, the then Attorney-General, the Honourable Dr Vanessa Goodwin MLC, wrote to the Institute following an approach by the Treasurer, the Honourable Peter Gutwein MP, about the issue of whether Tasmania should implement the concept of ‘notional estate’ within existing family provision legislation. The Institute subsequently received a formal reference </w:t>
      </w:r>
      <w:r w:rsidR="001C6DBB" w:rsidRPr="004C5271">
        <w:rPr>
          <w:rFonts w:asciiTheme="majorBidi" w:hAnsiTheme="majorBidi" w:cstheme="majorBidi"/>
          <w:lang w:val="en-AU"/>
        </w:rPr>
        <w:t xml:space="preserve">on this matter </w:t>
      </w:r>
      <w:r w:rsidRPr="004C5271">
        <w:rPr>
          <w:rFonts w:asciiTheme="majorBidi" w:hAnsiTheme="majorBidi" w:cstheme="majorBidi"/>
          <w:lang w:val="en-AU"/>
        </w:rPr>
        <w:t xml:space="preserve">and funding from the Solicitors’ Guarantee Fund </w:t>
      </w:r>
      <w:r w:rsidR="001C6DBB" w:rsidRPr="004C5271">
        <w:rPr>
          <w:rFonts w:asciiTheme="majorBidi" w:hAnsiTheme="majorBidi" w:cstheme="majorBidi"/>
          <w:lang w:val="en-AU"/>
        </w:rPr>
        <w:t>to undertake the reference</w:t>
      </w:r>
      <w:r w:rsidRPr="004C5271">
        <w:rPr>
          <w:rFonts w:asciiTheme="majorBidi" w:hAnsiTheme="majorBidi" w:cstheme="majorBidi"/>
          <w:lang w:val="en-AU"/>
        </w:rPr>
        <w:t>.</w:t>
      </w:r>
      <w:r w:rsidR="005C7E23" w:rsidRPr="004C5271">
        <w:rPr>
          <w:rFonts w:asciiTheme="majorBidi" w:hAnsiTheme="majorBidi" w:cstheme="majorBidi"/>
          <w:lang w:val="en-AU"/>
        </w:rPr>
        <w:t xml:space="preserve"> </w:t>
      </w:r>
      <w:r w:rsidRPr="004C5271">
        <w:rPr>
          <w:rFonts w:asciiTheme="majorBidi" w:hAnsiTheme="majorBidi" w:cstheme="majorBidi"/>
          <w:lang w:val="en-AU"/>
        </w:rPr>
        <w:t xml:space="preserve">The Institute released an Issues Paper in March 2019, </w:t>
      </w:r>
      <w:r w:rsidRPr="004C5271">
        <w:rPr>
          <w:rFonts w:asciiTheme="majorBidi" w:hAnsiTheme="majorBidi" w:cstheme="majorBidi"/>
          <w:i/>
          <w:iCs/>
          <w:lang w:val="en-AU"/>
        </w:rPr>
        <w:t xml:space="preserve">Should Tasmania Introduce Notional Estate Laws </w:t>
      </w:r>
      <w:r w:rsidR="0069073F" w:rsidRPr="004C5271">
        <w:rPr>
          <w:rFonts w:asciiTheme="majorBidi" w:hAnsiTheme="majorBidi" w:cstheme="majorBidi"/>
          <w:lang w:val="en-AU"/>
        </w:rPr>
        <w:t>(</w:t>
      </w:r>
      <w:r w:rsidRPr="004C5271">
        <w:rPr>
          <w:rFonts w:asciiTheme="majorBidi" w:hAnsiTheme="majorBidi" w:cstheme="majorBidi"/>
          <w:lang w:val="en-AU"/>
        </w:rPr>
        <w:t>Issues Paper No 28</w:t>
      </w:r>
      <w:r w:rsidR="0069073F" w:rsidRPr="004C5271">
        <w:rPr>
          <w:rFonts w:asciiTheme="majorBidi" w:hAnsiTheme="majorBidi" w:cstheme="majorBidi"/>
          <w:lang w:val="en-AU"/>
        </w:rPr>
        <w:t>)</w:t>
      </w:r>
      <w:r w:rsidRPr="004C5271">
        <w:rPr>
          <w:rFonts w:asciiTheme="majorBidi" w:hAnsiTheme="majorBidi" w:cstheme="majorBidi"/>
          <w:lang w:val="en-AU"/>
        </w:rPr>
        <w:t>, with a call for submissions by 24 May 2019. It produced and published a short video</w:t>
      </w:r>
      <w:r w:rsidR="00865F40" w:rsidRPr="004C5271">
        <w:rPr>
          <w:rFonts w:asciiTheme="majorBidi" w:hAnsiTheme="majorBidi" w:cstheme="majorBidi"/>
          <w:lang w:val="en-AU"/>
        </w:rPr>
        <w:t>, factsheet</w:t>
      </w:r>
      <w:r w:rsidRPr="004C5271">
        <w:rPr>
          <w:rFonts w:asciiTheme="majorBidi" w:hAnsiTheme="majorBidi" w:cstheme="majorBidi"/>
          <w:lang w:val="en-AU"/>
        </w:rPr>
        <w:t xml:space="preserve"> and Easy </w:t>
      </w:r>
      <w:r w:rsidR="00A4220E" w:rsidRPr="004C5271">
        <w:rPr>
          <w:rFonts w:asciiTheme="majorBidi" w:hAnsiTheme="majorBidi" w:cstheme="majorBidi"/>
          <w:lang w:val="en-AU"/>
        </w:rPr>
        <w:t>Read</w:t>
      </w:r>
      <w:r w:rsidRPr="004C5271">
        <w:rPr>
          <w:rFonts w:asciiTheme="majorBidi" w:hAnsiTheme="majorBidi" w:cstheme="majorBidi"/>
          <w:lang w:val="en-AU"/>
        </w:rPr>
        <w:t xml:space="preserve"> summary of the Issues Paper to </w:t>
      </w:r>
      <w:r w:rsidR="00865F40" w:rsidRPr="004C5271">
        <w:rPr>
          <w:rFonts w:asciiTheme="majorBidi" w:hAnsiTheme="majorBidi" w:cstheme="majorBidi"/>
          <w:lang w:val="en-AU"/>
        </w:rPr>
        <w:t xml:space="preserve">enhance the availability of accessible information about the review. The Issues Paper and video </w:t>
      </w:r>
      <w:r w:rsidR="00CD3383" w:rsidRPr="004C5271">
        <w:rPr>
          <w:rFonts w:asciiTheme="majorBidi" w:hAnsiTheme="majorBidi" w:cstheme="majorBidi"/>
          <w:lang w:val="en-AU"/>
        </w:rPr>
        <w:t xml:space="preserve">were published on the Institute’s website and announced via social media. The Institute’s researcher was interviewed on ABC Radio Hobart </w:t>
      </w:r>
      <w:r w:rsidR="001C6DBB" w:rsidRPr="004C5271">
        <w:rPr>
          <w:rFonts w:asciiTheme="majorBidi" w:hAnsiTheme="majorBidi" w:cstheme="majorBidi"/>
          <w:lang w:val="en-AU"/>
        </w:rPr>
        <w:t>and</w:t>
      </w:r>
      <w:r w:rsidR="00CD3383" w:rsidRPr="004C5271">
        <w:rPr>
          <w:rFonts w:asciiTheme="majorBidi" w:hAnsiTheme="majorBidi" w:cstheme="majorBidi"/>
          <w:lang w:val="en-AU"/>
        </w:rPr>
        <w:t xml:space="preserve"> an </w:t>
      </w:r>
      <w:r w:rsidR="00207A46" w:rsidRPr="004C5271">
        <w:rPr>
          <w:rFonts w:asciiTheme="majorBidi" w:hAnsiTheme="majorBidi" w:cstheme="majorBidi"/>
          <w:lang w:val="en-AU"/>
        </w:rPr>
        <w:t>o</w:t>
      </w:r>
      <w:r w:rsidR="00CD3383" w:rsidRPr="004C5271">
        <w:rPr>
          <w:rFonts w:asciiTheme="majorBidi" w:hAnsiTheme="majorBidi" w:cstheme="majorBidi"/>
          <w:lang w:val="en-AU"/>
        </w:rPr>
        <w:t xml:space="preserve">pinion </w:t>
      </w:r>
      <w:r w:rsidR="00207A46" w:rsidRPr="004C5271">
        <w:rPr>
          <w:rFonts w:asciiTheme="majorBidi" w:hAnsiTheme="majorBidi" w:cstheme="majorBidi"/>
          <w:lang w:val="en-AU"/>
        </w:rPr>
        <w:t>p</w:t>
      </w:r>
      <w:r w:rsidR="00CD3383" w:rsidRPr="004C5271">
        <w:rPr>
          <w:rFonts w:asciiTheme="majorBidi" w:hAnsiTheme="majorBidi" w:cstheme="majorBidi"/>
          <w:lang w:val="en-AU"/>
        </w:rPr>
        <w:t xml:space="preserve">iece </w:t>
      </w:r>
      <w:r w:rsidR="00207A46" w:rsidRPr="004C5271">
        <w:rPr>
          <w:rFonts w:asciiTheme="majorBidi" w:hAnsiTheme="majorBidi" w:cstheme="majorBidi"/>
          <w:lang w:val="en-AU"/>
        </w:rPr>
        <w:t xml:space="preserve">about the review </w:t>
      </w:r>
      <w:r w:rsidR="001C6DBB" w:rsidRPr="004C5271">
        <w:rPr>
          <w:rFonts w:asciiTheme="majorBidi" w:hAnsiTheme="majorBidi" w:cstheme="majorBidi"/>
          <w:lang w:val="en-AU"/>
        </w:rPr>
        <w:t xml:space="preserve">was </w:t>
      </w:r>
      <w:r w:rsidR="00CD3383" w:rsidRPr="004C5271">
        <w:rPr>
          <w:rFonts w:asciiTheme="majorBidi" w:hAnsiTheme="majorBidi" w:cstheme="majorBidi"/>
          <w:lang w:val="en-AU"/>
        </w:rPr>
        <w:t xml:space="preserve">published in </w:t>
      </w:r>
      <w:r w:rsidR="007C45E7" w:rsidRPr="004C5271">
        <w:rPr>
          <w:rFonts w:asciiTheme="majorBidi" w:hAnsiTheme="majorBidi" w:cstheme="majorBidi"/>
          <w:i/>
          <w:iCs/>
          <w:lang w:val="en-AU"/>
        </w:rPr>
        <w:t>T</w:t>
      </w:r>
      <w:r w:rsidR="00CD3383" w:rsidRPr="004C5271">
        <w:rPr>
          <w:rFonts w:asciiTheme="majorBidi" w:hAnsiTheme="majorBidi" w:cstheme="majorBidi"/>
          <w:i/>
          <w:iCs/>
          <w:lang w:val="en-AU"/>
        </w:rPr>
        <w:t>he Mercury</w:t>
      </w:r>
      <w:r w:rsidR="00CD3383" w:rsidRPr="004C5271">
        <w:rPr>
          <w:rFonts w:asciiTheme="majorBidi" w:hAnsiTheme="majorBidi" w:cstheme="majorBidi"/>
          <w:lang w:val="en-AU"/>
        </w:rPr>
        <w:t xml:space="preserve"> newspaper on 13 March 2019. </w:t>
      </w:r>
      <w:r w:rsidR="007C45E7" w:rsidRPr="004C5271">
        <w:rPr>
          <w:rFonts w:asciiTheme="majorBidi" w:hAnsiTheme="majorBidi" w:cstheme="majorBidi"/>
          <w:lang w:val="en-AU"/>
        </w:rPr>
        <w:t xml:space="preserve">Articles also appeared in </w:t>
      </w:r>
      <w:r w:rsidR="007C45E7" w:rsidRPr="004C5271">
        <w:rPr>
          <w:rFonts w:asciiTheme="majorBidi" w:hAnsiTheme="majorBidi" w:cstheme="majorBidi"/>
          <w:i/>
          <w:iCs/>
          <w:lang w:val="en-AU"/>
        </w:rPr>
        <w:t>The Examiner</w:t>
      </w:r>
      <w:r w:rsidR="007C45E7" w:rsidRPr="004C5271">
        <w:rPr>
          <w:rFonts w:asciiTheme="majorBidi" w:hAnsiTheme="majorBidi" w:cstheme="majorBidi"/>
          <w:lang w:val="en-AU"/>
        </w:rPr>
        <w:t xml:space="preserve"> newspaper. </w:t>
      </w:r>
    </w:p>
    <w:p w14:paraId="13380E21" w14:textId="067D41E7" w:rsidR="00207A46" w:rsidRPr="004C5271" w:rsidRDefault="007C45E7"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Advice of the review was </w:t>
      </w:r>
      <w:r w:rsidR="005C7E23" w:rsidRPr="004C5271">
        <w:rPr>
          <w:rFonts w:asciiTheme="majorBidi" w:hAnsiTheme="majorBidi" w:cstheme="majorBidi"/>
          <w:lang w:val="en-AU"/>
        </w:rPr>
        <w:t>announced</w:t>
      </w:r>
      <w:r w:rsidRPr="004C5271">
        <w:rPr>
          <w:rFonts w:asciiTheme="majorBidi" w:hAnsiTheme="majorBidi" w:cstheme="majorBidi"/>
          <w:lang w:val="en-AU"/>
        </w:rPr>
        <w:t xml:space="preserve"> to Tasmanian legal practitioners and members</w:t>
      </w:r>
      <w:r w:rsidR="005C7E23" w:rsidRPr="004C5271">
        <w:rPr>
          <w:rFonts w:asciiTheme="majorBidi" w:hAnsiTheme="majorBidi" w:cstheme="majorBidi"/>
          <w:lang w:val="en-AU"/>
        </w:rPr>
        <w:t xml:space="preserve"> on the Law Society of Tasmania’s weekly bulletin</w:t>
      </w:r>
      <w:r w:rsidRPr="004C5271">
        <w:rPr>
          <w:rFonts w:asciiTheme="majorBidi" w:hAnsiTheme="majorBidi" w:cstheme="majorBidi"/>
          <w:lang w:val="en-AU"/>
        </w:rPr>
        <w:t xml:space="preserve">. </w:t>
      </w:r>
      <w:r w:rsidR="003D27C7" w:rsidRPr="004C5271">
        <w:rPr>
          <w:rFonts w:asciiTheme="majorBidi" w:hAnsiTheme="majorBidi" w:cstheme="majorBidi"/>
          <w:lang w:val="en-AU"/>
        </w:rPr>
        <w:t xml:space="preserve">The Institute was invited to attend meetings of the </w:t>
      </w:r>
      <w:r w:rsidR="001C6DBB" w:rsidRPr="004C5271">
        <w:rPr>
          <w:rFonts w:asciiTheme="majorBidi" w:hAnsiTheme="majorBidi" w:cstheme="majorBidi"/>
          <w:lang w:val="en-AU"/>
        </w:rPr>
        <w:t xml:space="preserve">Law Society </w:t>
      </w:r>
      <w:r w:rsidR="003D27C7" w:rsidRPr="004C5271">
        <w:rPr>
          <w:rFonts w:asciiTheme="majorBidi" w:hAnsiTheme="majorBidi" w:cstheme="majorBidi"/>
          <w:lang w:val="en-AU"/>
        </w:rPr>
        <w:t xml:space="preserve">Elder and Succession Law Committee and Family Law Committee. </w:t>
      </w:r>
      <w:r w:rsidRPr="004C5271">
        <w:rPr>
          <w:rFonts w:asciiTheme="majorBidi" w:hAnsiTheme="majorBidi" w:cstheme="majorBidi"/>
          <w:lang w:val="en-AU"/>
        </w:rPr>
        <w:t>The Institute also obtained approval to write to accountants and financial advisors to inform them of the review and provid</w:t>
      </w:r>
      <w:r w:rsidR="001C6DBB" w:rsidRPr="004C5271">
        <w:rPr>
          <w:rFonts w:asciiTheme="majorBidi" w:hAnsiTheme="majorBidi" w:cstheme="majorBidi"/>
          <w:lang w:val="en-AU"/>
        </w:rPr>
        <w:t>e</w:t>
      </w:r>
      <w:r w:rsidRPr="004C5271">
        <w:rPr>
          <w:rFonts w:asciiTheme="majorBidi" w:hAnsiTheme="majorBidi" w:cstheme="majorBidi"/>
          <w:lang w:val="en-AU"/>
        </w:rPr>
        <w:t xml:space="preserve"> them with a flyer that they were invited to distribute amongst their clients and other contacts.</w:t>
      </w:r>
    </w:p>
    <w:p w14:paraId="1297EA70" w14:textId="0E55DCA4" w:rsidR="003D27C7" w:rsidRPr="004C5271" w:rsidRDefault="003D27C7" w:rsidP="00C0478D">
      <w:pPr>
        <w:pStyle w:val="NumberlessNormalText"/>
        <w:rPr>
          <w:rFonts w:asciiTheme="majorBidi" w:hAnsiTheme="majorBidi" w:cstheme="majorBidi"/>
          <w:lang w:val="en-AU"/>
        </w:rPr>
      </w:pPr>
      <w:r w:rsidRPr="004C5271">
        <w:rPr>
          <w:rFonts w:asciiTheme="majorBidi" w:hAnsiTheme="majorBidi" w:cstheme="majorBidi"/>
          <w:lang w:val="en-AU"/>
        </w:rPr>
        <w:lastRenderedPageBreak/>
        <w:t xml:space="preserve">The Institute received </w:t>
      </w:r>
      <w:r w:rsidR="00075BAE" w:rsidRPr="004C5271">
        <w:rPr>
          <w:rFonts w:asciiTheme="majorBidi" w:hAnsiTheme="majorBidi" w:cstheme="majorBidi"/>
          <w:lang w:val="en-AU"/>
        </w:rPr>
        <w:t>28</w:t>
      </w:r>
      <w:r w:rsidRPr="004C5271">
        <w:rPr>
          <w:rFonts w:asciiTheme="majorBidi" w:hAnsiTheme="majorBidi" w:cstheme="majorBidi"/>
          <w:lang w:val="en-AU"/>
        </w:rPr>
        <w:t xml:space="preserve"> written responses and </w:t>
      </w:r>
      <w:r w:rsidR="00033494" w:rsidRPr="004C5271">
        <w:rPr>
          <w:rFonts w:asciiTheme="majorBidi" w:hAnsiTheme="majorBidi" w:cstheme="majorBidi"/>
          <w:lang w:val="en-AU"/>
        </w:rPr>
        <w:t>four</w:t>
      </w:r>
      <w:r w:rsidRPr="004C5271">
        <w:rPr>
          <w:rFonts w:asciiTheme="majorBidi" w:hAnsiTheme="majorBidi" w:cstheme="majorBidi"/>
          <w:lang w:val="en-AU"/>
        </w:rPr>
        <w:t xml:space="preserve"> verbal submissions to the </w:t>
      </w:r>
      <w:r w:rsidR="001C6DBB" w:rsidRPr="004C5271">
        <w:rPr>
          <w:rFonts w:asciiTheme="majorBidi" w:hAnsiTheme="majorBidi" w:cstheme="majorBidi"/>
          <w:lang w:val="en-AU"/>
        </w:rPr>
        <w:t xml:space="preserve">questions asked in the </w:t>
      </w:r>
      <w:r w:rsidRPr="004C5271">
        <w:rPr>
          <w:rFonts w:asciiTheme="majorBidi" w:hAnsiTheme="majorBidi" w:cstheme="majorBidi"/>
          <w:lang w:val="en-AU"/>
        </w:rPr>
        <w:t>Issues Paper</w:t>
      </w:r>
      <w:r w:rsidR="00075BAE" w:rsidRPr="004C5271">
        <w:rPr>
          <w:rFonts w:asciiTheme="majorBidi" w:hAnsiTheme="majorBidi" w:cstheme="majorBidi"/>
          <w:lang w:val="en-AU"/>
        </w:rPr>
        <w:t>, comprising the views of 67 individual</w:t>
      </w:r>
      <w:r w:rsidR="00835EDA" w:rsidRPr="004C5271">
        <w:rPr>
          <w:rFonts w:asciiTheme="majorBidi" w:hAnsiTheme="majorBidi" w:cstheme="majorBidi"/>
          <w:lang w:val="en-AU"/>
        </w:rPr>
        <w:t>s</w:t>
      </w:r>
      <w:r w:rsidR="00075BAE" w:rsidRPr="004C5271">
        <w:rPr>
          <w:rStyle w:val="FootnoteReference"/>
          <w:rFonts w:asciiTheme="majorBidi" w:hAnsiTheme="majorBidi" w:cstheme="majorBidi"/>
          <w:lang w:val="en-AU"/>
        </w:rPr>
        <w:footnoteReference w:id="2"/>
      </w:r>
      <w:r w:rsidR="00075BAE" w:rsidRPr="004C5271">
        <w:rPr>
          <w:rFonts w:asciiTheme="majorBidi" w:hAnsiTheme="majorBidi" w:cstheme="majorBidi"/>
          <w:lang w:val="en-AU"/>
        </w:rPr>
        <w:t xml:space="preserve"> and two organisations</w:t>
      </w:r>
      <w:r w:rsidR="00A4220E" w:rsidRPr="004C5271">
        <w:rPr>
          <w:rFonts w:asciiTheme="majorBidi" w:hAnsiTheme="majorBidi" w:cstheme="majorBidi"/>
          <w:lang w:val="en-AU"/>
        </w:rPr>
        <w:t>.</w:t>
      </w:r>
      <w:r w:rsidR="00075BAE" w:rsidRPr="004C5271">
        <w:rPr>
          <w:rStyle w:val="FootnoteReference"/>
          <w:rFonts w:asciiTheme="majorBidi" w:hAnsiTheme="majorBidi" w:cstheme="majorBidi"/>
          <w:lang w:val="en-AU"/>
        </w:rPr>
        <w:footnoteReference w:id="3"/>
      </w:r>
      <w:r w:rsidR="00EC6A25" w:rsidRPr="004C5271">
        <w:rPr>
          <w:rFonts w:asciiTheme="majorBidi" w:hAnsiTheme="majorBidi" w:cstheme="majorBidi"/>
          <w:lang w:val="en-AU"/>
        </w:rPr>
        <w:t xml:space="preserve"> </w:t>
      </w:r>
      <w:r w:rsidR="00A4220E" w:rsidRPr="004C5271">
        <w:rPr>
          <w:rFonts w:asciiTheme="majorBidi" w:hAnsiTheme="majorBidi" w:cstheme="majorBidi"/>
          <w:lang w:val="en-AU"/>
        </w:rPr>
        <w:t>The Institute received public submissions from the following respondents</w:t>
      </w:r>
      <w:r w:rsidRPr="004C5271">
        <w:rPr>
          <w:rFonts w:asciiTheme="majorBidi" w:hAnsiTheme="majorBidi" w:cstheme="majorBidi"/>
          <w:lang w:val="en-AU"/>
        </w:rPr>
        <w:t xml:space="preserve">: </w:t>
      </w:r>
    </w:p>
    <w:p w14:paraId="4D956356" w14:textId="6BB28B84" w:rsidR="00EC6A25" w:rsidRPr="004C5271" w:rsidRDefault="002C096C" w:rsidP="003D27C7">
      <w:pPr>
        <w:pStyle w:val="DotPointTLRI"/>
        <w:rPr>
          <w:rFonts w:asciiTheme="majorBidi" w:hAnsiTheme="majorBidi" w:cstheme="majorBidi"/>
          <w:lang w:val="en-AU"/>
        </w:rPr>
      </w:pPr>
      <w:r w:rsidRPr="004C5271">
        <w:rPr>
          <w:rFonts w:asciiTheme="majorBidi" w:hAnsiTheme="majorBidi" w:cstheme="majorBidi"/>
          <w:lang w:val="en-AU"/>
        </w:rPr>
        <w:t>T</w:t>
      </w:r>
      <w:r w:rsidR="00EC6A25" w:rsidRPr="004C5271">
        <w:rPr>
          <w:rFonts w:asciiTheme="majorBidi" w:hAnsiTheme="majorBidi" w:cstheme="majorBidi"/>
          <w:lang w:val="en-AU"/>
        </w:rPr>
        <w:t>he Treasurer, the Honourable Peter Gutwein MP</w:t>
      </w:r>
    </w:p>
    <w:p w14:paraId="4F8B2910" w14:textId="3B9F2FB4" w:rsidR="003D27C7" w:rsidRPr="004C5271" w:rsidRDefault="00EC6A25" w:rsidP="003D27C7">
      <w:pPr>
        <w:pStyle w:val="DotPointTLRI"/>
        <w:rPr>
          <w:rFonts w:asciiTheme="majorBidi" w:hAnsiTheme="majorBidi" w:cstheme="majorBidi"/>
          <w:lang w:val="en-AU"/>
        </w:rPr>
      </w:pPr>
      <w:r w:rsidRPr="004C5271">
        <w:rPr>
          <w:rFonts w:asciiTheme="majorBidi" w:hAnsiTheme="majorBidi" w:cstheme="majorBidi"/>
          <w:lang w:val="en-AU"/>
        </w:rPr>
        <w:t>Elder &amp; Succession Law Committee of the Law Society</w:t>
      </w:r>
    </w:p>
    <w:p w14:paraId="3760E0C4" w14:textId="64F5E3D4" w:rsidR="00846F9D" w:rsidRPr="004C5271" w:rsidRDefault="00846F9D" w:rsidP="003D27C7">
      <w:pPr>
        <w:pStyle w:val="DotPointTLRI"/>
        <w:rPr>
          <w:rFonts w:asciiTheme="majorBidi" w:hAnsiTheme="majorBidi" w:cstheme="majorBidi"/>
          <w:lang w:val="en-AU"/>
        </w:rPr>
      </w:pPr>
      <w:r w:rsidRPr="004C5271">
        <w:rPr>
          <w:rFonts w:asciiTheme="majorBidi" w:hAnsiTheme="majorBidi" w:cstheme="majorBidi"/>
          <w:lang w:val="en-AU"/>
        </w:rPr>
        <w:t>Litigation Committee of the Law Society</w:t>
      </w:r>
    </w:p>
    <w:p w14:paraId="5988B611" w14:textId="48323B3E" w:rsidR="00846F9D" w:rsidRPr="004C5271" w:rsidRDefault="00846F9D" w:rsidP="003D27C7">
      <w:pPr>
        <w:pStyle w:val="DotPointTLRI"/>
        <w:rPr>
          <w:rFonts w:asciiTheme="majorBidi" w:hAnsiTheme="majorBidi" w:cstheme="majorBidi"/>
          <w:lang w:val="en-AU"/>
        </w:rPr>
      </w:pPr>
      <w:r w:rsidRPr="004C5271">
        <w:rPr>
          <w:rFonts w:asciiTheme="majorBidi" w:hAnsiTheme="majorBidi" w:cstheme="majorBidi"/>
          <w:lang w:val="en-AU"/>
        </w:rPr>
        <w:t>Family Law Committee of the Law Society</w:t>
      </w:r>
    </w:p>
    <w:p w14:paraId="2975DC2C" w14:textId="4A17A3B2" w:rsidR="00EC6A25" w:rsidRPr="004C5271" w:rsidRDefault="00EC6A25" w:rsidP="003D27C7">
      <w:pPr>
        <w:pStyle w:val="DotPointTLRI"/>
        <w:rPr>
          <w:rFonts w:asciiTheme="majorBidi" w:hAnsiTheme="majorBidi" w:cstheme="majorBidi"/>
          <w:lang w:val="en-AU"/>
        </w:rPr>
      </w:pPr>
      <w:r w:rsidRPr="004C5271">
        <w:rPr>
          <w:rFonts w:asciiTheme="majorBidi" w:hAnsiTheme="majorBidi" w:cstheme="majorBidi"/>
          <w:lang w:val="en-AU"/>
        </w:rPr>
        <w:t>Mr Robert Young</w:t>
      </w:r>
    </w:p>
    <w:p w14:paraId="52501E55" w14:textId="07EFCC45" w:rsidR="00EC6A25" w:rsidRPr="004C5271" w:rsidRDefault="00EC6A25" w:rsidP="003D27C7">
      <w:pPr>
        <w:pStyle w:val="DotPointTLRI"/>
        <w:rPr>
          <w:rFonts w:asciiTheme="majorBidi" w:hAnsiTheme="majorBidi" w:cstheme="majorBidi"/>
          <w:lang w:val="en-AU"/>
        </w:rPr>
      </w:pPr>
      <w:r w:rsidRPr="004C5271">
        <w:rPr>
          <w:rFonts w:asciiTheme="majorBidi" w:hAnsiTheme="majorBidi" w:cstheme="majorBidi"/>
          <w:lang w:val="en-AU"/>
        </w:rPr>
        <w:t>Ms Susan Baldock</w:t>
      </w:r>
    </w:p>
    <w:p w14:paraId="4F3FD9F6" w14:textId="10F56F11" w:rsidR="00EC6A25" w:rsidRPr="004C5271" w:rsidRDefault="002C096C" w:rsidP="00DE75D1">
      <w:pPr>
        <w:pStyle w:val="DotPointTLRI"/>
        <w:rPr>
          <w:rFonts w:asciiTheme="majorBidi" w:hAnsiTheme="majorBidi" w:cstheme="majorBidi"/>
          <w:lang w:val="en-AU"/>
        </w:rPr>
      </w:pPr>
      <w:r w:rsidRPr="004C5271">
        <w:rPr>
          <w:rFonts w:asciiTheme="majorBidi" w:hAnsiTheme="majorBidi" w:cstheme="majorBidi"/>
          <w:lang w:val="en-AU"/>
        </w:rPr>
        <w:t>J</w:t>
      </w:r>
      <w:r w:rsidR="005C7E23" w:rsidRPr="004C5271">
        <w:rPr>
          <w:rFonts w:asciiTheme="majorBidi" w:hAnsiTheme="majorBidi" w:cstheme="majorBidi"/>
          <w:lang w:val="en-AU"/>
        </w:rPr>
        <w:t xml:space="preserve">oint submission of </w:t>
      </w:r>
      <w:r w:rsidR="00EC6A25" w:rsidRPr="004C5271">
        <w:rPr>
          <w:rFonts w:asciiTheme="majorBidi" w:hAnsiTheme="majorBidi" w:cstheme="majorBidi"/>
          <w:lang w:val="en-AU"/>
        </w:rPr>
        <w:t>Mrs Dorothy Lowe, Mrs Evelyn Jones, Mr Kevin Claridge, Mr Nigel Claridge, Mr Dennis Claridge, Mr Graeme Claridge, Ms Teresa Edwards, Mr Brian Claridge, and Mr Philip Claridge</w:t>
      </w:r>
      <w:r w:rsidR="00846F9D" w:rsidRPr="004C5271">
        <w:rPr>
          <w:rStyle w:val="FootnoteReference"/>
          <w:rFonts w:asciiTheme="majorBidi" w:hAnsiTheme="majorBidi" w:cstheme="majorBidi"/>
          <w:lang w:val="en-AU"/>
        </w:rPr>
        <w:footnoteReference w:id="4"/>
      </w:r>
    </w:p>
    <w:p w14:paraId="2BE804E7" w14:textId="32B2A7B5" w:rsidR="00EC6A25" w:rsidRPr="004C5271" w:rsidRDefault="00EC6A25" w:rsidP="003D27C7">
      <w:pPr>
        <w:pStyle w:val="DotPointTLRI"/>
        <w:rPr>
          <w:rFonts w:asciiTheme="majorBidi" w:hAnsiTheme="majorBidi" w:cstheme="majorBidi"/>
          <w:lang w:val="en-AU"/>
        </w:rPr>
      </w:pPr>
      <w:r w:rsidRPr="004C5271">
        <w:rPr>
          <w:rFonts w:asciiTheme="majorBidi" w:hAnsiTheme="majorBidi" w:cstheme="majorBidi"/>
          <w:lang w:val="en-AU"/>
        </w:rPr>
        <w:t>Mr Tony Gray</w:t>
      </w:r>
    </w:p>
    <w:p w14:paraId="3010FD64" w14:textId="0AD89E01"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Mr Essen Bradbury</w:t>
      </w:r>
    </w:p>
    <w:p w14:paraId="23F81CBD" w14:textId="33323846"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Ms Heather Dunn</w:t>
      </w:r>
    </w:p>
    <w:p w14:paraId="0B0839F5" w14:textId="28A599D7"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Mr Barry Claridge</w:t>
      </w:r>
    </w:p>
    <w:p w14:paraId="05360E4B" w14:textId="740BA0B9"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Ms Ann Hamilton</w:t>
      </w:r>
    </w:p>
    <w:p w14:paraId="3B88EA1A" w14:textId="7D21CE51"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Ms Phillipa Alexander</w:t>
      </w:r>
    </w:p>
    <w:p w14:paraId="03FB7353" w14:textId="14F4F609"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Mr Justin McMullen</w:t>
      </w:r>
    </w:p>
    <w:p w14:paraId="3730D31A" w14:textId="148F6D72"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Ms Alice Grubb</w:t>
      </w:r>
    </w:p>
    <w:p w14:paraId="6DF53464" w14:textId="5D666E67"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Mr Geoffrey Nash</w:t>
      </w:r>
    </w:p>
    <w:p w14:paraId="06F65178" w14:textId="3DA643E7"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lastRenderedPageBreak/>
        <w:t>Mr Steven Bishop</w:t>
      </w:r>
    </w:p>
    <w:p w14:paraId="45C084C5" w14:textId="2E87D0A2" w:rsidR="00EC6A25" w:rsidRPr="004C5271" w:rsidRDefault="00EC6A25" w:rsidP="00EC6A25">
      <w:pPr>
        <w:pStyle w:val="DotPointTLRI"/>
        <w:rPr>
          <w:rFonts w:asciiTheme="majorBidi" w:hAnsiTheme="majorBidi" w:cstheme="majorBidi"/>
          <w:lang w:val="en-AU"/>
        </w:rPr>
      </w:pPr>
      <w:r w:rsidRPr="004C5271">
        <w:rPr>
          <w:rFonts w:asciiTheme="majorBidi" w:hAnsiTheme="majorBidi" w:cstheme="majorBidi"/>
          <w:lang w:val="en-AU"/>
        </w:rPr>
        <w:t>Ms Nina Hendy</w:t>
      </w:r>
    </w:p>
    <w:p w14:paraId="22E16459" w14:textId="2CB5AA76" w:rsidR="00EC6A25" w:rsidRPr="004C5271" w:rsidRDefault="002C096C" w:rsidP="00EC6A25">
      <w:pPr>
        <w:pStyle w:val="DotPointTLRI"/>
        <w:rPr>
          <w:rFonts w:asciiTheme="majorBidi" w:hAnsiTheme="majorBidi" w:cstheme="majorBidi"/>
          <w:lang w:val="en-AU"/>
        </w:rPr>
      </w:pPr>
      <w:r w:rsidRPr="004C5271">
        <w:rPr>
          <w:rFonts w:asciiTheme="majorBidi" w:hAnsiTheme="majorBidi" w:cstheme="majorBidi"/>
          <w:lang w:val="en-AU"/>
        </w:rPr>
        <w:t>J</w:t>
      </w:r>
      <w:r w:rsidR="00846F9D" w:rsidRPr="004C5271">
        <w:rPr>
          <w:rFonts w:asciiTheme="majorBidi" w:hAnsiTheme="majorBidi" w:cstheme="majorBidi"/>
          <w:lang w:val="en-AU"/>
        </w:rPr>
        <w:t xml:space="preserve">oint submission of </w:t>
      </w:r>
      <w:r w:rsidR="00EC6A25" w:rsidRPr="004C5271">
        <w:rPr>
          <w:rFonts w:asciiTheme="majorBidi" w:hAnsiTheme="majorBidi" w:cstheme="majorBidi"/>
          <w:lang w:val="en-AU"/>
        </w:rPr>
        <w:t>Ms Christine Schokman, Mr Dexter Marcenko and Mr Michael Flanagan</w:t>
      </w:r>
    </w:p>
    <w:p w14:paraId="023597A1" w14:textId="5EB63499" w:rsidR="00EC6A25" w:rsidRPr="004C5271" w:rsidRDefault="0041307C" w:rsidP="00EC6A25">
      <w:pPr>
        <w:pStyle w:val="DotPointTLRI"/>
        <w:rPr>
          <w:rFonts w:asciiTheme="majorBidi" w:hAnsiTheme="majorBidi" w:cstheme="majorBidi"/>
          <w:lang w:val="en-AU"/>
        </w:rPr>
      </w:pPr>
      <w:r w:rsidRPr="004C5271">
        <w:rPr>
          <w:rFonts w:asciiTheme="majorBidi" w:hAnsiTheme="majorBidi" w:cstheme="majorBidi"/>
          <w:lang w:val="en-AU"/>
        </w:rPr>
        <w:t>Mr Sam McCullough</w:t>
      </w:r>
    </w:p>
    <w:p w14:paraId="507A93B6" w14:textId="0F0CC4C0" w:rsidR="0041307C" w:rsidRPr="004C5271" w:rsidRDefault="0041307C" w:rsidP="00EC6A25">
      <w:pPr>
        <w:pStyle w:val="DotPointTLRI"/>
        <w:rPr>
          <w:rFonts w:asciiTheme="majorBidi" w:hAnsiTheme="majorBidi" w:cstheme="majorBidi"/>
          <w:lang w:val="en-AU"/>
        </w:rPr>
      </w:pPr>
      <w:r w:rsidRPr="004C5271">
        <w:rPr>
          <w:rFonts w:asciiTheme="majorBidi" w:hAnsiTheme="majorBidi" w:cstheme="majorBidi"/>
          <w:lang w:val="en-AU"/>
        </w:rPr>
        <w:t>Mr James Walker</w:t>
      </w:r>
    </w:p>
    <w:p w14:paraId="1BB4CFAF" w14:textId="48360FA6" w:rsidR="003D27C7" w:rsidRPr="004C5271" w:rsidRDefault="003D27C7" w:rsidP="002C096C">
      <w:pPr>
        <w:pStyle w:val="DotPointTLRI"/>
        <w:numPr>
          <w:ilvl w:val="0"/>
          <w:numId w:val="0"/>
        </w:numPr>
        <w:spacing w:before="220"/>
        <w:rPr>
          <w:rFonts w:asciiTheme="majorBidi" w:hAnsiTheme="majorBidi" w:cstheme="majorBidi"/>
          <w:lang w:val="en-AU"/>
        </w:rPr>
      </w:pPr>
      <w:r w:rsidRPr="004C5271">
        <w:rPr>
          <w:rFonts w:asciiTheme="majorBidi" w:hAnsiTheme="majorBidi" w:cstheme="majorBidi"/>
          <w:lang w:val="en-AU"/>
        </w:rPr>
        <w:t xml:space="preserve">The Institute thanks all those who responded to the Issues Paper or met with the Institute. </w:t>
      </w:r>
    </w:p>
    <w:p w14:paraId="612AD3D5" w14:textId="34956711" w:rsidR="00334220" w:rsidRPr="004C5271" w:rsidRDefault="00334220" w:rsidP="000F2AEC">
      <w:pPr>
        <w:pStyle w:val="NumberlessSectionHeading"/>
        <w:ind w:right="0"/>
        <w:outlineLvl w:val="0"/>
        <w:rPr>
          <w:rFonts w:asciiTheme="majorBidi" w:hAnsiTheme="majorBidi" w:cstheme="majorBidi"/>
          <w:sz w:val="22"/>
          <w:szCs w:val="22"/>
        </w:rPr>
      </w:pPr>
      <w:bookmarkStart w:id="10" w:name="_Toc12268923"/>
      <w:r w:rsidRPr="004C5271">
        <w:rPr>
          <w:rFonts w:asciiTheme="majorBidi" w:hAnsiTheme="majorBidi" w:cstheme="majorBidi"/>
        </w:rPr>
        <w:t>Acknowledgments</w:t>
      </w:r>
      <w:bookmarkEnd w:id="8"/>
      <w:bookmarkEnd w:id="9"/>
      <w:bookmarkEnd w:id="10"/>
      <w:r w:rsidRPr="004C5271">
        <w:rPr>
          <w:rFonts w:asciiTheme="majorBidi" w:hAnsiTheme="majorBidi" w:cstheme="majorBidi"/>
        </w:rPr>
        <w:t xml:space="preserve"> </w:t>
      </w:r>
    </w:p>
    <w:p w14:paraId="398C03B5" w14:textId="23D420E2" w:rsidR="00865F40" w:rsidRPr="004C5271" w:rsidRDefault="001B54C6"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This report was prepared for the Board by Mrs Kate Hanslow. </w:t>
      </w:r>
      <w:r w:rsidR="00891CE5" w:rsidRPr="004C5271">
        <w:rPr>
          <w:rFonts w:asciiTheme="majorBidi" w:hAnsiTheme="majorBidi" w:cstheme="majorBidi"/>
          <w:lang w:val="en-AU"/>
        </w:rPr>
        <w:t>Th</w:t>
      </w:r>
      <w:r w:rsidRPr="004C5271">
        <w:rPr>
          <w:rFonts w:asciiTheme="majorBidi" w:hAnsiTheme="majorBidi" w:cstheme="majorBidi"/>
          <w:lang w:val="en-AU"/>
        </w:rPr>
        <w:t>e</w:t>
      </w:r>
      <w:r w:rsidR="002025B1" w:rsidRPr="004C5271">
        <w:rPr>
          <w:rFonts w:asciiTheme="majorBidi" w:hAnsiTheme="majorBidi" w:cstheme="majorBidi"/>
          <w:lang w:val="en-AU"/>
        </w:rPr>
        <w:t xml:space="preserve"> </w:t>
      </w:r>
      <w:r w:rsidR="00780FA1" w:rsidRPr="004C5271">
        <w:rPr>
          <w:rFonts w:asciiTheme="majorBidi" w:hAnsiTheme="majorBidi" w:cstheme="majorBidi"/>
          <w:lang w:val="en-AU"/>
        </w:rPr>
        <w:t xml:space="preserve">Issues </w:t>
      </w:r>
      <w:r w:rsidR="002025B1" w:rsidRPr="004C5271">
        <w:rPr>
          <w:rFonts w:asciiTheme="majorBidi" w:hAnsiTheme="majorBidi" w:cstheme="majorBidi"/>
          <w:lang w:val="en-AU"/>
        </w:rPr>
        <w:t xml:space="preserve">Paper </w:t>
      </w:r>
      <w:r w:rsidRPr="004C5271">
        <w:rPr>
          <w:rFonts w:asciiTheme="majorBidi" w:hAnsiTheme="majorBidi" w:cstheme="majorBidi"/>
          <w:lang w:val="en-AU"/>
        </w:rPr>
        <w:t xml:space="preserve">that preceded this Final Report </w:t>
      </w:r>
      <w:r w:rsidR="002025B1" w:rsidRPr="004C5271">
        <w:rPr>
          <w:rFonts w:asciiTheme="majorBidi" w:hAnsiTheme="majorBidi" w:cstheme="majorBidi"/>
          <w:lang w:val="en-AU"/>
        </w:rPr>
        <w:t>was prepared by Mr Ken Mackie, Dr Elise Histed, Mr Dylan Richards</w:t>
      </w:r>
      <w:r w:rsidR="00F65105" w:rsidRPr="004C5271">
        <w:rPr>
          <w:rFonts w:asciiTheme="majorBidi" w:hAnsiTheme="majorBidi" w:cstheme="majorBidi"/>
          <w:lang w:val="en-AU"/>
        </w:rPr>
        <w:t xml:space="preserve"> and Mrs Kate Hanslow</w:t>
      </w:r>
      <w:r w:rsidR="002025B1" w:rsidRPr="004C5271">
        <w:rPr>
          <w:rFonts w:asciiTheme="majorBidi" w:hAnsiTheme="majorBidi" w:cstheme="majorBidi"/>
          <w:lang w:val="en-AU"/>
        </w:rPr>
        <w:t>.</w:t>
      </w:r>
      <w:r w:rsidR="006F41B5" w:rsidRPr="004C5271">
        <w:rPr>
          <w:rFonts w:asciiTheme="majorBidi" w:hAnsiTheme="majorBidi" w:cstheme="majorBidi"/>
          <w:lang w:val="en-AU"/>
        </w:rPr>
        <w:t xml:space="preserve"> </w:t>
      </w:r>
      <w:r w:rsidR="00865F40" w:rsidRPr="004C5271">
        <w:rPr>
          <w:rFonts w:asciiTheme="majorBidi" w:hAnsiTheme="majorBidi" w:cstheme="majorBidi"/>
          <w:lang w:val="en-AU"/>
        </w:rPr>
        <w:t>Both were edited by Mr Bruce Newey.</w:t>
      </w:r>
    </w:p>
    <w:p w14:paraId="430D8E3C" w14:textId="191ED431" w:rsidR="002025B1" w:rsidRPr="004C5271" w:rsidRDefault="00865F40" w:rsidP="006F059E">
      <w:pPr>
        <w:pStyle w:val="NumberlessNormalText"/>
        <w:rPr>
          <w:rFonts w:asciiTheme="majorBidi" w:hAnsiTheme="majorBidi" w:cstheme="majorBidi"/>
          <w:lang w:val="en-AU"/>
        </w:rPr>
      </w:pPr>
      <w:r w:rsidRPr="004C5271">
        <w:rPr>
          <w:rFonts w:asciiTheme="majorBidi" w:hAnsiTheme="majorBidi" w:cstheme="majorBidi"/>
          <w:lang w:val="en-AU"/>
        </w:rPr>
        <w:t>The Institute thank</w:t>
      </w:r>
      <w:r w:rsidR="001749E4" w:rsidRPr="004C5271">
        <w:rPr>
          <w:rFonts w:asciiTheme="majorBidi" w:hAnsiTheme="majorBidi" w:cstheme="majorBidi"/>
          <w:lang w:val="en-AU"/>
        </w:rPr>
        <w:t>s</w:t>
      </w:r>
      <w:r w:rsidRPr="004C5271">
        <w:rPr>
          <w:rFonts w:asciiTheme="majorBidi" w:hAnsiTheme="majorBidi" w:cstheme="majorBidi"/>
          <w:lang w:val="en-AU"/>
        </w:rPr>
        <w:t xml:space="preserve"> Mrs Nina Hendy, Ms Kimberley Martin and Mr Frank </w:t>
      </w:r>
      <w:r w:rsidR="00F55479" w:rsidRPr="004C5271">
        <w:rPr>
          <w:rFonts w:asciiTheme="majorBidi" w:hAnsiTheme="majorBidi" w:cstheme="majorBidi"/>
          <w:lang w:val="en-AU"/>
        </w:rPr>
        <w:t>Kennedy</w:t>
      </w:r>
      <w:r w:rsidRPr="004C5271">
        <w:rPr>
          <w:rFonts w:asciiTheme="majorBidi" w:hAnsiTheme="majorBidi" w:cstheme="majorBidi"/>
          <w:lang w:val="en-AU"/>
        </w:rPr>
        <w:t xml:space="preserve"> who participated in the filming of the Institute’s short video about the review. The Institute also thanks Mr Richard Williams of CineStill for producing the </w:t>
      </w:r>
      <w:proofErr w:type="gramStart"/>
      <w:r w:rsidRPr="004C5271">
        <w:rPr>
          <w:rFonts w:asciiTheme="majorBidi" w:hAnsiTheme="majorBidi" w:cstheme="majorBidi"/>
          <w:lang w:val="en-AU"/>
        </w:rPr>
        <w:t xml:space="preserve">video, </w:t>
      </w:r>
      <w:r w:rsidR="005C7E23" w:rsidRPr="004C5271">
        <w:rPr>
          <w:rFonts w:asciiTheme="majorBidi" w:hAnsiTheme="majorBidi" w:cstheme="majorBidi"/>
          <w:lang w:val="en-AU"/>
        </w:rPr>
        <w:t>and</w:t>
      </w:r>
      <w:proofErr w:type="gramEnd"/>
      <w:r w:rsidRPr="004C5271">
        <w:rPr>
          <w:rFonts w:asciiTheme="majorBidi" w:hAnsiTheme="majorBidi" w:cstheme="majorBidi"/>
          <w:lang w:val="en-AU"/>
        </w:rPr>
        <w:t xml:space="preserve"> Speak Out Tasmania for their preparation of the Easy </w:t>
      </w:r>
      <w:r w:rsidR="00A4220E" w:rsidRPr="004C5271">
        <w:rPr>
          <w:rFonts w:asciiTheme="majorBidi" w:hAnsiTheme="majorBidi" w:cstheme="majorBidi"/>
          <w:lang w:val="en-AU"/>
        </w:rPr>
        <w:t xml:space="preserve">Read </w:t>
      </w:r>
      <w:r w:rsidRPr="004C5271">
        <w:rPr>
          <w:rFonts w:asciiTheme="majorBidi" w:hAnsiTheme="majorBidi" w:cstheme="majorBidi"/>
          <w:lang w:val="en-AU"/>
        </w:rPr>
        <w:t xml:space="preserve">versions of the Issues Paper and this report. </w:t>
      </w:r>
      <w:r w:rsidR="005C7E23" w:rsidRPr="004C5271">
        <w:rPr>
          <w:rFonts w:asciiTheme="majorBidi" w:hAnsiTheme="majorBidi" w:cstheme="majorBidi"/>
          <w:lang w:val="en-AU"/>
        </w:rPr>
        <w:t xml:space="preserve">The Institute also wishes to acknowledge the assistance and guidance provided by </w:t>
      </w:r>
      <w:r w:rsidR="006F059E" w:rsidRPr="006F059E">
        <w:rPr>
          <w:rFonts w:asciiTheme="majorBidi" w:hAnsiTheme="majorBidi" w:cstheme="majorBidi"/>
          <w:lang w:val="en-AU"/>
        </w:rPr>
        <w:t>Distinguished Professor Don Chalmers, Professor Gino Dal Pont, Dr David Plater and Professor John Williams.</w:t>
      </w:r>
    </w:p>
    <w:p w14:paraId="1D8414E3" w14:textId="77777777" w:rsidR="001B54C6" w:rsidRPr="004C5271" w:rsidRDefault="001B54C6" w:rsidP="001B54C6">
      <w:pPr>
        <w:pStyle w:val="NumberlessSectionHeading"/>
        <w:ind w:right="0"/>
        <w:rPr>
          <w:rFonts w:asciiTheme="majorBidi" w:hAnsiTheme="majorBidi" w:cstheme="majorBidi"/>
        </w:rPr>
      </w:pPr>
      <w:bookmarkStart w:id="11" w:name="_Toc515817990"/>
      <w:bookmarkStart w:id="12" w:name="_Toc519782124"/>
      <w:bookmarkStart w:id="13" w:name="_Toc12268924"/>
      <w:r w:rsidRPr="004C5271">
        <w:rPr>
          <w:rFonts w:asciiTheme="majorBidi" w:hAnsiTheme="majorBidi" w:cstheme="majorBidi"/>
        </w:rPr>
        <w:t>Terms of Reference</w:t>
      </w:r>
      <w:bookmarkEnd w:id="11"/>
      <w:bookmarkEnd w:id="12"/>
      <w:bookmarkEnd w:id="13"/>
      <w:r w:rsidRPr="004C5271">
        <w:rPr>
          <w:rFonts w:asciiTheme="majorBidi" w:hAnsiTheme="majorBidi" w:cstheme="majorBidi"/>
        </w:rPr>
        <w:t xml:space="preserve"> </w:t>
      </w:r>
    </w:p>
    <w:p w14:paraId="6F221890" w14:textId="0AD5211F" w:rsidR="001B54C6" w:rsidRPr="004C5271" w:rsidRDefault="001B54C6" w:rsidP="00C0478D">
      <w:pPr>
        <w:pStyle w:val="NumberlessNormalText"/>
        <w:rPr>
          <w:rFonts w:asciiTheme="majorBidi" w:hAnsiTheme="majorBidi" w:cstheme="majorBidi"/>
          <w:lang w:val="en-AU"/>
        </w:rPr>
      </w:pPr>
      <w:r w:rsidRPr="004C5271">
        <w:rPr>
          <w:rFonts w:asciiTheme="majorBidi" w:hAnsiTheme="majorBidi" w:cstheme="majorBidi"/>
          <w:lang w:val="en-AU"/>
        </w:rPr>
        <w:t>Whether notional estate legislation should be introduced in Tasmania.</w:t>
      </w:r>
    </w:p>
    <w:p w14:paraId="16A91443" w14:textId="77777777" w:rsidR="009D68E2" w:rsidRPr="004C5271" w:rsidRDefault="009D68E2" w:rsidP="00C0478D">
      <w:pPr>
        <w:pStyle w:val="NumberlessNormalText"/>
        <w:rPr>
          <w:rFonts w:asciiTheme="majorBidi" w:hAnsiTheme="majorBidi" w:cstheme="majorBidi"/>
          <w:lang w:val="en-AU"/>
        </w:rPr>
      </w:pPr>
    </w:p>
    <w:p w14:paraId="1E7D24F8" w14:textId="42000ABF" w:rsidR="009D68E2" w:rsidRPr="004C5271" w:rsidRDefault="009D68E2" w:rsidP="00C0478D">
      <w:pPr>
        <w:pStyle w:val="NumberlessNormalText"/>
        <w:rPr>
          <w:rFonts w:asciiTheme="majorBidi" w:hAnsiTheme="majorBidi" w:cstheme="majorBidi"/>
          <w:lang w:val="en-AU"/>
        </w:rPr>
        <w:sectPr w:rsidR="009D68E2" w:rsidRPr="004C5271" w:rsidSect="004C5271">
          <w:headerReference w:type="even" r:id="rId23"/>
          <w:headerReference w:type="default" r:id="rId24"/>
          <w:footerReference w:type="even" r:id="rId25"/>
          <w:footerReference w:type="default" r:id="rId26"/>
          <w:headerReference w:type="first" r:id="rId27"/>
          <w:footerReference w:type="first" r:id="rId28"/>
          <w:pgSz w:w="9979" w:h="14232" w:code="9"/>
          <w:pgMar w:top="1440" w:right="1440" w:bottom="1440" w:left="1440" w:header="709" w:footer="709" w:gutter="0"/>
          <w:pgNumType w:fmt="lowerRoman"/>
          <w:cols w:space="708"/>
          <w:titlePg/>
          <w:docGrid w:linePitch="360"/>
        </w:sectPr>
      </w:pPr>
    </w:p>
    <w:p w14:paraId="17005BC3" w14:textId="598706EF" w:rsidR="008629F5" w:rsidRPr="004C5271" w:rsidRDefault="008629F5" w:rsidP="008629F5">
      <w:pPr>
        <w:pStyle w:val="NumberlessSectionHeading"/>
        <w:ind w:right="0"/>
        <w:rPr>
          <w:rFonts w:asciiTheme="majorBidi" w:hAnsiTheme="majorBidi" w:cstheme="majorBidi"/>
        </w:rPr>
      </w:pPr>
      <w:bookmarkStart w:id="14" w:name="_Toc12268925"/>
      <w:r w:rsidRPr="004C5271">
        <w:rPr>
          <w:rFonts w:asciiTheme="majorBidi" w:hAnsiTheme="majorBidi" w:cstheme="majorBidi"/>
        </w:rPr>
        <w:lastRenderedPageBreak/>
        <w:t>List of Recommendations</w:t>
      </w:r>
      <w:bookmarkEnd w:id="14"/>
      <w:r w:rsidRPr="004C5271">
        <w:rPr>
          <w:rFonts w:asciiTheme="majorBidi" w:hAnsiTheme="majorBidi" w:cstheme="majorBidi"/>
        </w:rPr>
        <w:t xml:space="preserve"> </w:t>
      </w:r>
    </w:p>
    <w:p w14:paraId="08E691F9" w14:textId="77777777" w:rsidR="00821ED0" w:rsidRPr="004C5271" w:rsidRDefault="00821ED0" w:rsidP="00821ED0">
      <w:pPr>
        <w:pStyle w:val="Reclist"/>
        <w:tabs>
          <w:tab w:val="left" w:pos="0"/>
          <w:tab w:val="left" w:pos="851"/>
        </w:tabs>
        <w:rPr>
          <w:rFonts w:asciiTheme="majorBidi" w:hAnsiTheme="majorBidi" w:cstheme="majorBidi"/>
        </w:rPr>
      </w:pPr>
      <w:bookmarkStart w:id="15" w:name="_Toc529879452"/>
      <w:bookmarkStart w:id="16" w:name="_Toc515817989"/>
      <w:bookmarkStart w:id="17" w:name="_Toc519782123"/>
      <w:r w:rsidRPr="004C5271">
        <w:rPr>
          <w:rFonts w:asciiTheme="majorBidi" w:hAnsiTheme="majorBidi" w:cstheme="majorBidi"/>
        </w:rPr>
        <w:t>1.</w:t>
      </w:r>
      <w:r w:rsidRPr="004C5271">
        <w:rPr>
          <w:rFonts w:asciiTheme="majorBidi" w:hAnsiTheme="majorBidi" w:cstheme="majorBidi"/>
        </w:rPr>
        <w:tab/>
        <w:t>That notional estate laws not be introduced in Tasmania in the absence of nationally uniform family provision laws.</w:t>
      </w:r>
    </w:p>
    <w:p w14:paraId="107AAFAA" w14:textId="77777777" w:rsidR="00821ED0" w:rsidRPr="004C5271" w:rsidRDefault="00821ED0" w:rsidP="00821ED0">
      <w:pPr>
        <w:pStyle w:val="Reclist"/>
        <w:tabs>
          <w:tab w:val="left" w:pos="0"/>
          <w:tab w:val="left" w:pos="851"/>
        </w:tabs>
        <w:rPr>
          <w:rFonts w:asciiTheme="majorBidi" w:hAnsiTheme="majorBidi" w:cstheme="majorBidi"/>
        </w:rPr>
      </w:pPr>
      <w:r w:rsidRPr="004C5271">
        <w:rPr>
          <w:rFonts w:asciiTheme="majorBidi" w:hAnsiTheme="majorBidi" w:cstheme="majorBidi"/>
        </w:rPr>
        <w:t>2.</w:t>
      </w:r>
      <w:r w:rsidRPr="004C5271">
        <w:rPr>
          <w:rFonts w:asciiTheme="majorBidi" w:hAnsiTheme="majorBidi" w:cstheme="majorBidi"/>
        </w:rPr>
        <w:tab/>
        <w:t>That, if notional estate laws are introduced:</w:t>
      </w:r>
    </w:p>
    <w:p w14:paraId="4DB1B4B2" w14:textId="77777777" w:rsidR="00821ED0" w:rsidRPr="004C5271" w:rsidRDefault="00821ED0" w:rsidP="00821ED0">
      <w:pPr>
        <w:pStyle w:val="Reclist"/>
        <w:tabs>
          <w:tab w:val="left" w:pos="0"/>
          <w:tab w:val="left" w:pos="851"/>
        </w:tabs>
        <w:ind w:left="851" w:hanging="851"/>
        <w:rPr>
          <w:rFonts w:asciiTheme="majorBidi" w:hAnsiTheme="majorBidi" w:cstheme="majorBidi"/>
        </w:rPr>
      </w:pPr>
      <w:r w:rsidRPr="004C5271">
        <w:rPr>
          <w:rFonts w:asciiTheme="majorBidi" w:hAnsiTheme="majorBidi" w:cstheme="majorBidi"/>
        </w:rPr>
        <w:tab/>
        <w:t>2.1</w:t>
      </w:r>
      <w:r w:rsidRPr="004C5271">
        <w:rPr>
          <w:rFonts w:asciiTheme="majorBidi" w:hAnsiTheme="majorBidi" w:cstheme="majorBidi"/>
        </w:rPr>
        <w:tab/>
        <w:t>There be a comprehensive public education campaign advising stakeholders of the effect of legislative reform.</w:t>
      </w:r>
    </w:p>
    <w:p w14:paraId="356DE363" w14:textId="77777777" w:rsidR="00821ED0" w:rsidRPr="004C5271" w:rsidRDefault="00821ED0" w:rsidP="00821ED0">
      <w:pPr>
        <w:pStyle w:val="Reclist"/>
        <w:tabs>
          <w:tab w:val="left" w:pos="0"/>
          <w:tab w:val="left" w:pos="851"/>
        </w:tabs>
        <w:rPr>
          <w:rFonts w:asciiTheme="majorBidi" w:hAnsiTheme="majorBidi" w:cstheme="majorBidi"/>
        </w:rPr>
      </w:pPr>
      <w:r w:rsidRPr="004C5271">
        <w:rPr>
          <w:rFonts w:asciiTheme="majorBidi" w:hAnsiTheme="majorBidi" w:cstheme="majorBidi"/>
        </w:rPr>
        <w:tab/>
        <w:t>2.2</w:t>
      </w:r>
      <w:r w:rsidRPr="004C5271">
        <w:rPr>
          <w:rFonts w:asciiTheme="majorBidi" w:hAnsiTheme="majorBidi" w:cstheme="majorBidi"/>
        </w:rPr>
        <w:tab/>
        <w:t>Reforms not operate retrospectively.</w:t>
      </w:r>
    </w:p>
    <w:p w14:paraId="53B914D2" w14:textId="77777777" w:rsidR="00821ED0" w:rsidRPr="004C5271" w:rsidRDefault="00821ED0" w:rsidP="00821ED0">
      <w:pPr>
        <w:pStyle w:val="Reclist"/>
        <w:tabs>
          <w:tab w:val="left" w:pos="0"/>
          <w:tab w:val="left" w:pos="851"/>
        </w:tabs>
        <w:ind w:left="851" w:hanging="851"/>
        <w:rPr>
          <w:rFonts w:asciiTheme="majorBidi" w:hAnsiTheme="majorBidi" w:cstheme="majorBidi"/>
        </w:rPr>
      </w:pPr>
      <w:r w:rsidRPr="004C5271">
        <w:rPr>
          <w:rFonts w:asciiTheme="majorBidi" w:hAnsiTheme="majorBidi" w:cstheme="majorBidi"/>
        </w:rPr>
        <w:tab/>
        <w:t>2.3</w:t>
      </w:r>
      <w:r w:rsidRPr="004C5271">
        <w:rPr>
          <w:rFonts w:asciiTheme="majorBidi" w:hAnsiTheme="majorBidi" w:cstheme="majorBidi"/>
        </w:rPr>
        <w:tab/>
        <w:t xml:space="preserve">Legislative reform broadly align with Part 3.3 of the </w:t>
      </w:r>
      <w:r w:rsidRPr="004C5271">
        <w:rPr>
          <w:rFonts w:asciiTheme="majorBidi" w:hAnsiTheme="majorBidi" w:cstheme="majorBidi"/>
          <w:i/>
          <w:iCs/>
        </w:rPr>
        <w:t>Succession Act 2006</w:t>
      </w:r>
      <w:r w:rsidRPr="004C5271">
        <w:rPr>
          <w:rFonts w:asciiTheme="majorBidi" w:hAnsiTheme="majorBidi" w:cstheme="majorBidi"/>
        </w:rPr>
        <w:t xml:space="preserve"> (NSW), subject to any variations made necessary to ensure consistency with existing terminology used in the </w:t>
      </w:r>
      <w:r w:rsidRPr="004C5271">
        <w:rPr>
          <w:rFonts w:asciiTheme="majorBidi" w:hAnsiTheme="majorBidi" w:cstheme="majorBidi"/>
          <w:i/>
          <w:iCs/>
        </w:rPr>
        <w:t>Testator’s Family Maintenance Act 1912</w:t>
      </w:r>
      <w:r w:rsidRPr="004C5271">
        <w:rPr>
          <w:rFonts w:asciiTheme="majorBidi" w:hAnsiTheme="majorBidi" w:cstheme="majorBidi"/>
        </w:rPr>
        <w:t xml:space="preserve"> (Tas) and Recommendation 2.4.</w:t>
      </w:r>
    </w:p>
    <w:p w14:paraId="7E609D8B" w14:textId="45EFD169" w:rsidR="00821ED0" w:rsidRPr="004C5271" w:rsidRDefault="00821ED0" w:rsidP="00821ED0">
      <w:pPr>
        <w:pStyle w:val="Reclist"/>
        <w:tabs>
          <w:tab w:val="left" w:pos="0"/>
          <w:tab w:val="left" w:pos="851"/>
        </w:tabs>
        <w:ind w:left="851" w:hanging="851"/>
        <w:rPr>
          <w:rFonts w:asciiTheme="majorBidi" w:hAnsiTheme="majorBidi" w:cstheme="majorBidi"/>
        </w:rPr>
      </w:pPr>
      <w:r w:rsidRPr="004C5271">
        <w:rPr>
          <w:rFonts w:asciiTheme="majorBidi" w:hAnsiTheme="majorBidi" w:cstheme="majorBidi"/>
        </w:rPr>
        <w:tab/>
        <w:t>2.4</w:t>
      </w:r>
      <w:r w:rsidRPr="004C5271">
        <w:rPr>
          <w:rFonts w:asciiTheme="majorBidi" w:hAnsiTheme="majorBidi" w:cstheme="majorBidi"/>
        </w:rPr>
        <w:tab/>
        <w:t xml:space="preserve">The </w:t>
      </w:r>
      <w:r w:rsidR="00B13581" w:rsidRPr="004C5271">
        <w:rPr>
          <w:rFonts w:asciiTheme="majorBidi" w:hAnsiTheme="majorBidi" w:cstheme="majorBidi"/>
        </w:rPr>
        <w:t>term</w:t>
      </w:r>
      <w:r w:rsidRPr="004C5271">
        <w:rPr>
          <w:rFonts w:asciiTheme="majorBidi" w:hAnsiTheme="majorBidi" w:cstheme="majorBidi"/>
        </w:rPr>
        <w:t xml:space="preserve"> ‘relevant property transaction’ be limited to acts rather than failures to act.</w:t>
      </w:r>
    </w:p>
    <w:p w14:paraId="5B88D4DB" w14:textId="2FF148A8" w:rsidR="00821ED0" w:rsidRPr="004C5271" w:rsidRDefault="00821ED0" w:rsidP="00821ED0">
      <w:pPr>
        <w:pStyle w:val="Reclist"/>
        <w:tabs>
          <w:tab w:val="left" w:pos="0"/>
          <w:tab w:val="left" w:pos="851"/>
        </w:tabs>
        <w:ind w:left="851" w:hanging="851"/>
        <w:rPr>
          <w:rFonts w:asciiTheme="majorBidi" w:hAnsiTheme="majorBidi" w:cstheme="majorBidi"/>
        </w:rPr>
      </w:pPr>
      <w:r w:rsidRPr="004C5271">
        <w:rPr>
          <w:rFonts w:asciiTheme="majorBidi" w:hAnsiTheme="majorBidi" w:cstheme="majorBidi"/>
        </w:rPr>
        <w:tab/>
        <w:t>2.5</w:t>
      </w:r>
      <w:r w:rsidRPr="004C5271">
        <w:rPr>
          <w:rFonts w:asciiTheme="majorBidi" w:hAnsiTheme="majorBidi" w:cstheme="majorBidi"/>
        </w:rPr>
        <w:tab/>
        <w:t xml:space="preserve">The legislative framework </w:t>
      </w:r>
      <w:r w:rsidR="00CA19E2" w:rsidRPr="004C5271">
        <w:rPr>
          <w:rFonts w:asciiTheme="majorBidi" w:hAnsiTheme="majorBidi" w:cstheme="majorBidi"/>
        </w:rPr>
        <w:t>incorporates</w:t>
      </w:r>
      <w:r w:rsidRPr="004C5271">
        <w:rPr>
          <w:rFonts w:asciiTheme="majorBidi" w:hAnsiTheme="majorBidi" w:cstheme="majorBidi"/>
        </w:rPr>
        <w:t xml:space="preserve"> a section consistent with s 95 of the </w:t>
      </w:r>
      <w:r w:rsidRPr="004C5271">
        <w:rPr>
          <w:rFonts w:asciiTheme="majorBidi" w:hAnsiTheme="majorBidi" w:cstheme="majorBidi"/>
          <w:i/>
          <w:iCs/>
        </w:rPr>
        <w:t>Succession Act 2006</w:t>
      </w:r>
      <w:r w:rsidRPr="004C5271">
        <w:rPr>
          <w:rFonts w:asciiTheme="majorBidi" w:hAnsiTheme="majorBidi" w:cstheme="majorBidi"/>
        </w:rPr>
        <w:t xml:space="preserve"> (NSW) enabling the Supreme Court to approve agreements between eligible claimants about the transfer of assets and relinquishment of claims.</w:t>
      </w:r>
    </w:p>
    <w:p w14:paraId="5EDB7301" w14:textId="4C9711B8" w:rsidR="00FB2203" w:rsidRPr="004C5271" w:rsidRDefault="00821ED0" w:rsidP="00B07B6A">
      <w:pPr>
        <w:pStyle w:val="Recnumberedlist"/>
        <w:numPr>
          <w:ilvl w:val="0"/>
          <w:numId w:val="0"/>
        </w:numPr>
        <w:ind w:left="426" w:hanging="426"/>
        <w:rPr>
          <w:rFonts w:asciiTheme="majorBidi" w:hAnsiTheme="majorBidi" w:cstheme="majorBidi"/>
        </w:rPr>
      </w:pPr>
      <w:r w:rsidRPr="004C5271">
        <w:rPr>
          <w:rFonts w:asciiTheme="majorBidi" w:hAnsiTheme="majorBidi" w:cstheme="majorBidi"/>
        </w:rPr>
        <w:t>3.</w:t>
      </w:r>
      <w:r w:rsidRPr="004C5271">
        <w:rPr>
          <w:rFonts w:asciiTheme="majorBidi" w:hAnsiTheme="majorBidi" w:cstheme="majorBidi"/>
        </w:rPr>
        <w:tab/>
      </w:r>
      <w:r w:rsidR="00FB2203" w:rsidRPr="004C5271">
        <w:rPr>
          <w:rFonts w:asciiTheme="majorBidi" w:hAnsiTheme="majorBidi" w:cstheme="majorBidi"/>
        </w:rPr>
        <w:t>That the State Government advance the national debate surrounding nationally uniform family provision legislation via the Council of Attorneys-General or by referring the matter to the Institute to advance through coordination of a national project amongst law reform bodies.</w:t>
      </w:r>
    </w:p>
    <w:p w14:paraId="153D8F5B" w14:textId="18EDCBED" w:rsidR="00821ED0" w:rsidRPr="004C5271" w:rsidRDefault="00FB2203" w:rsidP="00821ED0">
      <w:pPr>
        <w:pStyle w:val="Recnumberedlist"/>
        <w:numPr>
          <w:ilvl w:val="0"/>
          <w:numId w:val="0"/>
        </w:numPr>
        <w:ind w:left="426" w:hanging="426"/>
        <w:rPr>
          <w:rFonts w:asciiTheme="majorBidi" w:hAnsiTheme="majorBidi" w:cstheme="majorBidi"/>
        </w:rPr>
      </w:pPr>
      <w:r w:rsidRPr="004C5271">
        <w:rPr>
          <w:rFonts w:asciiTheme="majorBidi" w:hAnsiTheme="majorBidi" w:cstheme="majorBidi"/>
        </w:rPr>
        <w:t>4.</w:t>
      </w:r>
      <w:r w:rsidRPr="004C5271">
        <w:rPr>
          <w:rFonts w:asciiTheme="majorBidi" w:hAnsiTheme="majorBidi" w:cstheme="majorBidi"/>
        </w:rPr>
        <w:tab/>
      </w:r>
      <w:r w:rsidR="00821ED0" w:rsidRPr="004C5271">
        <w:rPr>
          <w:rFonts w:asciiTheme="majorBidi" w:hAnsiTheme="majorBidi" w:cstheme="majorBidi"/>
        </w:rPr>
        <w:t xml:space="preserve">That, if nationally uniform estate dispute laws are progressed, this matter be revisited, and, following a full evaluation of the operation of the New South Wales notional estate scheme, the utility of incorporating notional estate provisions within national uniform laws be considered as well as the form that those provisions might take. </w:t>
      </w:r>
    </w:p>
    <w:p w14:paraId="36B1314D" w14:textId="77777777" w:rsidR="004769DF" w:rsidRPr="004C5271" w:rsidRDefault="004769DF" w:rsidP="00821ED0">
      <w:pPr>
        <w:pStyle w:val="Recnumberedlist"/>
        <w:numPr>
          <w:ilvl w:val="0"/>
          <w:numId w:val="0"/>
        </w:numPr>
        <w:ind w:left="426" w:hanging="426"/>
        <w:rPr>
          <w:rFonts w:asciiTheme="majorBidi" w:hAnsiTheme="majorBidi" w:cstheme="majorBidi"/>
        </w:rPr>
      </w:pPr>
    </w:p>
    <w:p w14:paraId="5F6E969E" w14:textId="77777777" w:rsidR="004769DF" w:rsidRPr="004C5271" w:rsidRDefault="004769DF" w:rsidP="00821ED0">
      <w:pPr>
        <w:pStyle w:val="Recnumberedlist"/>
        <w:numPr>
          <w:ilvl w:val="0"/>
          <w:numId w:val="0"/>
        </w:numPr>
        <w:ind w:left="426" w:hanging="426"/>
        <w:rPr>
          <w:rFonts w:asciiTheme="majorBidi" w:hAnsiTheme="majorBidi" w:cstheme="majorBidi"/>
        </w:rPr>
      </w:pPr>
    </w:p>
    <w:p w14:paraId="2B5ABD09" w14:textId="46BD18D6" w:rsidR="004769DF" w:rsidRPr="004C5271" w:rsidRDefault="004769DF" w:rsidP="00821ED0">
      <w:pPr>
        <w:pStyle w:val="Recnumberedlist"/>
        <w:numPr>
          <w:ilvl w:val="0"/>
          <w:numId w:val="0"/>
        </w:numPr>
        <w:ind w:left="426" w:hanging="426"/>
        <w:rPr>
          <w:rFonts w:asciiTheme="majorBidi" w:hAnsiTheme="majorBidi" w:cstheme="majorBidi"/>
        </w:rPr>
        <w:sectPr w:rsidR="004769DF" w:rsidRPr="004C5271" w:rsidSect="004C5271">
          <w:pgSz w:w="9979" w:h="14232" w:code="9"/>
          <w:pgMar w:top="1440" w:right="1440" w:bottom="1440" w:left="1440" w:header="709" w:footer="709" w:gutter="0"/>
          <w:pgNumType w:fmt="lowerRoman"/>
          <w:cols w:space="708"/>
          <w:titlePg/>
          <w:docGrid w:linePitch="360"/>
        </w:sectPr>
      </w:pPr>
    </w:p>
    <w:p w14:paraId="24FF047D" w14:textId="613E56C4" w:rsidR="00285825" w:rsidRPr="004C5271" w:rsidRDefault="00285825" w:rsidP="004079DF">
      <w:pPr>
        <w:pStyle w:val="NumberlessSectionHeading"/>
        <w:spacing w:before="0" w:after="360"/>
        <w:rPr>
          <w:rFonts w:asciiTheme="majorBidi" w:hAnsiTheme="majorBidi" w:cstheme="majorBidi"/>
        </w:rPr>
      </w:pPr>
      <w:bookmarkStart w:id="18" w:name="_Toc12268926"/>
      <w:r w:rsidRPr="004C5271">
        <w:rPr>
          <w:rFonts w:asciiTheme="majorBidi" w:hAnsiTheme="majorBidi" w:cstheme="majorBidi"/>
        </w:rPr>
        <w:lastRenderedPageBreak/>
        <w:t xml:space="preserve">Glossary and </w:t>
      </w:r>
      <w:bookmarkEnd w:id="15"/>
      <w:r w:rsidR="006F3292" w:rsidRPr="004C5271">
        <w:rPr>
          <w:rFonts w:asciiTheme="majorBidi" w:hAnsiTheme="majorBidi" w:cstheme="majorBidi"/>
        </w:rPr>
        <w:t>Abbreviations</w:t>
      </w:r>
      <w:bookmarkEnd w:id="18"/>
    </w:p>
    <w:p w14:paraId="31BEFF56" w14:textId="02C6F5BB" w:rsidR="00973515" w:rsidRPr="004C5271" w:rsidRDefault="0097351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Administrator</w:t>
      </w:r>
      <w:r w:rsidRPr="004C5271">
        <w:rPr>
          <w:rFonts w:asciiTheme="majorBidi" w:hAnsiTheme="majorBidi" w:cstheme="majorBidi"/>
          <w:lang w:val="en-AU"/>
        </w:rPr>
        <w:tab/>
        <w:t xml:space="preserve">Someone who obtains a Grant of Letters of Administration from the Supreme Court of Tasmania </w:t>
      </w:r>
    </w:p>
    <w:p w14:paraId="238F551D" w14:textId="2417324F" w:rsidR="000865A9" w:rsidRPr="004C5271" w:rsidRDefault="000865A9" w:rsidP="00B76ECF">
      <w:pPr>
        <w:pStyle w:val="NumberlessNormalText"/>
        <w:tabs>
          <w:tab w:val="clear" w:pos="709"/>
          <w:tab w:val="left" w:pos="3544"/>
        </w:tabs>
        <w:spacing w:before="120" w:after="120"/>
        <w:ind w:left="3544" w:hanging="3544"/>
        <w:rPr>
          <w:rFonts w:asciiTheme="majorBidi" w:hAnsiTheme="majorBidi" w:cstheme="majorBidi"/>
          <w:b/>
          <w:lang w:val="en-AU"/>
        </w:rPr>
      </w:pPr>
      <w:r w:rsidRPr="004C5271">
        <w:rPr>
          <w:rFonts w:asciiTheme="majorBidi" w:hAnsiTheme="majorBidi" w:cstheme="majorBidi"/>
          <w:b/>
          <w:lang w:val="en-AU"/>
        </w:rPr>
        <w:t>BCLI</w:t>
      </w:r>
      <w:r w:rsidRPr="004C5271">
        <w:rPr>
          <w:rFonts w:asciiTheme="majorBidi" w:hAnsiTheme="majorBidi" w:cstheme="majorBidi"/>
          <w:b/>
          <w:lang w:val="en-AU"/>
        </w:rPr>
        <w:tab/>
      </w:r>
      <w:r w:rsidRPr="004C5271">
        <w:rPr>
          <w:rFonts w:asciiTheme="majorBidi" w:hAnsiTheme="majorBidi" w:cstheme="majorBidi"/>
          <w:lang w:val="en-AU"/>
        </w:rPr>
        <w:t>British Columbia Law Institute</w:t>
      </w:r>
    </w:p>
    <w:p w14:paraId="0D8A9BD6" w14:textId="1FD75973" w:rsidR="000865A9" w:rsidRPr="004C5271" w:rsidRDefault="000865A9"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BDBN</w:t>
      </w:r>
      <w:r w:rsidRPr="004C5271">
        <w:rPr>
          <w:rFonts w:asciiTheme="majorBidi" w:hAnsiTheme="majorBidi" w:cstheme="majorBidi"/>
          <w:b/>
          <w:lang w:val="en-AU"/>
        </w:rPr>
        <w:tab/>
      </w:r>
      <w:r w:rsidRPr="004C5271">
        <w:rPr>
          <w:rFonts w:asciiTheme="majorBidi" w:hAnsiTheme="majorBidi" w:cstheme="majorBidi"/>
          <w:lang w:val="en-AU"/>
        </w:rPr>
        <w:t>Binding death benefit nomination</w:t>
      </w:r>
    </w:p>
    <w:p w14:paraId="2FFA81E4" w14:textId="28A67DB1" w:rsidR="000865A9" w:rsidRPr="004C5271" w:rsidRDefault="000865A9"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i/>
          <w:iCs/>
          <w:lang w:val="en-AU"/>
        </w:rPr>
        <w:t>Donatio mortis causa</w:t>
      </w:r>
      <w:r w:rsidRPr="004C5271">
        <w:rPr>
          <w:rFonts w:asciiTheme="majorBidi" w:hAnsiTheme="majorBidi" w:cstheme="majorBidi"/>
          <w:b/>
          <w:lang w:val="en-AU"/>
        </w:rPr>
        <w:t xml:space="preserve"> </w:t>
      </w:r>
      <w:r w:rsidRPr="004C5271">
        <w:rPr>
          <w:rFonts w:asciiTheme="majorBidi" w:hAnsiTheme="majorBidi" w:cstheme="majorBidi"/>
          <w:b/>
          <w:lang w:val="en-AU"/>
        </w:rPr>
        <w:tab/>
      </w:r>
      <w:r w:rsidR="00A22782" w:rsidRPr="004C5271">
        <w:rPr>
          <w:rFonts w:asciiTheme="majorBidi" w:hAnsiTheme="majorBidi" w:cstheme="majorBidi"/>
          <w:lang w:val="en-AU"/>
        </w:rPr>
        <w:t xml:space="preserve">Also known as a </w:t>
      </w:r>
      <w:r w:rsidRPr="004C5271">
        <w:rPr>
          <w:rFonts w:asciiTheme="majorBidi" w:hAnsiTheme="majorBidi" w:cstheme="majorBidi"/>
          <w:lang w:val="en-AU"/>
        </w:rPr>
        <w:t>‘</w:t>
      </w:r>
      <w:r w:rsidR="00A22782" w:rsidRPr="004C5271">
        <w:rPr>
          <w:rFonts w:asciiTheme="majorBidi" w:hAnsiTheme="majorBidi" w:cstheme="majorBidi"/>
          <w:lang w:val="en-AU"/>
        </w:rPr>
        <w:t>d</w:t>
      </w:r>
      <w:r w:rsidRPr="004C5271">
        <w:rPr>
          <w:rFonts w:asciiTheme="majorBidi" w:hAnsiTheme="majorBidi" w:cstheme="majorBidi"/>
          <w:lang w:val="en-AU"/>
        </w:rPr>
        <w:t>eath bed gift’</w:t>
      </w:r>
      <w:r w:rsidRPr="004C5271">
        <w:rPr>
          <w:rStyle w:val="FootnoteReference"/>
          <w:rFonts w:asciiTheme="majorBidi" w:hAnsiTheme="majorBidi" w:cstheme="majorBidi"/>
          <w:bCs/>
          <w:lang w:val="en-AU"/>
        </w:rPr>
        <w:footnoteReference w:id="5"/>
      </w:r>
    </w:p>
    <w:p w14:paraId="3F7908B8" w14:textId="7D07D16F" w:rsidR="00456273" w:rsidRPr="004C5271" w:rsidRDefault="00456273"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Elder Law Committee</w:t>
      </w:r>
      <w:r w:rsidRPr="004C5271">
        <w:rPr>
          <w:rFonts w:asciiTheme="majorBidi" w:hAnsiTheme="majorBidi" w:cstheme="majorBidi"/>
          <w:b/>
          <w:lang w:val="en-AU"/>
        </w:rPr>
        <w:tab/>
      </w:r>
      <w:r w:rsidRPr="004C5271">
        <w:rPr>
          <w:rFonts w:asciiTheme="majorBidi" w:hAnsiTheme="majorBidi" w:cstheme="majorBidi"/>
          <w:lang w:val="en-AU"/>
        </w:rPr>
        <w:t>Elder &amp; Succession Law Committee of the Law Society</w:t>
      </w:r>
      <w:r w:rsidR="00AF6296" w:rsidRPr="004C5271">
        <w:rPr>
          <w:rFonts w:asciiTheme="majorBidi" w:hAnsiTheme="majorBidi" w:cstheme="majorBidi"/>
          <w:lang w:val="en-AU"/>
        </w:rPr>
        <w:t xml:space="preserve"> of Tasmania</w:t>
      </w:r>
    </w:p>
    <w:p w14:paraId="26919B19" w14:textId="25C2DBDA" w:rsidR="00285825"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Estate</w:t>
      </w:r>
      <w:r w:rsidRPr="004C5271">
        <w:rPr>
          <w:rFonts w:asciiTheme="majorBidi" w:hAnsiTheme="majorBidi" w:cstheme="majorBidi"/>
          <w:lang w:val="en-AU"/>
        </w:rPr>
        <w:tab/>
        <w:t>Assets held by the deceased at their death</w:t>
      </w:r>
      <w:r w:rsidR="00973515" w:rsidRPr="004C5271">
        <w:rPr>
          <w:rFonts w:asciiTheme="majorBidi" w:hAnsiTheme="majorBidi" w:cstheme="majorBidi"/>
          <w:lang w:val="en-AU"/>
        </w:rPr>
        <w:t xml:space="preserve"> or that are paid to the person’s legal personal representative</w:t>
      </w:r>
    </w:p>
    <w:p w14:paraId="239E712B" w14:textId="560D2621" w:rsidR="005602B7" w:rsidRPr="004C5271" w:rsidRDefault="005602B7" w:rsidP="00B76ECF">
      <w:pPr>
        <w:pStyle w:val="NumberlessNormalText"/>
        <w:tabs>
          <w:tab w:val="clear" w:pos="709"/>
          <w:tab w:val="left" w:pos="3544"/>
        </w:tabs>
        <w:spacing w:before="120" w:after="120"/>
        <w:ind w:left="3544" w:hanging="3544"/>
        <w:rPr>
          <w:rFonts w:asciiTheme="majorBidi" w:hAnsiTheme="majorBidi" w:cstheme="majorBidi"/>
          <w:b/>
          <w:lang w:val="en-AU"/>
        </w:rPr>
      </w:pPr>
      <w:r w:rsidRPr="004C5271">
        <w:rPr>
          <w:rFonts w:asciiTheme="majorBidi" w:hAnsiTheme="majorBidi" w:cstheme="majorBidi"/>
          <w:b/>
          <w:lang w:val="en-AU"/>
        </w:rPr>
        <w:t>EUC</w:t>
      </w:r>
      <w:r w:rsidRPr="004C5271">
        <w:rPr>
          <w:rFonts w:asciiTheme="majorBidi" w:hAnsiTheme="majorBidi" w:cstheme="majorBidi"/>
          <w:b/>
          <w:lang w:val="en-AU"/>
        </w:rPr>
        <w:tab/>
      </w:r>
      <w:r w:rsidRPr="004C5271">
        <w:rPr>
          <w:rFonts w:asciiTheme="majorBidi" w:hAnsiTheme="majorBidi" w:cstheme="majorBidi"/>
          <w:lang w:val="en-AU"/>
        </w:rPr>
        <w:t>European Union Committee</w:t>
      </w:r>
    </w:p>
    <w:p w14:paraId="296DA687" w14:textId="6C2D2051" w:rsidR="00973515" w:rsidRPr="004C5271" w:rsidRDefault="0097351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Executor</w:t>
      </w:r>
      <w:r w:rsidRPr="004C5271">
        <w:rPr>
          <w:rFonts w:asciiTheme="majorBidi" w:hAnsiTheme="majorBidi" w:cstheme="majorBidi"/>
          <w:lang w:val="en-AU"/>
        </w:rPr>
        <w:tab/>
        <w:t xml:space="preserve">Someone appointed under a </w:t>
      </w:r>
      <w:r w:rsidR="002437FC" w:rsidRPr="004C5271">
        <w:rPr>
          <w:rFonts w:asciiTheme="majorBidi" w:hAnsiTheme="majorBidi" w:cstheme="majorBidi"/>
          <w:lang w:val="en-AU"/>
        </w:rPr>
        <w:t>w</w:t>
      </w:r>
      <w:r w:rsidRPr="004C5271">
        <w:rPr>
          <w:rFonts w:asciiTheme="majorBidi" w:hAnsiTheme="majorBidi" w:cstheme="majorBidi"/>
          <w:lang w:val="en-AU"/>
        </w:rPr>
        <w:t xml:space="preserve">ill to administer the </w:t>
      </w:r>
      <w:r w:rsidR="001343B3" w:rsidRPr="004C5271">
        <w:rPr>
          <w:rFonts w:asciiTheme="majorBidi" w:hAnsiTheme="majorBidi" w:cstheme="majorBidi"/>
          <w:lang w:val="en-AU"/>
        </w:rPr>
        <w:t>will</w:t>
      </w:r>
      <w:r w:rsidR="000B7F3C" w:rsidRPr="004C5271">
        <w:rPr>
          <w:rFonts w:asciiTheme="majorBidi" w:hAnsiTheme="majorBidi" w:cstheme="majorBidi"/>
          <w:lang w:val="en-AU"/>
        </w:rPr>
        <w:t>-</w:t>
      </w:r>
      <w:r w:rsidR="001343B3" w:rsidRPr="004C5271">
        <w:rPr>
          <w:rFonts w:asciiTheme="majorBidi" w:hAnsiTheme="majorBidi" w:cstheme="majorBidi"/>
          <w:lang w:val="en-AU"/>
        </w:rPr>
        <w:t>maker’s</w:t>
      </w:r>
      <w:r w:rsidRPr="004C5271">
        <w:rPr>
          <w:rFonts w:asciiTheme="majorBidi" w:hAnsiTheme="majorBidi" w:cstheme="majorBidi"/>
          <w:lang w:val="en-AU"/>
        </w:rPr>
        <w:t xml:space="preserve"> estate</w:t>
      </w:r>
    </w:p>
    <w:p w14:paraId="1B30CEF1" w14:textId="51E6366D" w:rsidR="00C700C0"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Family provision claim</w:t>
      </w:r>
      <w:r w:rsidRPr="004C5271">
        <w:rPr>
          <w:rFonts w:asciiTheme="majorBidi" w:hAnsiTheme="majorBidi" w:cstheme="majorBidi"/>
          <w:lang w:val="en-AU"/>
        </w:rPr>
        <w:tab/>
      </w:r>
      <w:r w:rsidR="00C700C0" w:rsidRPr="004C5271">
        <w:rPr>
          <w:rFonts w:asciiTheme="majorBidi" w:hAnsiTheme="majorBidi" w:cstheme="majorBidi"/>
          <w:lang w:val="en-AU"/>
        </w:rPr>
        <w:t xml:space="preserve">A claim by an eligible applicant for additional provision from a deceased’s estate under the </w:t>
      </w:r>
      <w:r w:rsidR="00C700C0" w:rsidRPr="004C5271">
        <w:rPr>
          <w:rFonts w:asciiTheme="majorBidi" w:hAnsiTheme="majorBidi" w:cstheme="majorBidi"/>
          <w:i/>
          <w:lang w:val="en-AU"/>
        </w:rPr>
        <w:t>Testator’s Family Maintenance Act 1912</w:t>
      </w:r>
      <w:r w:rsidR="00C700C0" w:rsidRPr="004C5271">
        <w:rPr>
          <w:rFonts w:asciiTheme="majorBidi" w:hAnsiTheme="majorBidi" w:cstheme="majorBidi"/>
          <w:lang w:val="en-AU"/>
        </w:rPr>
        <w:t xml:space="preserve"> (Tas) (or equivalent </w:t>
      </w:r>
      <w:r w:rsidR="001343B3" w:rsidRPr="004C5271">
        <w:rPr>
          <w:rFonts w:asciiTheme="majorBidi" w:hAnsiTheme="majorBidi" w:cstheme="majorBidi"/>
          <w:lang w:val="en-AU"/>
        </w:rPr>
        <w:t>laws</w:t>
      </w:r>
      <w:r w:rsidR="00C700C0" w:rsidRPr="004C5271">
        <w:rPr>
          <w:rFonts w:asciiTheme="majorBidi" w:hAnsiTheme="majorBidi" w:cstheme="majorBidi"/>
          <w:lang w:val="en-AU"/>
        </w:rPr>
        <w:t xml:space="preserve"> in other jurisdictions)</w:t>
      </w:r>
    </w:p>
    <w:p w14:paraId="251DC3BD" w14:textId="5C694551" w:rsidR="00600421" w:rsidRPr="004C5271" w:rsidRDefault="00600421"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i/>
          <w:iCs/>
          <w:lang w:val="en-AU"/>
        </w:rPr>
        <w:lastRenderedPageBreak/>
        <w:t>FLA</w:t>
      </w:r>
      <w:r w:rsidRPr="004C5271">
        <w:rPr>
          <w:rFonts w:asciiTheme="majorBidi" w:hAnsiTheme="majorBidi" w:cstheme="majorBidi"/>
          <w:b/>
          <w:lang w:val="en-AU"/>
        </w:rPr>
        <w:tab/>
      </w:r>
      <w:r w:rsidR="00633A71" w:rsidRPr="004C5271">
        <w:rPr>
          <w:rFonts w:asciiTheme="majorBidi" w:hAnsiTheme="majorBidi" w:cstheme="majorBidi"/>
          <w:i/>
          <w:iCs/>
          <w:lang w:val="en-AU"/>
        </w:rPr>
        <w:t>Family Law Act 1975</w:t>
      </w:r>
      <w:r w:rsidR="00633A71" w:rsidRPr="004C5271">
        <w:rPr>
          <w:rFonts w:asciiTheme="majorBidi" w:hAnsiTheme="majorBidi" w:cstheme="majorBidi"/>
          <w:lang w:val="en-AU"/>
        </w:rPr>
        <w:t xml:space="preserve"> (Cth)</w:t>
      </w:r>
    </w:p>
    <w:p w14:paraId="4D951D06" w14:textId="2553F5D8" w:rsidR="00AF6296" w:rsidRPr="004C5271" w:rsidRDefault="00AF6296" w:rsidP="00B76ECF">
      <w:pPr>
        <w:pStyle w:val="NumberlessNormalText"/>
        <w:tabs>
          <w:tab w:val="clear" w:pos="709"/>
          <w:tab w:val="left" w:pos="3544"/>
        </w:tabs>
        <w:spacing w:before="120" w:after="120"/>
        <w:ind w:left="3544" w:hanging="3544"/>
        <w:rPr>
          <w:rFonts w:asciiTheme="majorBidi" w:hAnsiTheme="majorBidi" w:cstheme="majorBidi"/>
          <w:i/>
          <w:iCs/>
          <w:lang w:val="en-AU"/>
        </w:rPr>
      </w:pPr>
      <w:r w:rsidRPr="004C5271">
        <w:rPr>
          <w:rFonts w:asciiTheme="majorBidi" w:hAnsiTheme="majorBidi" w:cstheme="majorBidi"/>
          <w:b/>
          <w:lang w:val="en-AU"/>
        </w:rPr>
        <w:t>Family Law Committee</w:t>
      </w:r>
      <w:r w:rsidRPr="004C5271">
        <w:rPr>
          <w:rFonts w:asciiTheme="majorBidi" w:hAnsiTheme="majorBidi" w:cstheme="majorBidi"/>
          <w:b/>
          <w:lang w:val="en-AU"/>
        </w:rPr>
        <w:tab/>
      </w:r>
      <w:r w:rsidRPr="004C5271">
        <w:rPr>
          <w:rFonts w:asciiTheme="majorBidi" w:hAnsiTheme="majorBidi" w:cstheme="majorBidi"/>
          <w:lang w:val="en-AU"/>
        </w:rPr>
        <w:t>Family Law Committee of the Law Society of Tasmania</w:t>
      </w:r>
    </w:p>
    <w:p w14:paraId="52DCA22A" w14:textId="3908E3F3" w:rsidR="00285825"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Grant of Administration</w:t>
      </w:r>
      <w:r w:rsidRPr="004C5271">
        <w:rPr>
          <w:rFonts w:asciiTheme="majorBidi" w:hAnsiTheme="majorBidi" w:cstheme="majorBidi"/>
          <w:lang w:val="en-AU"/>
        </w:rPr>
        <w:t xml:space="preserve"> </w:t>
      </w:r>
      <w:r w:rsidRPr="004C5271">
        <w:rPr>
          <w:rFonts w:asciiTheme="majorBidi" w:hAnsiTheme="majorBidi" w:cstheme="majorBidi"/>
          <w:lang w:val="en-AU"/>
        </w:rPr>
        <w:tab/>
        <w:t>‘A legal document issued under the Seal of the Court which enables the person(s) named as Executor(s) or Administrator(s) to deal with the assets held by the deceased in Tasmania.’</w:t>
      </w:r>
      <w:r w:rsidRPr="004C5271">
        <w:rPr>
          <w:rStyle w:val="FootnoteReference"/>
          <w:rFonts w:asciiTheme="majorBidi" w:hAnsiTheme="majorBidi" w:cstheme="majorBidi"/>
          <w:lang w:val="en-AU"/>
        </w:rPr>
        <w:footnoteReference w:id="6"/>
      </w:r>
    </w:p>
    <w:p w14:paraId="75460FBA" w14:textId="086F961A" w:rsidR="00285825"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Grant of Probate</w:t>
      </w:r>
      <w:r w:rsidRPr="004C5271">
        <w:rPr>
          <w:rFonts w:asciiTheme="majorBidi" w:hAnsiTheme="majorBidi" w:cstheme="majorBidi"/>
          <w:lang w:val="en-AU"/>
        </w:rPr>
        <w:tab/>
        <w:t>‘Probate is the process of officially proving the validity of a Will as being the last Will of the deceased. A Grant of Probate is issued when the deceased’s last Will and testament is proved by one or more Executors named in the Will.’</w:t>
      </w:r>
      <w:r w:rsidRPr="004C5271">
        <w:rPr>
          <w:rStyle w:val="FootnoteReference"/>
          <w:rFonts w:asciiTheme="majorBidi" w:hAnsiTheme="majorBidi" w:cstheme="majorBidi"/>
          <w:lang w:val="en-AU"/>
        </w:rPr>
        <w:footnoteReference w:id="7"/>
      </w:r>
    </w:p>
    <w:p w14:paraId="08D6203C" w14:textId="19DACCF9" w:rsidR="00285825"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Grant of Letters of Administ</w:t>
      </w:r>
      <w:r w:rsidR="00884C4C" w:rsidRPr="004C5271">
        <w:rPr>
          <w:rFonts w:asciiTheme="majorBidi" w:hAnsiTheme="majorBidi" w:cstheme="majorBidi"/>
          <w:b/>
          <w:lang w:val="en-AU"/>
        </w:rPr>
        <w:t>r</w:t>
      </w:r>
      <w:r w:rsidRPr="004C5271">
        <w:rPr>
          <w:rFonts w:asciiTheme="majorBidi" w:hAnsiTheme="majorBidi" w:cstheme="majorBidi"/>
          <w:b/>
          <w:lang w:val="en-AU"/>
        </w:rPr>
        <w:t>ation</w:t>
      </w:r>
      <w:r w:rsidRPr="004C5271">
        <w:rPr>
          <w:rFonts w:asciiTheme="majorBidi" w:hAnsiTheme="majorBidi" w:cstheme="majorBidi"/>
          <w:lang w:val="en-AU"/>
        </w:rPr>
        <w:tab/>
        <w:t xml:space="preserve">A Grant made if a person dies without a </w:t>
      </w:r>
      <w:r w:rsidR="002F795E" w:rsidRPr="004C5271">
        <w:rPr>
          <w:rFonts w:asciiTheme="majorBidi" w:hAnsiTheme="majorBidi" w:cstheme="majorBidi"/>
          <w:lang w:val="en-AU"/>
        </w:rPr>
        <w:t>w</w:t>
      </w:r>
      <w:r w:rsidRPr="004C5271">
        <w:rPr>
          <w:rFonts w:asciiTheme="majorBidi" w:hAnsiTheme="majorBidi" w:cstheme="majorBidi"/>
          <w:lang w:val="en-AU"/>
        </w:rPr>
        <w:t>ill</w:t>
      </w:r>
    </w:p>
    <w:p w14:paraId="199F4C1B" w14:textId="350F5945" w:rsidR="00285825"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Intestacy</w:t>
      </w:r>
      <w:r w:rsidRPr="004C5271">
        <w:rPr>
          <w:rFonts w:asciiTheme="majorBidi" w:hAnsiTheme="majorBidi" w:cstheme="majorBidi"/>
          <w:b/>
          <w:lang w:val="en-AU"/>
        </w:rPr>
        <w:tab/>
      </w:r>
      <w:r w:rsidRPr="004C5271">
        <w:rPr>
          <w:rFonts w:asciiTheme="majorBidi" w:hAnsiTheme="majorBidi" w:cstheme="majorBidi"/>
          <w:lang w:val="en-AU"/>
        </w:rPr>
        <w:t>Where a person dies without a will that gifts the whole of their estate</w:t>
      </w:r>
    </w:p>
    <w:p w14:paraId="0AD560FB" w14:textId="517C91E2" w:rsidR="00973515" w:rsidRPr="004C5271" w:rsidRDefault="0097351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Legal personal representative</w:t>
      </w:r>
      <w:r w:rsidRPr="004C5271">
        <w:rPr>
          <w:rFonts w:asciiTheme="majorBidi" w:hAnsiTheme="majorBidi" w:cstheme="majorBidi"/>
          <w:lang w:val="en-AU"/>
        </w:rPr>
        <w:tab/>
      </w:r>
      <w:proofErr w:type="gramStart"/>
      <w:r w:rsidRPr="004C5271">
        <w:rPr>
          <w:rFonts w:asciiTheme="majorBidi" w:hAnsiTheme="majorBidi" w:cstheme="majorBidi"/>
          <w:lang w:val="en-AU"/>
        </w:rPr>
        <w:t>An</w:t>
      </w:r>
      <w:proofErr w:type="gramEnd"/>
      <w:r w:rsidRPr="004C5271">
        <w:rPr>
          <w:rFonts w:asciiTheme="majorBidi" w:hAnsiTheme="majorBidi" w:cstheme="majorBidi"/>
          <w:lang w:val="en-AU"/>
        </w:rPr>
        <w:t xml:space="preserve"> executor or administrator who obtains a Grant of Administration </w:t>
      </w:r>
    </w:p>
    <w:p w14:paraId="14DAE694" w14:textId="4D97CFF7" w:rsidR="001343B3" w:rsidRPr="004C5271" w:rsidRDefault="001343B3"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Litigation Committee</w:t>
      </w:r>
      <w:r w:rsidRPr="004C5271">
        <w:rPr>
          <w:rFonts w:asciiTheme="majorBidi" w:hAnsiTheme="majorBidi" w:cstheme="majorBidi"/>
          <w:b/>
          <w:lang w:val="en-AU"/>
        </w:rPr>
        <w:tab/>
      </w:r>
      <w:r w:rsidRPr="004C5271">
        <w:rPr>
          <w:rFonts w:asciiTheme="majorBidi" w:hAnsiTheme="majorBidi" w:cstheme="majorBidi"/>
          <w:lang w:val="en-AU"/>
        </w:rPr>
        <w:t xml:space="preserve">Litigation Committee of the Law Society of Tasmania </w:t>
      </w:r>
    </w:p>
    <w:p w14:paraId="7A8AA7F5" w14:textId="49531F0C" w:rsidR="00285825"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NSWLRC</w:t>
      </w:r>
      <w:r w:rsidRPr="004C5271">
        <w:rPr>
          <w:rFonts w:asciiTheme="majorBidi" w:hAnsiTheme="majorBidi" w:cstheme="majorBidi"/>
          <w:lang w:val="en-AU"/>
        </w:rPr>
        <w:tab/>
        <w:t>New South Wales Law Reform Commission</w:t>
      </w:r>
    </w:p>
    <w:p w14:paraId="677339D5" w14:textId="77777777" w:rsidR="00104CD1" w:rsidRPr="004C5271" w:rsidRDefault="00104CD1"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i/>
          <w:iCs/>
          <w:lang w:val="en-AU"/>
        </w:rPr>
        <w:t>NSW Succession Act</w:t>
      </w:r>
      <w:r w:rsidRPr="004C5271">
        <w:rPr>
          <w:rFonts w:asciiTheme="majorBidi" w:hAnsiTheme="majorBidi" w:cstheme="majorBidi"/>
          <w:lang w:val="en-AU"/>
        </w:rPr>
        <w:tab/>
      </w:r>
      <w:r w:rsidRPr="004C5271">
        <w:rPr>
          <w:rFonts w:asciiTheme="majorBidi" w:hAnsiTheme="majorBidi" w:cstheme="majorBidi"/>
          <w:i/>
          <w:iCs/>
          <w:lang w:val="en-AU"/>
        </w:rPr>
        <w:t>Succession Act 2006</w:t>
      </w:r>
      <w:r w:rsidRPr="004C5271">
        <w:rPr>
          <w:rFonts w:asciiTheme="majorBidi" w:hAnsiTheme="majorBidi" w:cstheme="majorBidi"/>
          <w:lang w:val="en-AU"/>
        </w:rPr>
        <w:t xml:space="preserve"> (NSW)</w:t>
      </w:r>
    </w:p>
    <w:p w14:paraId="12B45E38" w14:textId="1DD0C19B" w:rsidR="00104CD1" w:rsidRPr="004C5271" w:rsidRDefault="00104CD1"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NZLC</w:t>
      </w:r>
      <w:r w:rsidRPr="004C5271">
        <w:rPr>
          <w:rFonts w:asciiTheme="majorBidi" w:hAnsiTheme="majorBidi" w:cstheme="majorBidi"/>
          <w:b/>
          <w:lang w:val="en-AU"/>
        </w:rPr>
        <w:tab/>
      </w:r>
      <w:r w:rsidRPr="004C5271">
        <w:rPr>
          <w:rFonts w:asciiTheme="majorBidi" w:hAnsiTheme="majorBidi" w:cstheme="majorBidi"/>
          <w:lang w:val="en-AU"/>
        </w:rPr>
        <w:t>New Zealand Law Commission</w:t>
      </w:r>
    </w:p>
    <w:p w14:paraId="484EE66E" w14:textId="77299E8C" w:rsidR="00285825"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QLRC</w:t>
      </w:r>
      <w:r w:rsidRPr="004C5271">
        <w:rPr>
          <w:rFonts w:asciiTheme="majorBidi" w:hAnsiTheme="majorBidi" w:cstheme="majorBidi"/>
          <w:lang w:val="en-AU"/>
        </w:rPr>
        <w:tab/>
        <w:t>Queensland Law Reform Commission</w:t>
      </w:r>
    </w:p>
    <w:p w14:paraId="6AFA00F5" w14:textId="083B5BB6" w:rsidR="00285825"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lastRenderedPageBreak/>
        <w:t>SALRI</w:t>
      </w:r>
      <w:r w:rsidRPr="004C5271">
        <w:rPr>
          <w:rFonts w:asciiTheme="majorBidi" w:hAnsiTheme="majorBidi" w:cstheme="majorBidi"/>
          <w:lang w:val="en-AU"/>
        </w:rPr>
        <w:tab/>
        <w:t>South Australian Law Reform Institute</w:t>
      </w:r>
    </w:p>
    <w:p w14:paraId="30459E8C" w14:textId="1A3DB817" w:rsidR="001343B3" w:rsidRPr="004C5271" w:rsidRDefault="001343B3"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Testator</w:t>
      </w:r>
      <w:r w:rsidRPr="004C5271">
        <w:rPr>
          <w:rFonts w:asciiTheme="majorBidi" w:hAnsiTheme="majorBidi" w:cstheme="majorBidi"/>
          <w:b/>
          <w:lang w:val="en-AU"/>
        </w:rPr>
        <w:tab/>
      </w:r>
      <w:r w:rsidRPr="004C5271">
        <w:rPr>
          <w:rFonts w:asciiTheme="majorBidi" w:hAnsiTheme="majorBidi" w:cstheme="majorBidi"/>
          <w:lang w:val="en-AU"/>
        </w:rPr>
        <w:t>See ‘Will</w:t>
      </w:r>
      <w:r w:rsidR="000B7F3C" w:rsidRPr="004C5271">
        <w:rPr>
          <w:rFonts w:asciiTheme="majorBidi" w:hAnsiTheme="majorBidi" w:cstheme="majorBidi"/>
          <w:lang w:val="en-AU"/>
        </w:rPr>
        <w:t>-</w:t>
      </w:r>
      <w:r w:rsidRPr="004C5271">
        <w:rPr>
          <w:rFonts w:asciiTheme="majorBidi" w:hAnsiTheme="majorBidi" w:cstheme="majorBidi"/>
          <w:lang w:val="en-AU"/>
        </w:rPr>
        <w:t>maker’</w:t>
      </w:r>
    </w:p>
    <w:p w14:paraId="2EE8E3FA" w14:textId="716AFBAA" w:rsidR="00285825" w:rsidRPr="004C5271" w:rsidRDefault="00B56067"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i/>
          <w:iCs/>
          <w:lang w:val="en-AU"/>
        </w:rPr>
        <w:t xml:space="preserve">TFM </w:t>
      </w:r>
      <w:r w:rsidR="00285825" w:rsidRPr="004C5271">
        <w:rPr>
          <w:rFonts w:asciiTheme="majorBidi" w:hAnsiTheme="majorBidi" w:cstheme="majorBidi"/>
          <w:b/>
          <w:i/>
          <w:iCs/>
          <w:lang w:val="en-AU"/>
        </w:rPr>
        <w:t>Act</w:t>
      </w:r>
      <w:r w:rsidR="00285825" w:rsidRPr="004C5271">
        <w:rPr>
          <w:rFonts w:asciiTheme="majorBidi" w:hAnsiTheme="majorBidi" w:cstheme="majorBidi"/>
          <w:lang w:val="en-AU"/>
        </w:rPr>
        <w:t xml:space="preserve"> </w:t>
      </w:r>
      <w:r w:rsidR="00285825" w:rsidRPr="004C5271">
        <w:rPr>
          <w:rFonts w:asciiTheme="majorBidi" w:hAnsiTheme="majorBidi" w:cstheme="majorBidi"/>
          <w:lang w:val="en-AU"/>
        </w:rPr>
        <w:tab/>
      </w:r>
      <w:r w:rsidR="00285825" w:rsidRPr="004C5271">
        <w:rPr>
          <w:rFonts w:asciiTheme="majorBidi" w:hAnsiTheme="majorBidi" w:cstheme="majorBidi"/>
          <w:i/>
          <w:iCs/>
          <w:lang w:val="en-AU"/>
        </w:rPr>
        <w:t>Testator’s Family Maintenance Act 1912</w:t>
      </w:r>
      <w:r w:rsidR="00285825" w:rsidRPr="004C5271">
        <w:rPr>
          <w:rFonts w:asciiTheme="majorBidi" w:hAnsiTheme="majorBidi" w:cstheme="majorBidi"/>
          <w:lang w:val="en-AU"/>
        </w:rPr>
        <w:t xml:space="preserve"> (Tas)</w:t>
      </w:r>
    </w:p>
    <w:p w14:paraId="60D90D34" w14:textId="5F973505" w:rsidR="00104CD1" w:rsidRPr="004C5271" w:rsidRDefault="00104CD1" w:rsidP="00B76ECF">
      <w:pPr>
        <w:pStyle w:val="NumberlessNormalText"/>
        <w:tabs>
          <w:tab w:val="clear" w:pos="709"/>
          <w:tab w:val="left" w:pos="3544"/>
        </w:tabs>
        <w:spacing w:before="120" w:after="120"/>
        <w:ind w:left="3544" w:hanging="3544"/>
        <w:rPr>
          <w:rFonts w:asciiTheme="majorBidi" w:hAnsiTheme="majorBidi" w:cstheme="majorBidi"/>
          <w:bCs/>
          <w:lang w:val="en-AU"/>
        </w:rPr>
      </w:pPr>
      <w:r w:rsidRPr="004C5271">
        <w:rPr>
          <w:rFonts w:asciiTheme="majorBidi" w:hAnsiTheme="majorBidi" w:cstheme="majorBidi"/>
          <w:b/>
          <w:lang w:val="en-AU"/>
        </w:rPr>
        <w:t>The National Committee</w:t>
      </w:r>
      <w:r w:rsidRPr="004C5271">
        <w:rPr>
          <w:rFonts w:asciiTheme="majorBidi" w:hAnsiTheme="majorBidi" w:cstheme="majorBidi"/>
          <w:b/>
          <w:lang w:val="en-AU"/>
        </w:rPr>
        <w:tab/>
      </w:r>
      <w:r w:rsidRPr="004C5271">
        <w:rPr>
          <w:rFonts w:asciiTheme="majorBidi" w:hAnsiTheme="majorBidi" w:cstheme="majorBidi"/>
          <w:lang w:val="en-AU"/>
        </w:rPr>
        <w:t>National Committee for Uniform Succession Laws</w:t>
      </w:r>
    </w:p>
    <w:p w14:paraId="086F18EB" w14:textId="77777777" w:rsidR="001343B3" w:rsidRPr="004C5271" w:rsidRDefault="00285825" w:rsidP="00B76ECF">
      <w:pPr>
        <w:pStyle w:val="NumberlessNormalText"/>
        <w:tabs>
          <w:tab w:val="clear" w:pos="709"/>
          <w:tab w:val="left" w:pos="3544"/>
        </w:tabs>
        <w:spacing w:before="120" w:after="120"/>
        <w:ind w:left="3544" w:hanging="3544"/>
        <w:rPr>
          <w:rFonts w:asciiTheme="majorBidi" w:hAnsiTheme="majorBidi" w:cstheme="majorBidi"/>
          <w:lang w:val="en-AU"/>
        </w:rPr>
      </w:pPr>
      <w:r w:rsidRPr="004C5271">
        <w:rPr>
          <w:rFonts w:asciiTheme="majorBidi" w:hAnsiTheme="majorBidi" w:cstheme="majorBidi"/>
          <w:b/>
          <w:lang w:val="en-AU"/>
        </w:rPr>
        <w:t>VLRC</w:t>
      </w:r>
      <w:r w:rsidRPr="004C5271">
        <w:rPr>
          <w:rFonts w:asciiTheme="majorBidi" w:hAnsiTheme="majorBidi" w:cstheme="majorBidi"/>
          <w:lang w:val="en-AU"/>
        </w:rPr>
        <w:tab/>
        <w:t>Victorian Law Reform Commission</w:t>
      </w:r>
      <w:bookmarkEnd w:id="16"/>
      <w:bookmarkEnd w:id="17"/>
    </w:p>
    <w:p w14:paraId="74B61200" w14:textId="77777777" w:rsidR="001343B3" w:rsidRPr="004C5271" w:rsidRDefault="001343B3" w:rsidP="00B76ECF">
      <w:pPr>
        <w:pStyle w:val="NumberlessNormalText"/>
        <w:tabs>
          <w:tab w:val="clear" w:pos="709"/>
          <w:tab w:val="left" w:pos="3544"/>
        </w:tabs>
        <w:spacing w:before="120" w:after="120"/>
        <w:ind w:left="3544" w:hanging="3544"/>
        <w:rPr>
          <w:rFonts w:asciiTheme="majorBidi" w:hAnsiTheme="majorBidi" w:cstheme="majorBidi"/>
          <w:b/>
          <w:lang w:val="en-AU"/>
        </w:rPr>
      </w:pPr>
      <w:r w:rsidRPr="004C5271">
        <w:rPr>
          <w:rFonts w:asciiTheme="majorBidi" w:hAnsiTheme="majorBidi" w:cstheme="majorBidi"/>
          <w:b/>
          <w:lang w:val="en-AU"/>
        </w:rPr>
        <w:t>WALRC</w:t>
      </w:r>
      <w:r w:rsidRPr="004C5271">
        <w:rPr>
          <w:rFonts w:asciiTheme="majorBidi" w:hAnsiTheme="majorBidi" w:cstheme="majorBidi"/>
          <w:b/>
          <w:lang w:val="en-AU"/>
        </w:rPr>
        <w:tab/>
      </w:r>
      <w:r w:rsidRPr="004C5271">
        <w:rPr>
          <w:rFonts w:asciiTheme="majorBidi" w:hAnsiTheme="majorBidi" w:cstheme="majorBidi"/>
          <w:lang w:val="en-AU"/>
        </w:rPr>
        <w:t>Law Reform Commission of Western Australia</w:t>
      </w:r>
    </w:p>
    <w:p w14:paraId="2B2823F4" w14:textId="6BF1FD6C" w:rsidR="00C80BA9" w:rsidRPr="004C5271" w:rsidRDefault="001343B3" w:rsidP="00B76ECF">
      <w:pPr>
        <w:pStyle w:val="NumberlessNormalText"/>
        <w:tabs>
          <w:tab w:val="clear" w:pos="709"/>
          <w:tab w:val="left" w:pos="3544"/>
        </w:tabs>
        <w:spacing w:before="120" w:after="120"/>
        <w:ind w:left="3544" w:hanging="3544"/>
        <w:rPr>
          <w:rFonts w:asciiTheme="majorBidi" w:hAnsiTheme="majorBidi" w:cstheme="majorBidi"/>
          <w:lang w:val="en-AU"/>
        </w:rPr>
        <w:sectPr w:rsidR="00C80BA9" w:rsidRPr="004C5271" w:rsidSect="004C5271">
          <w:headerReference w:type="even" r:id="rId29"/>
          <w:headerReference w:type="default" r:id="rId30"/>
          <w:headerReference w:type="first" r:id="rId31"/>
          <w:footerReference w:type="first" r:id="rId32"/>
          <w:pgSz w:w="9979" w:h="14232" w:code="9"/>
          <w:pgMar w:top="1440" w:right="1440" w:bottom="1440" w:left="1440" w:header="709" w:footer="709" w:gutter="0"/>
          <w:pgNumType w:fmt="lowerRoman"/>
          <w:cols w:space="708"/>
          <w:titlePg/>
          <w:docGrid w:linePitch="360"/>
        </w:sectPr>
      </w:pPr>
      <w:r w:rsidRPr="004C5271">
        <w:rPr>
          <w:rFonts w:asciiTheme="majorBidi" w:hAnsiTheme="majorBidi" w:cstheme="majorBidi"/>
          <w:b/>
          <w:bCs/>
          <w:lang w:val="en-AU"/>
        </w:rPr>
        <w:t>Will</w:t>
      </w:r>
      <w:r w:rsidR="000B7F3C" w:rsidRPr="004C5271">
        <w:rPr>
          <w:rFonts w:asciiTheme="majorBidi" w:hAnsiTheme="majorBidi" w:cstheme="majorBidi"/>
          <w:b/>
          <w:bCs/>
          <w:lang w:val="en-AU"/>
        </w:rPr>
        <w:t>-</w:t>
      </w:r>
      <w:r w:rsidRPr="004C5271">
        <w:rPr>
          <w:rFonts w:asciiTheme="majorBidi" w:hAnsiTheme="majorBidi" w:cstheme="majorBidi"/>
          <w:b/>
          <w:bCs/>
          <w:lang w:val="en-AU"/>
        </w:rPr>
        <w:t>maker</w:t>
      </w:r>
      <w:r w:rsidRPr="004C5271">
        <w:rPr>
          <w:rFonts w:asciiTheme="majorBidi" w:hAnsiTheme="majorBidi" w:cstheme="majorBidi"/>
          <w:b/>
          <w:bCs/>
          <w:lang w:val="en-AU"/>
        </w:rPr>
        <w:tab/>
      </w:r>
      <w:r w:rsidRPr="004C5271">
        <w:rPr>
          <w:rFonts w:asciiTheme="majorBidi" w:hAnsiTheme="majorBidi" w:cstheme="majorBidi"/>
          <w:lang w:val="en-AU"/>
        </w:rPr>
        <w:t xml:space="preserve">A person who makes a </w:t>
      </w:r>
      <w:r w:rsidR="001D6E4E" w:rsidRPr="004C5271">
        <w:rPr>
          <w:rFonts w:asciiTheme="majorBidi" w:hAnsiTheme="majorBidi" w:cstheme="majorBidi"/>
          <w:lang w:val="en-AU"/>
        </w:rPr>
        <w:t>w</w:t>
      </w:r>
      <w:r w:rsidRPr="004C5271">
        <w:rPr>
          <w:rFonts w:asciiTheme="majorBidi" w:hAnsiTheme="majorBidi" w:cstheme="majorBidi"/>
          <w:lang w:val="en-AU"/>
        </w:rPr>
        <w:t>ill.</w:t>
      </w:r>
    </w:p>
    <w:p w14:paraId="3DF823F4" w14:textId="5A78A36B" w:rsidR="00C80BA9" w:rsidRPr="004C5271" w:rsidRDefault="00C80BA9" w:rsidP="005D6D60">
      <w:pPr>
        <w:pStyle w:val="NumberlessSectionHeading"/>
        <w:rPr>
          <w:rFonts w:asciiTheme="majorBidi" w:hAnsiTheme="majorBidi" w:cstheme="majorBidi"/>
        </w:rPr>
      </w:pPr>
      <w:bookmarkStart w:id="19" w:name="_Toc515817991"/>
      <w:bookmarkStart w:id="20" w:name="_Toc519782125"/>
      <w:bookmarkStart w:id="21" w:name="_Toc12268927"/>
      <w:r w:rsidRPr="004C5271">
        <w:rPr>
          <w:rFonts w:asciiTheme="majorBidi" w:hAnsiTheme="majorBidi" w:cstheme="majorBidi"/>
        </w:rPr>
        <w:lastRenderedPageBreak/>
        <w:t>Executive Summary</w:t>
      </w:r>
      <w:bookmarkEnd w:id="19"/>
      <w:bookmarkEnd w:id="20"/>
      <w:bookmarkEnd w:id="21"/>
    </w:p>
    <w:p w14:paraId="76D735F4" w14:textId="4ED664A9" w:rsidR="001749E4" w:rsidRPr="004C5271" w:rsidRDefault="001749E4"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In 1977, the New South Wales Law Reform </w:t>
      </w:r>
      <w:r w:rsidR="00E61A23" w:rsidRPr="004C5271">
        <w:rPr>
          <w:rFonts w:asciiTheme="majorBidi" w:hAnsiTheme="majorBidi" w:cstheme="majorBidi"/>
          <w:lang w:val="en-AU"/>
        </w:rPr>
        <w:t>Commission</w:t>
      </w:r>
      <w:r w:rsidRPr="004C5271">
        <w:rPr>
          <w:rFonts w:asciiTheme="majorBidi" w:hAnsiTheme="majorBidi" w:cstheme="majorBidi"/>
          <w:lang w:val="en-AU"/>
        </w:rPr>
        <w:t xml:space="preserve"> (</w:t>
      </w:r>
      <w:r w:rsidR="00E61A23" w:rsidRPr="004C5271">
        <w:rPr>
          <w:rFonts w:asciiTheme="majorBidi" w:hAnsiTheme="majorBidi" w:cstheme="majorBidi"/>
          <w:lang w:val="en-AU"/>
        </w:rPr>
        <w:t>‘</w:t>
      </w:r>
      <w:r w:rsidRPr="004C5271">
        <w:rPr>
          <w:rFonts w:asciiTheme="majorBidi" w:hAnsiTheme="majorBidi" w:cstheme="majorBidi"/>
          <w:lang w:val="en-AU"/>
        </w:rPr>
        <w:t>NSWLRC</w:t>
      </w:r>
      <w:r w:rsidR="00E61A23" w:rsidRPr="004C5271">
        <w:rPr>
          <w:rFonts w:asciiTheme="majorBidi" w:hAnsiTheme="majorBidi" w:cstheme="majorBidi"/>
          <w:lang w:val="en-AU"/>
        </w:rPr>
        <w:t>’</w:t>
      </w:r>
      <w:r w:rsidRPr="004C5271">
        <w:rPr>
          <w:rFonts w:asciiTheme="majorBidi" w:hAnsiTheme="majorBidi" w:cstheme="majorBidi"/>
          <w:lang w:val="en-AU"/>
        </w:rPr>
        <w:t xml:space="preserve">) recommended </w:t>
      </w:r>
      <w:r w:rsidR="00E61A23" w:rsidRPr="004C5271">
        <w:rPr>
          <w:rFonts w:asciiTheme="majorBidi" w:hAnsiTheme="majorBidi" w:cstheme="majorBidi"/>
          <w:lang w:val="en-AU"/>
        </w:rPr>
        <w:t>that</w:t>
      </w:r>
      <w:r w:rsidRPr="004C5271">
        <w:rPr>
          <w:rFonts w:asciiTheme="majorBidi" w:hAnsiTheme="majorBidi" w:cstheme="majorBidi"/>
          <w:lang w:val="en-AU"/>
        </w:rPr>
        <w:t xml:space="preserve"> New South Wales’ estate dispute legislation </w:t>
      </w:r>
      <w:r w:rsidR="00E61A23" w:rsidRPr="004C5271">
        <w:rPr>
          <w:rFonts w:asciiTheme="majorBidi" w:hAnsiTheme="majorBidi" w:cstheme="majorBidi"/>
          <w:lang w:val="en-AU"/>
        </w:rPr>
        <w:t xml:space="preserve">be reformed </w:t>
      </w:r>
      <w:r w:rsidRPr="004C5271">
        <w:rPr>
          <w:rFonts w:asciiTheme="majorBidi" w:hAnsiTheme="majorBidi" w:cstheme="majorBidi"/>
          <w:lang w:val="en-AU"/>
        </w:rPr>
        <w:t xml:space="preserve">to broaden the classes of assets that </w:t>
      </w:r>
      <w:r w:rsidR="00E61A23" w:rsidRPr="004C5271">
        <w:rPr>
          <w:rFonts w:asciiTheme="majorBidi" w:hAnsiTheme="majorBidi" w:cstheme="majorBidi"/>
          <w:lang w:val="en-AU"/>
        </w:rPr>
        <w:t>may</w:t>
      </w:r>
      <w:r w:rsidRPr="004C5271">
        <w:rPr>
          <w:rFonts w:asciiTheme="majorBidi" w:hAnsiTheme="majorBidi" w:cstheme="majorBidi"/>
          <w:lang w:val="en-AU"/>
        </w:rPr>
        <w:t xml:space="preserve"> be affected by a family provision claim. In response, the New South Wales Government enacted the </w:t>
      </w:r>
      <w:r w:rsidRPr="004C5271">
        <w:rPr>
          <w:rFonts w:asciiTheme="majorBidi" w:hAnsiTheme="majorBidi" w:cstheme="majorBidi"/>
          <w:i/>
          <w:iCs/>
          <w:lang w:val="en-AU"/>
        </w:rPr>
        <w:t>Family Provision Act 1982</w:t>
      </w:r>
      <w:r w:rsidRPr="004C5271">
        <w:rPr>
          <w:rFonts w:asciiTheme="majorBidi" w:hAnsiTheme="majorBidi" w:cstheme="majorBidi"/>
          <w:lang w:val="en-AU"/>
        </w:rPr>
        <w:t xml:space="preserve"> (NSW) which enables the </w:t>
      </w:r>
      <w:r w:rsidR="00E61A23" w:rsidRPr="004C5271">
        <w:rPr>
          <w:rFonts w:asciiTheme="majorBidi" w:hAnsiTheme="majorBidi" w:cstheme="majorBidi"/>
          <w:lang w:val="en-AU"/>
        </w:rPr>
        <w:t>c</w:t>
      </w:r>
      <w:r w:rsidRPr="004C5271">
        <w:rPr>
          <w:rFonts w:asciiTheme="majorBidi" w:hAnsiTheme="majorBidi" w:cstheme="majorBidi"/>
          <w:lang w:val="en-AU"/>
        </w:rPr>
        <w:t xml:space="preserve">ourt to deem </w:t>
      </w:r>
      <w:r w:rsidR="00E61A23" w:rsidRPr="004C5271">
        <w:rPr>
          <w:rFonts w:asciiTheme="majorBidi" w:hAnsiTheme="majorBidi" w:cstheme="majorBidi"/>
          <w:lang w:val="en-AU"/>
        </w:rPr>
        <w:t xml:space="preserve">certain non-estate </w:t>
      </w:r>
      <w:r w:rsidRPr="004C5271">
        <w:rPr>
          <w:rFonts w:asciiTheme="majorBidi" w:hAnsiTheme="majorBidi" w:cstheme="majorBidi"/>
          <w:lang w:val="en-AU"/>
        </w:rPr>
        <w:t xml:space="preserve">assets as ‘notional estate’ for the purpose of funding successful family provision claims. </w:t>
      </w:r>
    </w:p>
    <w:p w14:paraId="6FAE885C" w14:textId="123AC07C" w:rsidR="00473060" w:rsidRPr="004C5271" w:rsidRDefault="001749E4" w:rsidP="00C0478D">
      <w:pPr>
        <w:pStyle w:val="NumberlessNormalText"/>
        <w:rPr>
          <w:rFonts w:asciiTheme="majorBidi" w:hAnsiTheme="majorBidi" w:cstheme="majorBidi"/>
          <w:lang w:val="en-AU"/>
        </w:rPr>
      </w:pPr>
      <w:r w:rsidRPr="004C5271">
        <w:rPr>
          <w:rFonts w:asciiTheme="majorBidi" w:hAnsiTheme="majorBidi" w:cstheme="majorBidi"/>
          <w:lang w:val="en-AU"/>
        </w:rPr>
        <w:t>Despite the National Committee on Uniform Succession Laws endorsing the New South Wales approach to notional estate</w:t>
      </w:r>
      <w:r w:rsidR="00E61A23" w:rsidRPr="004C5271">
        <w:rPr>
          <w:rFonts w:asciiTheme="majorBidi" w:hAnsiTheme="majorBidi" w:cstheme="majorBidi"/>
          <w:lang w:val="en-AU"/>
        </w:rPr>
        <w:t xml:space="preserve"> laws</w:t>
      </w:r>
      <w:r w:rsidRPr="004C5271">
        <w:rPr>
          <w:rFonts w:asciiTheme="majorBidi" w:hAnsiTheme="majorBidi" w:cstheme="majorBidi"/>
          <w:lang w:val="en-AU"/>
        </w:rPr>
        <w:t xml:space="preserve">, it remains the only </w:t>
      </w:r>
      <w:r w:rsidR="00E61A23" w:rsidRPr="004C5271">
        <w:rPr>
          <w:rFonts w:asciiTheme="majorBidi" w:hAnsiTheme="majorBidi" w:cstheme="majorBidi"/>
          <w:lang w:val="en-AU"/>
        </w:rPr>
        <w:t xml:space="preserve">Australian </w:t>
      </w:r>
      <w:r w:rsidRPr="004C5271">
        <w:rPr>
          <w:rFonts w:asciiTheme="majorBidi" w:hAnsiTheme="majorBidi" w:cstheme="majorBidi"/>
          <w:lang w:val="en-AU"/>
        </w:rPr>
        <w:t xml:space="preserve">jurisdiction to have laws that enable the court to </w:t>
      </w:r>
      <w:r w:rsidR="00E61A23" w:rsidRPr="004C5271">
        <w:rPr>
          <w:rFonts w:asciiTheme="majorBidi" w:hAnsiTheme="majorBidi" w:cstheme="majorBidi"/>
          <w:lang w:val="en-AU"/>
        </w:rPr>
        <w:t>utilise</w:t>
      </w:r>
      <w:r w:rsidRPr="004C5271">
        <w:rPr>
          <w:rFonts w:asciiTheme="majorBidi" w:hAnsiTheme="majorBidi" w:cstheme="majorBidi"/>
          <w:lang w:val="en-AU"/>
        </w:rPr>
        <w:t xml:space="preserve"> non-estate assets </w:t>
      </w:r>
      <w:r w:rsidR="00E61A23" w:rsidRPr="004C5271">
        <w:rPr>
          <w:rFonts w:asciiTheme="majorBidi" w:hAnsiTheme="majorBidi" w:cstheme="majorBidi"/>
          <w:lang w:val="en-AU"/>
        </w:rPr>
        <w:t>to fund provision for successful claimants.</w:t>
      </w:r>
      <w:r w:rsidRPr="004C5271">
        <w:rPr>
          <w:rFonts w:asciiTheme="majorBidi" w:hAnsiTheme="majorBidi" w:cstheme="majorBidi"/>
          <w:lang w:val="en-AU"/>
        </w:rPr>
        <w:t xml:space="preserve"> The merits of legislation </w:t>
      </w:r>
      <w:r w:rsidR="00E61A23" w:rsidRPr="004C5271">
        <w:rPr>
          <w:rFonts w:asciiTheme="majorBidi" w:hAnsiTheme="majorBidi" w:cstheme="majorBidi"/>
          <w:lang w:val="en-AU"/>
        </w:rPr>
        <w:t xml:space="preserve">of this type </w:t>
      </w:r>
      <w:r w:rsidRPr="004C5271">
        <w:rPr>
          <w:rFonts w:asciiTheme="majorBidi" w:hAnsiTheme="majorBidi" w:cstheme="majorBidi"/>
          <w:lang w:val="en-AU"/>
        </w:rPr>
        <w:t>ha</w:t>
      </w:r>
      <w:r w:rsidR="00C01535" w:rsidRPr="004C5271">
        <w:rPr>
          <w:rFonts w:asciiTheme="majorBidi" w:hAnsiTheme="majorBidi" w:cstheme="majorBidi"/>
          <w:lang w:val="en-AU"/>
        </w:rPr>
        <w:t>ve</w:t>
      </w:r>
      <w:r w:rsidR="00D138B9" w:rsidRPr="004C5271">
        <w:rPr>
          <w:rFonts w:asciiTheme="majorBidi" w:hAnsiTheme="majorBidi" w:cstheme="majorBidi"/>
          <w:lang w:val="en-AU"/>
        </w:rPr>
        <w:t xml:space="preserve"> </w:t>
      </w:r>
      <w:r w:rsidRPr="004C5271">
        <w:rPr>
          <w:rFonts w:asciiTheme="majorBidi" w:hAnsiTheme="majorBidi" w:cstheme="majorBidi"/>
          <w:lang w:val="en-AU"/>
        </w:rPr>
        <w:t xml:space="preserve">been </w:t>
      </w:r>
      <w:r w:rsidR="00E61A23" w:rsidRPr="004C5271">
        <w:rPr>
          <w:rFonts w:asciiTheme="majorBidi" w:hAnsiTheme="majorBidi" w:cstheme="majorBidi"/>
          <w:lang w:val="en-AU"/>
        </w:rPr>
        <w:t>considered</w:t>
      </w:r>
      <w:r w:rsidRPr="004C5271">
        <w:rPr>
          <w:rFonts w:asciiTheme="majorBidi" w:hAnsiTheme="majorBidi" w:cstheme="majorBidi"/>
          <w:lang w:val="en-AU"/>
        </w:rPr>
        <w:t xml:space="preserve"> by the Victorian Law Reform Commission (‘VLRC’) and South Australian Law Reform Institute (‘SALRI’)</w:t>
      </w:r>
      <w:r w:rsidR="00F04AFF" w:rsidRPr="004C5271">
        <w:rPr>
          <w:rFonts w:asciiTheme="majorBidi" w:hAnsiTheme="majorBidi" w:cstheme="majorBidi"/>
          <w:lang w:val="en-AU"/>
        </w:rPr>
        <w:t>,</w:t>
      </w:r>
      <w:r w:rsidRPr="004C5271">
        <w:rPr>
          <w:rFonts w:asciiTheme="majorBidi" w:hAnsiTheme="majorBidi" w:cstheme="majorBidi"/>
          <w:lang w:val="en-AU"/>
        </w:rPr>
        <w:t xml:space="preserve"> with </w:t>
      </w:r>
      <w:r w:rsidR="00717B65" w:rsidRPr="004C5271">
        <w:rPr>
          <w:rFonts w:asciiTheme="majorBidi" w:hAnsiTheme="majorBidi" w:cstheme="majorBidi"/>
          <w:lang w:val="en-AU"/>
        </w:rPr>
        <w:t>SALRI recommending that such laws not be introduced and the VLRC making no recommendation concerning their introduction</w:t>
      </w:r>
      <w:r w:rsidRPr="004C5271">
        <w:rPr>
          <w:rFonts w:asciiTheme="majorBidi" w:hAnsiTheme="majorBidi" w:cstheme="majorBidi"/>
          <w:lang w:val="en-AU"/>
        </w:rPr>
        <w:t>. In 2016, the former Attorney-General, the Honourable Dr Vanessa Goodwin MLC</w:t>
      </w:r>
      <w:r w:rsidR="00E61A23" w:rsidRPr="004C5271">
        <w:rPr>
          <w:rFonts w:asciiTheme="majorBidi" w:hAnsiTheme="majorBidi" w:cstheme="majorBidi"/>
          <w:lang w:val="en-AU"/>
        </w:rPr>
        <w:t xml:space="preserve">, requested that the Institute review potential reforms to the </w:t>
      </w:r>
      <w:r w:rsidR="00E61A23" w:rsidRPr="004C5271">
        <w:rPr>
          <w:rFonts w:asciiTheme="majorBidi" w:hAnsiTheme="majorBidi" w:cstheme="majorBidi"/>
          <w:i/>
          <w:iCs/>
          <w:lang w:val="en-AU"/>
        </w:rPr>
        <w:t>Testator’s Family Maintenance Act 1912</w:t>
      </w:r>
      <w:r w:rsidR="00E61A23" w:rsidRPr="004C5271">
        <w:rPr>
          <w:rFonts w:asciiTheme="majorBidi" w:hAnsiTheme="majorBidi" w:cstheme="majorBidi"/>
          <w:lang w:val="en-AU"/>
        </w:rPr>
        <w:t xml:space="preserve"> (Tas) </w:t>
      </w:r>
      <w:r w:rsidR="001343B3" w:rsidRPr="004C5271">
        <w:rPr>
          <w:rFonts w:asciiTheme="majorBidi" w:hAnsiTheme="majorBidi" w:cstheme="majorBidi"/>
          <w:lang w:val="en-AU"/>
        </w:rPr>
        <w:t>(</w:t>
      </w:r>
      <w:r w:rsidR="004036DD" w:rsidRPr="004C5271">
        <w:rPr>
          <w:rFonts w:asciiTheme="majorBidi" w:hAnsiTheme="majorBidi" w:cstheme="majorBidi"/>
          <w:lang w:val="en-AU"/>
        </w:rPr>
        <w:t>‘</w:t>
      </w:r>
      <w:r w:rsidR="001343B3" w:rsidRPr="004C5271">
        <w:rPr>
          <w:rFonts w:asciiTheme="majorBidi" w:hAnsiTheme="majorBidi" w:cstheme="majorBidi"/>
          <w:i/>
          <w:iCs/>
          <w:lang w:val="en-AU"/>
        </w:rPr>
        <w:t>TFM Act</w:t>
      </w:r>
      <w:r w:rsidR="001343B3" w:rsidRPr="004C5271">
        <w:rPr>
          <w:rFonts w:asciiTheme="majorBidi" w:hAnsiTheme="majorBidi" w:cstheme="majorBidi"/>
          <w:lang w:val="en-AU"/>
        </w:rPr>
        <w:t xml:space="preserve">’) </w:t>
      </w:r>
      <w:r w:rsidR="00E61A23" w:rsidRPr="004C5271">
        <w:rPr>
          <w:rFonts w:asciiTheme="majorBidi" w:hAnsiTheme="majorBidi" w:cstheme="majorBidi"/>
          <w:lang w:val="en-AU"/>
        </w:rPr>
        <w:t xml:space="preserve">to incorporate notional estate provisions in Tasmania. </w:t>
      </w:r>
    </w:p>
    <w:p w14:paraId="1DC3A84E" w14:textId="0872CBB3" w:rsidR="001749E4" w:rsidRPr="004C5271" w:rsidRDefault="00473060"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The Issues Paper that </w:t>
      </w:r>
      <w:r w:rsidR="001343B3" w:rsidRPr="004C5271">
        <w:rPr>
          <w:rFonts w:asciiTheme="majorBidi" w:hAnsiTheme="majorBidi" w:cstheme="majorBidi"/>
          <w:lang w:val="en-AU"/>
        </w:rPr>
        <w:t>preceded</w:t>
      </w:r>
      <w:r w:rsidRPr="004C5271">
        <w:rPr>
          <w:rFonts w:asciiTheme="majorBidi" w:hAnsiTheme="majorBidi" w:cstheme="majorBidi"/>
          <w:lang w:val="en-AU"/>
        </w:rPr>
        <w:t xml:space="preserve"> this report asked a range of questions to gauge the degree of community support or opposition to the introduction of notional estate laws</w:t>
      </w:r>
      <w:r w:rsidR="00862B05" w:rsidRPr="004C5271">
        <w:rPr>
          <w:rFonts w:asciiTheme="majorBidi" w:hAnsiTheme="majorBidi" w:cstheme="majorBidi"/>
          <w:lang w:val="en-AU"/>
        </w:rPr>
        <w:t xml:space="preserve"> in Tasmania</w:t>
      </w:r>
      <w:r w:rsidRPr="004C5271">
        <w:rPr>
          <w:rFonts w:asciiTheme="majorBidi" w:hAnsiTheme="majorBidi" w:cstheme="majorBidi"/>
          <w:lang w:val="en-AU"/>
        </w:rPr>
        <w:t>. The Issues Paper stimulated significant community interest, with a range of competing views expressed</w:t>
      </w:r>
      <w:r w:rsidR="00C07374" w:rsidRPr="004C5271">
        <w:rPr>
          <w:rFonts w:asciiTheme="majorBidi" w:hAnsiTheme="majorBidi" w:cstheme="majorBidi"/>
          <w:lang w:val="en-AU"/>
        </w:rPr>
        <w:t xml:space="preserve"> </w:t>
      </w:r>
      <w:r w:rsidR="00835EDA" w:rsidRPr="004C5271">
        <w:rPr>
          <w:rFonts w:asciiTheme="majorBidi" w:hAnsiTheme="majorBidi" w:cstheme="majorBidi"/>
          <w:lang w:val="en-AU"/>
        </w:rPr>
        <w:t>in the 32 formal submissions received</w:t>
      </w:r>
      <w:r w:rsidRPr="004C5271">
        <w:rPr>
          <w:rFonts w:asciiTheme="majorBidi" w:hAnsiTheme="majorBidi" w:cstheme="majorBidi"/>
          <w:lang w:val="en-AU"/>
        </w:rPr>
        <w:t xml:space="preserve">. </w:t>
      </w:r>
      <w:r w:rsidR="00862B05" w:rsidRPr="004C5271">
        <w:rPr>
          <w:rFonts w:asciiTheme="majorBidi" w:hAnsiTheme="majorBidi" w:cstheme="majorBidi"/>
          <w:lang w:val="en-AU"/>
        </w:rPr>
        <w:t>After conducting its review of the current law, considering the feedback received to questions asked in the Issues Paper and examining the research and developments in other jurisdictions, the Institute concludes that notional estate legislation should not be introduced in Tasmania at this time.</w:t>
      </w:r>
      <w:r w:rsidR="00E61A23" w:rsidRPr="004C5271">
        <w:rPr>
          <w:rFonts w:asciiTheme="majorBidi" w:hAnsiTheme="majorBidi" w:cstheme="majorBidi"/>
          <w:lang w:val="en-AU"/>
        </w:rPr>
        <w:t xml:space="preserve"> </w:t>
      </w:r>
      <w:r w:rsidR="004036DD" w:rsidRPr="004C5271">
        <w:rPr>
          <w:rFonts w:asciiTheme="majorBidi" w:hAnsiTheme="majorBidi" w:cstheme="majorBidi"/>
          <w:lang w:val="en-AU"/>
        </w:rPr>
        <w:t xml:space="preserve">The Institute </w:t>
      </w:r>
      <w:r w:rsidR="00E61A23" w:rsidRPr="004C5271">
        <w:rPr>
          <w:rFonts w:asciiTheme="majorBidi" w:hAnsiTheme="majorBidi" w:cstheme="majorBidi"/>
          <w:lang w:val="en-AU"/>
        </w:rPr>
        <w:t xml:space="preserve">does, however, make several recommendations about what </w:t>
      </w:r>
      <w:r w:rsidR="00862B05" w:rsidRPr="004C5271">
        <w:rPr>
          <w:rFonts w:asciiTheme="majorBidi" w:hAnsiTheme="majorBidi" w:cstheme="majorBidi"/>
          <w:lang w:val="en-AU"/>
        </w:rPr>
        <w:t xml:space="preserve">such </w:t>
      </w:r>
      <w:r w:rsidR="00E61A23" w:rsidRPr="004C5271">
        <w:rPr>
          <w:rFonts w:asciiTheme="majorBidi" w:hAnsiTheme="majorBidi" w:cstheme="majorBidi"/>
          <w:lang w:val="en-AU"/>
        </w:rPr>
        <w:t xml:space="preserve">a scheme </w:t>
      </w:r>
      <w:r w:rsidR="00CD5BC7" w:rsidRPr="004C5271">
        <w:rPr>
          <w:rFonts w:asciiTheme="majorBidi" w:hAnsiTheme="majorBidi" w:cstheme="majorBidi"/>
          <w:lang w:val="en-AU"/>
        </w:rPr>
        <w:t>should</w:t>
      </w:r>
      <w:r w:rsidR="00E61A23" w:rsidRPr="004C5271">
        <w:rPr>
          <w:rFonts w:asciiTheme="majorBidi" w:hAnsiTheme="majorBidi" w:cstheme="majorBidi"/>
          <w:lang w:val="en-AU"/>
        </w:rPr>
        <w:t xml:space="preserve"> look like if introduced and how future reforms might fit with the broader objective of nationally uniform succession laws. </w:t>
      </w:r>
    </w:p>
    <w:p w14:paraId="3D180B3C" w14:textId="2E58BE09" w:rsidR="00E61A23" w:rsidRPr="004C5271" w:rsidRDefault="00E61A23" w:rsidP="00AE2B8C">
      <w:pPr>
        <w:pStyle w:val="Sub-HeadingTLRI"/>
      </w:pPr>
      <w:r w:rsidRPr="004C5271">
        <w:lastRenderedPageBreak/>
        <w:t xml:space="preserve">What are family provision claims? </w:t>
      </w:r>
    </w:p>
    <w:p w14:paraId="0FE4BD9A" w14:textId="1FB4D189" w:rsidR="00873AED" w:rsidRPr="004C5271" w:rsidRDefault="002041D9" w:rsidP="00C0478D">
      <w:pPr>
        <w:pStyle w:val="NumberlessNormalText"/>
        <w:rPr>
          <w:rFonts w:asciiTheme="majorBidi" w:hAnsiTheme="majorBidi" w:cstheme="majorBidi"/>
          <w:lang w:val="en-AU"/>
        </w:rPr>
      </w:pPr>
      <w:r w:rsidRPr="004C5271">
        <w:rPr>
          <w:rFonts w:asciiTheme="majorBidi" w:hAnsiTheme="majorBidi" w:cstheme="majorBidi"/>
          <w:lang w:val="en-AU"/>
        </w:rPr>
        <w:t>I</w:t>
      </w:r>
      <w:r w:rsidR="00873AED" w:rsidRPr="004C5271">
        <w:rPr>
          <w:rFonts w:asciiTheme="majorBidi" w:hAnsiTheme="majorBidi" w:cstheme="majorBidi"/>
          <w:lang w:val="en-AU"/>
        </w:rPr>
        <w:t xml:space="preserve">n Australia, all capable adults </w:t>
      </w:r>
      <w:proofErr w:type="gramStart"/>
      <w:r w:rsidR="00873AED" w:rsidRPr="004C5271">
        <w:rPr>
          <w:rFonts w:asciiTheme="majorBidi" w:hAnsiTheme="majorBidi" w:cstheme="majorBidi"/>
          <w:lang w:val="en-AU"/>
        </w:rPr>
        <w:t>are able to</w:t>
      </w:r>
      <w:proofErr w:type="gramEnd"/>
      <w:r w:rsidR="00873AED" w:rsidRPr="004C5271">
        <w:rPr>
          <w:rFonts w:asciiTheme="majorBidi" w:hAnsiTheme="majorBidi" w:cstheme="majorBidi"/>
          <w:lang w:val="en-AU"/>
        </w:rPr>
        <w:t xml:space="preserve"> make a </w:t>
      </w:r>
      <w:r w:rsidR="002D031A" w:rsidRPr="004C5271">
        <w:rPr>
          <w:rFonts w:asciiTheme="majorBidi" w:hAnsiTheme="majorBidi" w:cstheme="majorBidi"/>
          <w:lang w:val="en-AU"/>
        </w:rPr>
        <w:t xml:space="preserve">document (called a </w:t>
      </w:r>
      <w:r w:rsidR="00873AED" w:rsidRPr="004C5271">
        <w:rPr>
          <w:rFonts w:asciiTheme="majorBidi" w:hAnsiTheme="majorBidi" w:cstheme="majorBidi"/>
          <w:lang w:val="en-AU"/>
        </w:rPr>
        <w:t>will</w:t>
      </w:r>
      <w:r w:rsidR="002D031A" w:rsidRPr="004C5271">
        <w:rPr>
          <w:rFonts w:asciiTheme="majorBidi" w:hAnsiTheme="majorBidi" w:cstheme="majorBidi"/>
          <w:lang w:val="en-AU"/>
        </w:rPr>
        <w:t>)</w:t>
      </w:r>
      <w:r w:rsidR="00873AED" w:rsidRPr="004C5271">
        <w:rPr>
          <w:rFonts w:asciiTheme="majorBidi" w:hAnsiTheme="majorBidi" w:cstheme="majorBidi"/>
          <w:lang w:val="en-AU"/>
        </w:rPr>
        <w:t xml:space="preserve"> that </w:t>
      </w:r>
      <w:r w:rsidR="002D031A" w:rsidRPr="004C5271">
        <w:rPr>
          <w:rFonts w:asciiTheme="majorBidi" w:hAnsiTheme="majorBidi" w:cstheme="majorBidi"/>
          <w:lang w:val="en-AU"/>
        </w:rPr>
        <w:t>outlines what is to happen to their assets</w:t>
      </w:r>
      <w:r w:rsidR="00873AED" w:rsidRPr="004C5271">
        <w:rPr>
          <w:rFonts w:asciiTheme="majorBidi" w:hAnsiTheme="majorBidi" w:cstheme="majorBidi"/>
          <w:lang w:val="en-AU"/>
        </w:rPr>
        <w:t xml:space="preserve"> </w:t>
      </w:r>
      <w:r w:rsidR="002D031A" w:rsidRPr="004C5271">
        <w:rPr>
          <w:rFonts w:asciiTheme="majorBidi" w:hAnsiTheme="majorBidi" w:cstheme="majorBidi"/>
          <w:lang w:val="en-AU"/>
        </w:rPr>
        <w:t>(called their ‘estate’) after</w:t>
      </w:r>
      <w:r w:rsidR="00873AED" w:rsidRPr="004C5271">
        <w:rPr>
          <w:rFonts w:asciiTheme="majorBidi" w:hAnsiTheme="majorBidi" w:cstheme="majorBidi"/>
          <w:lang w:val="en-AU"/>
        </w:rPr>
        <w:t xml:space="preserve"> their death. There are no fixed amounts that must be </w:t>
      </w:r>
      <w:r w:rsidR="002D031A" w:rsidRPr="004C5271">
        <w:rPr>
          <w:rFonts w:asciiTheme="majorBidi" w:hAnsiTheme="majorBidi" w:cstheme="majorBidi"/>
          <w:lang w:val="en-AU"/>
        </w:rPr>
        <w:t>left</w:t>
      </w:r>
      <w:r w:rsidR="00873AED" w:rsidRPr="004C5271">
        <w:rPr>
          <w:rFonts w:asciiTheme="majorBidi" w:hAnsiTheme="majorBidi" w:cstheme="majorBidi"/>
          <w:lang w:val="en-AU"/>
        </w:rPr>
        <w:t xml:space="preserve"> to family members and the person is free to choose how they want their estate dealt with.</w:t>
      </w:r>
      <w:r w:rsidR="00254210" w:rsidRPr="004C5271">
        <w:rPr>
          <w:rFonts w:asciiTheme="majorBidi" w:hAnsiTheme="majorBidi" w:cstheme="majorBidi"/>
          <w:lang w:val="en-AU"/>
        </w:rPr>
        <w:t xml:space="preserve"> </w:t>
      </w:r>
    </w:p>
    <w:p w14:paraId="253ED78F" w14:textId="23CC044C" w:rsidR="00873AED" w:rsidRPr="004C5271" w:rsidRDefault="00921F44" w:rsidP="00C0478D">
      <w:pPr>
        <w:pStyle w:val="NumberlessNormalText"/>
        <w:rPr>
          <w:rFonts w:asciiTheme="majorBidi" w:hAnsiTheme="majorBidi" w:cstheme="majorBidi"/>
          <w:lang w:val="en-AU"/>
        </w:rPr>
      </w:pPr>
      <w:r w:rsidRPr="004C5271">
        <w:rPr>
          <w:rFonts w:asciiTheme="majorBidi" w:hAnsiTheme="majorBidi" w:cstheme="majorBidi"/>
          <w:lang w:val="en-AU"/>
        </w:rPr>
        <w:t>Part 1 of this report explains that t</w:t>
      </w:r>
      <w:r w:rsidR="00873AED" w:rsidRPr="004C5271">
        <w:rPr>
          <w:rFonts w:asciiTheme="majorBidi" w:hAnsiTheme="majorBidi" w:cstheme="majorBidi"/>
          <w:lang w:val="en-AU"/>
        </w:rPr>
        <w:t xml:space="preserve">here </w:t>
      </w:r>
      <w:r w:rsidR="00C95186" w:rsidRPr="004C5271">
        <w:rPr>
          <w:rFonts w:asciiTheme="majorBidi" w:hAnsiTheme="majorBidi" w:cstheme="majorBidi"/>
          <w:lang w:val="en-AU"/>
        </w:rPr>
        <w:t>is</w:t>
      </w:r>
      <w:r w:rsidR="00873AED" w:rsidRPr="004C5271">
        <w:rPr>
          <w:rFonts w:asciiTheme="majorBidi" w:hAnsiTheme="majorBidi" w:cstheme="majorBidi"/>
          <w:lang w:val="en-AU"/>
        </w:rPr>
        <w:t xml:space="preserve">, however, </w:t>
      </w:r>
      <w:r w:rsidR="00C95186" w:rsidRPr="004C5271">
        <w:rPr>
          <w:rFonts w:asciiTheme="majorBidi" w:hAnsiTheme="majorBidi" w:cstheme="majorBidi"/>
          <w:lang w:val="en-AU"/>
        </w:rPr>
        <w:t>legislation</w:t>
      </w:r>
      <w:r w:rsidR="00873AED" w:rsidRPr="004C5271">
        <w:rPr>
          <w:rFonts w:asciiTheme="majorBidi" w:hAnsiTheme="majorBidi" w:cstheme="majorBidi"/>
          <w:lang w:val="en-AU"/>
        </w:rPr>
        <w:t xml:space="preserve"> that enable</w:t>
      </w:r>
      <w:r w:rsidR="001D280F" w:rsidRPr="004C5271">
        <w:rPr>
          <w:rFonts w:asciiTheme="majorBidi" w:hAnsiTheme="majorBidi" w:cstheme="majorBidi"/>
          <w:lang w:val="en-AU"/>
        </w:rPr>
        <w:t>s</w:t>
      </w:r>
      <w:r w:rsidR="00873AED" w:rsidRPr="004C5271">
        <w:rPr>
          <w:rFonts w:asciiTheme="majorBidi" w:hAnsiTheme="majorBidi" w:cstheme="majorBidi"/>
          <w:lang w:val="en-AU"/>
        </w:rPr>
        <w:t xml:space="preserve"> </w:t>
      </w:r>
      <w:r w:rsidR="0037607F" w:rsidRPr="004C5271">
        <w:rPr>
          <w:rFonts w:asciiTheme="majorBidi" w:hAnsiTheme="majorBidi" w:cstheme="majorBidi"/>
          <w:lang w:val="en-AU"/>
        </w:rPr>
        <w:t xml:space="preserve">limited </w:t>
      </w:r>
      <w:r w:rsidR="00873AED" w:rsidRPr="004C5271">
        <w:rPr>
          <w:rFonts w:asciiTheme="majorBidi" w:hAnsiTheme="majorBidi" w:cstheme="majorBidi"/>
          <w:lang w:val="en-AU"/>
        </w:rPr>
        <w:t xml:space="preserve">classes </w:t>
      </w:r>
      <w:r w:rsidR="0037607F" w:rsidRPr="004C5271">
        <w:rPr>
          <w:rFonts w:asciiTheme="majorBidi" w:hAnsiTheme="majorBidi" w:cstheme="majorBidi"/>
          <w:lang w:val="en-AU"/>
        </w:rPr>
        <w:t xml:space="preserve">of </w:t>
      </w:r>
      <w:r w:rsidR="002D031A" w:rsidRPr="004C5271">
        <w:rPr>
          <w:rFonts w:asciiTheme="majorBidi" w:hAnsiTheme="majorBidi" w:cstheme="majorBidi"/>
          <w:lang w:val="en-AU"/>
        </w:rPr>
        <w:t>people</w:t>
      </w:r>
      <w:r w:rsidR="0037607F" w:rsidRPr="004C5271">
        <w:rPr>
          <w:rFonts w:asciiTheme="majorBidi" w:hAnsiTheme="majorBidi" w:cstheme="majorBidi"/>
          <w:lang w:val="en-AU"/>
        </w:rPr>
        <w:t xml:space="preserve"> to </w:t>
      </w:r>
      <w:r w:rsidR="00873AED" w:rsidRPr="004C5271">
        <w:rPr>
          <w:rFonts w:asciiTheme="majorBidi" w:hAnsiTheme="majorBidi" w:cstheme="majorBidi"/>
          <w:lang w:val="en-AU"/>
        </w:rPr>
        <w:t xml:space="preserve">claim </w:t>
      </w:r>
      <w:r w:rsidR="002D031A" w:rsidRPr="004C5271">
        <w:rPr>
          <w:rFonts w:asciiTheme="majorBidi" w:hAnsiTheme="majorBidi" w:cstheme="majorBidi"/>
          <w:lang w:val="en-AU"/>
        </w:rPr>
        <w:t>a share (or a larger share) of</w:t>
      </w:r>
      <w:r w:rsidR="00873AED" w:rsidRPr="004C5271">
        <w:rPr>
          <w:rFonts w:asciiTheme="majorBidi" w:hAnsiTheme="majorBidi" w:cstheme="majorBidi"/>
          <w:lang w:val="en-AU"/>
        </w:rPr>
        <w:t xml:space="preserve"> a person’s estate</w:t>
      </w:r>
      <w:r w:rsidR="003B477D" w:rsidRPr="004C5271">
        <w:rPr>
          <w:rFonts w:asciiTheme="majorBidi" w:hAnsiTheme="majorBidi" w:cstheme="majorBidi"/>
          <w:lang w:val="en-AU"/>
        </w:rPr>
        <w:t>. These are o</w:t>
      </w:r>
      <w:r w:rsidR="0059379A" w:rsidRPr="004C5271">
        <w:rPr>
          <w:rFonts w:asciiTheme="majorBidi" w:hAnsiTheme="majorBidi" w:cstheme="majorBidi"/>
          <w:lang w:val="en-AU"/>
        </w:rPr>
        <w:t xml:space="preserve">ften called ‘family provision </w:t>
      </w:r>
      <w:r w:rsidR="003B477D" w:rsidRPr="004C5271">
        <w:rPr>
          <w:rFonts w:asciiTheme="majorBidi" w:hAnsiTheme="majorBidi" w:cstheme="majorBidi"/>
          <w:lang w:val="en-AU"/>
        </w:rPr>
        <w:t>claims</w:t>
      </w:r>
      <w:r w:rsidR="00873AED" w:rsidRPr="004C5271">
        <w:rPr>
          <w:rFonts w:asciiTheme="majorBidi" w:hAnsiTheme="majorBidi" w:cstheme="majorBidi"/>
          <w:lang w:val="en-AU"/>
        </w:rPr>
        <w:t>.</w:t>
      </w:r>
      <w:r w:rsidR="003B477D" w:rsidRPr="004C5271">
        <w:rPr>
          <w:rFonts w:asciiTheme="majorBidi" w:hAnsiTheme="majorBidi" w:cstheme="majorBidi"/>
          <w:lang w:val="en-AU"/>
        </w:rPr>
        <w:t>’</w:t>
      </w:r>
      <w:r w:rsidR="00873AED" w:rsidRPr="004C5271">
        <w:rPr>
          <w:rFonts w:asciiTheme="majorBidi" w:hAnsiTheme="majorBidi" w:cstheme="majorBidi"/>
          <w:lang w:val="en-AU"/>
        </w:rPr>
        <w:t xml:space="preserve"> </w:t>
      </w:r>
      <w:r w:rsidR="00606044" w:rsidRPr="004C5271">
        <w:rPr>
          <w:rFonts w:asciiTheme="majorBidi" w:hAnsiTheme="majorBidi" w:cstheme="majorBidi"/>
          <w:lang w:val="en-AU"/>
        </w:rPr>
        <w:t xml:space="preserve">In Tasmania, these laws are contained in the </w:t>
      </w:r>
      <w:r w:rsidR="002437FC" w:rsidRPr="004C5271">
        <w:rPr>
          <w:rFonts w:asciiTheme="majorBidi" w:hAnsiTheme="majorBidi" w:cstheme="majorBidi"/>
          <w:i/>
          <w:lang w:val="en-AU"/>
        </w:rPr>
        <w:t xml:space="preserve">TFM </w:t>
      </w:r>
      <w:r w:rsidR="00606044" w:rsidRPr="004C5271">
        <w:rPr>
          <w:rFonts w:asciiTheme="majorBidi" w:hAnsiTheme="majorBidi" w:cstheme="majorBidi"/>
          <w:i/>
          <w:lang w:val="en-AU"/>
        </w:rPr>
        <w:t>Act</w:t>
      </w:r>
      <w:r w:rsidR="00606044" w:rsidRPr="004C5271">
        <w:rPr>
          <w:rFonts w:asciiTheme="majorBidi" w:hAnsiTheme="majorBidi" w:cstheme="majorBidi"/>
          <w:lang w:val="en-AU"/>
        </w:rPr>
        <w:t>. T</w:t>
      </w:r>
      <w:r w:rsidR="00037043" w:rsidRPr="004C5271">
        <w:rPr>
          <w:rFonts w:asciiTheme="majorBidi" w:hAnsiTheme="majorBidi" w:cstheme="majorBidi"/>
          <w:lang w:val="en-AU"/>
        </w:rPr>
        <w:t>hose</w:t>
      </w:r>
      <w:r w:rsidR="002D031A" w:rsidRPr="004C5271">
        <w:rPr>
          <w:rFonts w:asciiTheme="majorBidi" w:hAnsiTheme="majorBidi" w:cstheme="majorBidi"/>
          <w:lang w:val="en-AU"/>
        </w:rPr>
        <w:t xml:space="preserve"> able</w:t>
      </w:r>
      <w:r w:rsidR="00873AED" w:rsidRPr="004C5271">
        <w:rPr>
          <w:rFonts w:asciiTheme="majorBidi" w:hAnsiTheme="majorBidi" w:cstheme="majorBidi"/>
          <w:lang w:val="en-AU"/>
        </w:rPr>
        <w:t xml:space="preserve"> </w:t>
      </w:r>
      <w:r w:rsidR="002D031A" w:rsidRPr="004C5271">
        <w:rPr>
          <w:rFonts w:asciiTheme="majorBidi" w:hAnsiTheme="majorBidi" w:cstheme="majorBidi"/>
          <w:lang w:val="en-AU"/>
        </w:rPr>
        <w:t>to make a claim</w:t>
      </w:r>
      <w:r w:rsidR="00873AED" w:rsidRPr="004C5271">
        <w:rPr>
          <w:rFonts w:asciiTheme="majorBidi" w:hAnsiTheme="majorBidi" w:cstheme="majorBidi"/>
          <w:lang w:val="en-AU"/>
        </w:rPr>
        <w:t xml:space="preserve"> are limited to</w:t>
      </w:r>
      <w:r w:rsidR="002D031A" w:rsidRPr="004C5271">
        <w:rPr>
          <w:rFonts w:asciiTheme="majorBidi" w:hAnsiTheme="majorBidi" w:cstheme="majorBidi"/>
          <w:lang w:val="en-AU"/>
        </w:rPr>
        <w:t xml:space="preserve"> </w:t>
      </w:r>
      <w:r w:rsidR="00873AED" w:rsidRPr="004C5271">
        <w:rPr>
          <w:rFonts w:asciiTheme="majorBidi" w:hAnsiTheme="majorBidi" w:cstheme="majorBidi"/>
          <w:lang w:val="en-AU"/>
        </w:rPr>
        <w:t>spouse</w:t>
      </w:r>
      <w:r w:rsidR="00333FCC" w:rsidRPr="004C5271">
        <w:rPr>
          <w:rFonts w:asciiTheme="majorBidi" w:hAnsiTheme="majorBidi" w:cstheme="majorBidi"/>
          <w:lang w:val="en-AU"/>
        </w:rPr>
        <w:t>s</w:t>
      </w:r>
      <w:r w:rsidR="00873AED" w:rsidRPr="004C5271">
        <w:rPr>
          <w:rFonts w:asciiTheme="majorBidi" w:hAnsiTheme="majorBidi" w:cstheme="majorBidi"/>
          <w:lang w:val="en-AU"/>
        </w:rPr>
        <w:t xml:space="preserve"> and children of the deceased</w:t>
      </w:r>
      <w:r w:rsidR="00FF536A" w:rsidRPr="004C5271">
        <w:rPr>
          <w:rFonts w:asciiTheme="majorBidi" w:hAnsiTheme="majorBidi" w:cstheme="majorBidi"/>
          <w:lang w:val="en-AU"/>
        </w:rPr>
        <w:t xml:space="preserve"> (including step-children)</w:t>
      </w:r>
      <w:r w:rsidR="00873AED" w:rsidRPr="004C5271">
        <w:rPr>
          <w:rFonts w:asciiTheme="majorBidi" w:hAnsiTheme="majorBidi" w:cstheme="majorBidi"/>
          <w:lang w:val="en-AU"/>
        </w:rPr>
        <w:t xml:space="preserve">, or the deceased’s parents where they did not have a spouse or child. </w:t>
      </w:r>
      <w:r w:rsidR="00884C4C" w:rsidRPr="004C5271">
        <w:rPr>
          <w:rFonts w:asciiTheme="majorBidi" w:hAnsiTheme="majorBidi" w:cstheme="majorBidi"/>
          <w:lang w:val="en-AU"/>
        </w:rPr>
        <w:t xml:space="preserve">A person may </w:t>
      </w:r>
      <w:r w:rsidR="00FF536A" w:rsidRPr="004C5271">
        <w:rPr>
          <w:rFonts w:asciiTheme="majorBidi" w:hAnsiTheme="majorBidi" w:cstheme="majorBidi"/>
          <w:lang w:val="en-AU"/>
        </w:rPr>
        <w:t>bring</w:t>
      </w:r>
      <w:r w:rsidR="00884C4C" w:rsidRPr="004C5271">
        <w:rPr>
          <w:rFonts w:asciiTheme="majorBidi" w:hAnsiTheme="majorBidi" w:cstheme="majorBidi"/>
          <w:lang w:val="en-AU"/>
        </w:rPr>
        <w:t xml:space="preserve"> a claim because</w:t>
      </w:r>
      <w:r w:rsidR="00873AED" w:rsidRPr="004C5271">
        <w:rPr>
          <w:rFonts w:asciiTheme="majorBidi" w:hAnsiTheme="majorBidi" w:cstheme="majorBidi"/>
          <w:lang w:val="en-AU"/>
        </w:rPr>
        <w:t xml:space="preserve"> </w:t>
      </w:r>
      <w:r w:rsidR="00884C4C" w:rsidRPr="004C5271">
        <w:rPr>
          <w:rFonts w:asciiTheme="majorBidi" w:hAnsiTheme="majorBidi" w:cstheme="majorBidi"/>
          <w:lang w:val="en-AU"/>
        </w:rPr>
        <w:t>they were not</w:t>
      </w:r>
      <w:r w:rsidR="00873AED" w:rsidRPr="004C5271">
        <w:rPr>
          <w:rFonts w:asciiTheme="majorBidi" w:hAnsiTheme="majorBidi" w:cstheme="majorBidi"/>
          <w:lang w:val="en-AU"/>
        </w:rPr>
        <w:t xml:space="preserve"> </w:t>
      </w:r>
      <w:r w:rsidR="002D031A" w:rsidRPr="004C5271">
        <w:rPr>
          <w:rFonts w:asciiTheme="majorBidi" w:hAnsiTheme="majorBidi" w:cstheme="majorBidi"/>
          <w:lang w:val="en-AU"/>
        </w:rPr>
        <w:t xml:space="preserve">left anything </w:t>
      </w:r>
      <w:r w:rsidR="00873AED" w:rsidRPr="004C5271">
        <w:rPr>
          <w:rFonts w:asciiTheme="majorBidi" w:hAnsiTheme="majorBidi" w:cstheme="majorBidi"/>
          <w:lang w:val="en-AU"/>
        </w:rPr>
        <w:t xml:space="preserve">under </w:t>
      </w:r>
      <w:r w:rsidR="004E494B" w:rsidRPr="004C5271">
        <w:rPr>
          <w:rFonts w:asciiTheme="majorBidi" w:hAnsiTheme="majorBidi" w:cstheme="majorBidi"/>
          <w:lang w:val="en-AU"/>
        </w:rPr>
        <w:t>a</w:t>
      </w:r>
      <w:r w:rsidR="00873AED" w:rsidRPr="004C5271">
        <w:rPr>
          <w:rFonts w:asciiTheme="majorBidi" w:hAnsiTheme="majorBidi" w:cstheme="majorBidi"/>
          <w:lang w:val="en-AU"/>
        </w:rPr>
        <w:t xml:space="preserve"> will, or they </w:t>
      </w:r>
      <w:r w:rsidR="002D031A" w:rsidRPr="004C5271">
        <w:rPr>
          <w:rFonts w:asciiTheme="majorBidi" w:hAnsiTheme="majorBidi" w:cstheme="majorBidi"/>
          <w:lang w:val="en-AU"/>
        </w:rPr>
        <w:t>may c</w:t>
      </w:r>
      <w:r w:rsidR="00873AED" w:rsidRPr="004C5271">
        <w:rPr>
          <w:rFonts w:asciiTheme="majorBidi" w:hAnsiTheme="majorBidi" w:cstheme="majorBidi"/>
          <w:lang w:val="en-AU"/>
        </w:rPr>
        <w:t xml:space="preserve">onsider </w:t>
      </w:r>
      <w:r w:rsidR="002D031A" w:rsidRPr="004C5271">
        <w:rPr>
          <w:rFonts w:asciiTheme="majorBidi" w:hAnsiTheme="majorBidi" w:cstheme="majorBidi"/>
          <w:lang w:val="en-AU"/>
        </w:rPr>
        <w:t>that what they were provided is not</w:t>
      </w:r>
      <w:r w:rsidR="00873AED" w:rsidRPr="004C5271">
        <w:rPr>
          <w:rFonts w:asciiTheme="majorBidi" w:hAnsiTheme="majorBidi" w:cstheme="majorBidi"/>
          <w:lang w:val="en-AU"/>
        </w:rPr>
        <w:t xml:space="preserve"> adequate </w:t>
      </w:r>
      <w:r w:rsidR="002D031A" w:rsidRPr="004C5271">
        <w:rPr>
          <w:rFonts w:asciiTheme="majorBidi" w:hAnsiTheme="majorBidi" w:cstheme="majorBidi"/>
          <w:lang w:val="en-AU"/>
        </w:rPr>
        <w:t>or</w:t>
      </w:r>
      <w:r w:rsidR="00873AED" w:rsidRPr="004C5271">
        <w:rPr>
          <w:rFonts w:asciiTheme="majorBidi" w:hAnsiTheme="majorBidi" w:cstheme="majorBidi"/>
          <w:lang w:val="en-AU"/>
        </w:rPr>
        <w:t xml:space="preserve"> proper in the circumstances. It is equally possible for </w:t>
      </w:r>
      <w:r w:rsidR="004E494B" w:rsidRPr="004C5271">
        <w:rPr>
          <w:rFonts w:asciiTheme="majorBidi" w:hAnsiTheme="majorBidi" w:cstheme="majorBidi"/>
          <w:lang w:val="en-AU"/>
        </w:rPr>
        <w:t xml:space="preserve">someone </w:t>
      </w:r>
      <w:r w:rsidR="00873AED" w:rsidRPr="004C5271">
        <w:rPr>
          <w:rFonts w:asciiTheme="majorBidi" w:hAnsiTheme="majorBidi" w:cstheme="majorBidi"/>
          <w:lang w:val="en-AU"/>
        </w:rPr>
        <w:t xml:space="preserve">to challenge </w:t>
      </w:r>
      <w:r w:rsidR="00333FCC" w:rsidRPr="004C5271">
        <w:rPr>
          <w:rFonts w:asciiTheme="majorBidi" w:hAnsiTheme="majorBidi" w:cstheme="majorBidi"/>
          <w:lang w:val="en-AU"/>
        </w:rPr>
        <w:t>their entitlement</w:t>
      </w:r>
      <w:r w:rsidR="00873AED" w:rsidRPr="004C5271">
        <w:rPr>
          <w:rFonts w:asciiTheme="majorBidi" w:hAnsiTheme="majorBidi" w:cstheme="majorBidi"/>
          <w:lang w:val="en-AU"/>
        </w:rPr>
        <w:t xml:space="preserve"> under intestacy, where </w:t>
      </w:r>
      <w:r w:rsidR="00333FCC" w:rsidRPr="004C5271">
        <w:rPr>
          <w:rFonts w:asciiTheme="majorBidi" w:hAnsiTheme="majorBidi" w:cstheme="majorBidi"/>
          <w:lang w:val="en-AU"/>
        </w:rPr>
        <w:t>statute</w:t>
      </w:r>
      <w:r w:rsidR="004E494B" w:rsidRPr="004C5271">
        <w:rPr>
          <w:rFonts w:asciiTheme="majorBidi" w:hAnsiTheme="majorBidi" w:cstheme="majorBidi"/>
          <w:lang w:val="en-AU"/>
        </w:rPr>
        <w:t xml:space="preserve"> </w:t>
      </w:r>
      <w:r w:rsidR="00333FCC" w:rsidRPr="004C5271">
        <w:rPr>
          <w:rFonts w:asciiTheme="majorBidi" w:hAnsiTheme="majorBidi" w:cstheme="majorBidi"/>
          <w:lang w:val="en-AU"/>
        </w:rPr>
        <w:t>outlines</w:t>
      </w:r>
      <w:r w:rsidR="004E494B" w:rsidRPr="004C5271">
        <w:rPr>
          <w:rFonts w:asciiTheme="majorBidi" w:hAnsiTheme="majorBidi" w:cstheme="majorBidi"/>
          <w:lang w:val="en-AU"/>
        </w:rPr>
        <w:t xml:space="preserve"> who is to receive a person’s estate </w:t>
      </w:r>
      <w:r w:rsidR="002437FC" w:rsidRPr="004C5271">
        <w:rPr>
          <w:rFonts w:asciiTheme="majorBidi" w:hAnsiTheme="majorBidi" w:cstheme="majorBidi"/>
          <w:lang w:val="en-AU"/>
        </w:rPr>
        <w:t>whe</w:t>
      </w:r>
      <w:r w:rsidR="00333FCC" w:rsidRPr="004C5271">
        <w:rPr>
          <w:rFonts w:asciiTheme="majorBidi" w:hAnsiTheme="majorBidi" w:cstheme="majorBidi"/>
          <w:lang w:val="en-AU"/>
        </w:rPr>
        <w:t>re</w:t>
      </w:r>
      <w:r w:rsidR="002437FC" w:rsidRPr="004C5271">
        <w:rPr>
          <w:rFonts w:asciiTheme="majorBidi" w:hAnsiTheme="majorBidi" w:cstheme="majorBidi"/>
          <w:lang w:val="en-AU"/>
        </w:rPr>
        <w:t xml:space="preserve"> </w:t>
      </w:r>
      <w:r w:rsidR="00333FCC" w:rsidRPr="004C5271">
        <w:rPr>
          <w:rFonts w:asciiTheme="majorBidi" w:hAnsiTheme="majorBidi" w:cstheme="majorBidi"/>
          <w:lang w:val="en-AU"/>
        </w:rPr>
        <w:t>they</w:t>
      </w:r>
      <w:r w:rsidR="00873AED" w:rsidRPr="004C5271">
        <w:rPr>
          <w:rFonts w:asciiTheme="majorBidi" w:hAnsiTheme="majorBidi" w:cstheme="majorBidi"/>
          <w:lang w:val="en-AU"/>
        </w:rPr>
        <w:t xml:space="preserve"> die without a valid will </w:t>
      </w:r>
      <w:r w:rsidR="00333FCC" w:rsidRPr="004C5271">
        <w:rPr>
          <w:rFonts w:asciiTheme="majorBidi" w:hAnsiTheme="majorBidi" w:cstheme="majorBidi"/>
          <w:lang w:val="en-AU"/>
        </w:rPr>
        <w:t xml:space="preserve">that </w:t>
      </w:r>
      <w:r w:rsidR="00873AED" w:rsidRPr="004C5271">
        <w:rPr>
          <w:rFonts w:asciiTheme="majorBidi" w:hAnsiTheme="majorBidi" w:cstheme="majorBidi"/>
          <w:lang w:val="en-AU"/>
        </w:rPr>
        <w:t>distribut</w:t>
      </w:r>
      <w:r w:rsidR="00333FCC" w:rsidRPr="004C5271">
        <w:rPr>
          <w:rFonts w:asciiTheme="majorBidi" w:hAnsiTheme="majorBidi" w:cstheme="majorBidi"/>
          <w:lang w:val="en-AU"/>
        </w:rPr>
        <w:t>es the whole</w:t>
      </w:r>
      <w:r w:rsidR="00873AED" w:rsidRPr="004C5271">
        <w:rPr>
          <w:rFonts w:asciiTheme="majorBidi" w:hAnsiTheme="majorBidi" w:cstheme="majorBidi"/>
          <w:lang w:val="en-AU"/>
        </w:rPr>
        <w:t xml:space="preserve"> of their estate. </w:t>
      </w:r>
    </w:p>
    <w:p w14:paraId="6412E3EF" w14:textId="48B687C2" w:rsidR="00741BFB" w:rsidRPr="004C5271" w:rsidRDefault="00333FCC" w:rsidP="00C0478D">
      <w:pPr>
        <w:pStyle w:val="NumberlessNormalText"/>
        <w:rPr>
          <w:rFonts w:asciiTheme="majorBidi" w:hAnsiTheme="majorBidi" w:cstheme="majorBidi"/>
          <w:lang w:val="en-AU"/>
        </w:rPr>
      </w:pPr>
      <w:r w:rsidRPr="004C5271">
        <w:rPr>
          <w:rFonts w:asciiTheme="majorBidi" w:hAnsiTheme="majorBidi" w:cstheme="majorBidi"/>
          <w:lang w:val="en-AU"/>
        </w:rPr>
        <w:t>A</w:t>
      </w:r>
      <w:r w:rsidR="004E494B" w:rsidRPr="004C5271">
        <w:rPr>
          <w:rFonts w:asciiTheme="majorBidi" w:hAnsiTheme="majorBidi" w:cstheme="majorBidi"/>
          <w:lang w:val="en-AU"/>
        </w:rPr>
        <w:t xml:space="preserve"> </w:t>
      </w:r>
      <w:r w:rsidR="0059379A" w:rsidRPr="004C5271">
        <w:rPr>
          <w:rFonts w:asciiTheme="majorBidi" w:hAnsiTheme="majorBidi" w:cstheme="majorBidi"/>
          <w:lang w:val="en-AU"/>
        </w:rPr>
        <w:t>family provision</w:t>
      </w:r>
      <w:r w:rsidR="004E494B" w:rsidRPr="004C5271">
        <w:rPr>
          <w:rFonts w:asciiTheme="majorBidi" w:hAnsiTheme="majorBidi" w:cstheme="majorBidi"/>
          <w:lang w:val="en-AU"/>
        </w:rPr>
        <w:t xml:space="preserve"> claim</w:t>
      </w:r>
      <w:r w:rsidRPr="004C5271">
        <w:rPr>
          <w:rFonts w:asciiTheme="majorBidi" w:hAnsiTheme="majorBidi" w:cstheme="majorBidi"/>
          <w:lang w:val="en-AU"/>
        </w:rPr>
        <w:t xml:space="preserve"> is commenced</w:t>
      </w:r>
      <w:r w:rsidR="004E494B" w:rsidRPr="004C5271">
        <w:rPr>
          <w:rFonts w:asciiTheme="majorBidi" w:hAnsiTheme="majorBidi" w:cstheme="majorBidi"/>
          <w:lang w:val="en-AU"/>
        </w:rPr>
        <w:t xml:space="preserve"> by application </w:t>
      </w:r>
      <w:r w:rsidRPr="004C5271">
        <w:rPr>
          <w:rFonts w:asciiTheme="majorBidi" w:hAnsiTheme="majorBidi" w:cstheme="majorBidi"/>
          <w:lang w:val="en-AU"/>
        </w:rPr>
        <w:t>to</w:t>
      </w:r>
      <w:r w:rsidR="004E494B" w:rsidRPr="004C5271">
        <w:rPr>
          <w:rFonts w:asciiTheme="majorBidi" w:hAnsiTheme="majorBidi" w:cstheme="majorBidi"/>
          <w:lang w:val="en-AU"/>
        </w:rPr>
        <w:t xml:space="preserve"> the Supreme Court of Tasmania, </w:t>
      </w:r>
      <w:r w:rsidR="002437FC" w:rsidRPr="004C5271">
        <w:rPr>
          <w:rFonts w:asciiTheme="majorBidi" w:hAnsiTheme="majorBidi" w:cstheme="majorBidi"/>
          <w:lang w:val="en-AU"/>
        </w:rPr>
        <w:t xml:space="preserve">which </w:t>
      </w:r>
      <w:r w:rsidR="004E494B" w:rsidRPr="004C5271">
        <w:rPr>
          <w:rFonts w:asciiTheme="majorBidi" w:hAnsiTheme="majorBidi" w:cstheme="majorBidi"/>
          <w:lang w:val="en-AU"/>
        </w:rPr>
        <w:t>determines a claim if the matter cannot be resolved amongst the parties.</w:t>
      </w:r>
      <w:r w:rsidR="00873AED" w:rsidRPr="004C5271">
        <w:rPr>
          <w:rFonts w:asciiTheme="majorBidi" w:hAnsiTheme="majorBidi" w:cstheme="majorBidi"/>
          <w:lang w:val="en-AU"/>
        </w:rPr>
        <w:t xml:space="preserve"> </w:t>
      </w:r>
      <w:r w:rsidR="004E494B" w:rsidRPr="004C5271">
        <w:rPr>
          <w:rFonts w:asciiTheme="majorBidi" w:hAnsiTheme="majorBidi" w:cstheme="majorBidi"/>
          <w:lang w:val="en-AU"/>
        </w:rPr>
        <w:t>The applicant</w:t>
      </w:r>
      <w:r w:rsidR="00873AED" w:rsidRPr="004C5271">
        <w:rPr>
          <w:rFonts w:asciiTheme="majorBidi" w:hAnsiTheme="majorBidi" w:cstheme="majorBidi"/>
          <w:lang w:val="en-AU"/>
        </w:rPr>
        <w:t xml:space="preserve"> must satisfy the </w:t>
      </w:r>
      <w:r w:rsidR="004E494B" w:rsidRPr="004C5271">
        <w:rPr>
          <w:rFonts w:asciiTheme="majorBidi" w:hAnsiTheme="majorBidi" w:cstheme="majorBidi"/>
          <w:lang w:val="en-AU"/>
        </w:rPr>
        <w:t>C</w:t>
      </w:r>
      <w:r w:rsidR="00873AED" w:rsidRPr="004C5271">
        <w:rPr>
          <w:rFonts w:asciiTheme="majorBidi" w:hAnsiTheme="majorBidi" w:cstheme="majorBidi"/>
          <w:lang w:val="en-AU"/>
        </w:rPr>
        <w:t xml:space="preserve">ourt that they have been left without adequate provision for their proper maintenance and support. The Court will consider a range of factors </w:t>
      </w:r>
      <w:r w:rsidR="0023503C" w:rsidRPr="004C5271">
        <w:rPr>
          <w:rFonts w:asciiTheme="majorBidi" w:hAnsiTheme="majorBidi" w:cstheme="majorBidi"/>
          <w:lang w:val="en-AU"/>
        </w:rPr>
        <w:t xml:space="preserve">in its discretion, </w:t>
      </w:r>
      <w:r w:rsidRPr="004C5271">
        <w:rPr>
          <w:rFonts w:asciiTheme="majorBidi" w:hAnsiTheme="majorBidi" w:cstheme="majorBidi"/>
          <w:lang w:val="en-AU"/>
        </w:rPr>
        <w:t>which may include</w:t>
      </w:r>
      <w:r w:rsidR="0023503C" w:rsidRPr="004C5271">
        <w:rPr>
          <w:rFonts w:asciiTheme="majorBidi" w:hAnsiTheme="majorBidi" w:cstheme="majorBidi"/>
          <w:lang w:val="en-AU"/>
        </w:rPr>
        <w:t xml:space="preserve"> </w:t>
      </w:r>
      <w:r w:rsidRPr="004C5271">
        <w:rPr>
          <w:rFonts w:asciiTheme="majorBidi" w:hAnsiTheme="majorBidi" w:cstheme="majorBidi"/>
          <w:lang w:val="en-AU"/>
        </w:rPr>
        <w:t xml:space="preserve">matters like the applicant’s need, </w:t>
      </w:r>
      <w:r w:rsidR="00873AED" w:rsidRPr="004C5271">
        <w:rPr>
          <w:rFonts w:asciiTheme="majorBidi" w:hAnsiTheme="majorBidi" w:cstheme="majorBidi"/>
          <w:lang w:val="en-AU"/>
        </w:rPr>
        <w:t>the size of the estate</w:t>
      </w:r>
      <w:r w:rsidRPr="004C5271">
        <w:rPr>
          <w:rFonts w:asciiTheme="majorBidi" w:hAnsiTheme="majorBidi" w:cstheme="majorBidi"/>
          <w:lang w:val="en-AU"/>
        </w:rPr>
        <w:t xml:space="preserve"> available</w:t>
      </w:r>
      <w:r w:rsidR="00873AED" w:rsidRPr="004C5271">
        <w:rPr>
          <w:rFonts w:asciiTheme="majorBidi" w:hAnsiTheme="majorBidi" w:cstheme="majorBidi"/>
          <w:lang w:val="en-AU"/>
        </w:rPr>
        <w:t>, the nature and quality of the relationship between the applicant and the deceased, the competing claims of beneficiaries</w:t>
      </w:r>
      <w:r w:rsidR="00741BFB" w:rsidRPr="004C5271">
        <w:rPr>
          <w:rFonts w:asciiTheme="majorBidi" w:hAnsiTheme="majorBidi" w:cstheme="majorBidi"/>
          <w:lang w:val="en-AU"/>
        </w:rPr>
        <w:t xml:space="preserve"> and any reasons</w:t>
      </w:r>
      <w:r w:rsidR="004E494B" w:rsidRPr="004C5271">
        <w:rPr>
          <w:rFonts w:asciiTheme="majorBidi" w:hAnsiTheme="majorBidi" w:cstheme="majorBidi"/>
          <w:lang w:val="en-AU"/>
        </w:rPr>
        <w:t xml:space="preserve"> </w:t>
      </w:r>
      <w:r w:rsidR="00FF536A" w:rsidRPr="004C5271">
        <w:rPr>
          <w:rFonts w:asciiTheme="majorBidi" w:hAnsiTheme="majorBidi" w:cstheme="majorBidi"/>
          <w:lang w:val="en-AU"/>
        </w:rPr>
        <w:t xml:space="preserve">ascertained </w:t>
      </w:r>
      <w:r w:rsidR="00741BFB" w:rsidRPr="004C5271">
        <w:rPr>
          <w:rFonts w:asciiTheme="majorBidi" w:hAnsiTheme="majorBidi" w:cstheme="majorBidi"/>
          <w:lang w:val="en-AU"/>
        </w:rPr>
        <w:t xml:space="preserve">why the deceased wished to gift their estate as they did. The </w:t>
      </w:r>
      <w:r w:rsidR="00884C4C" w:rsidRPr="004C5271">
        <w:rPr>
          <w:rFonts w:asciiTheme="majorBidi" w:hAnsiTheme="majorBidi" w:cstheme="majorBidi"/>
          <w:lang w:val="en-AU"/>
        </w:rPr>
        <w:t>C</w:t>
      </w:r>
      <w:r w:rsidR="00741BFB" w:rsidRPr="004C5271">
        <w:rPr>
          <w:rFonts w:asciiTheme="majorBidi" w:hAnsiTheme="majorBidi" w:cstheme="majorBidi"/>
          <w:lang w:val="en-AU"/>
        </w:rPr>
        <w:t xml:space="preserve">ourt can </w:t>
      </w:r>
      <w:r w:rsidR="004E494B" w:rsidRPr="004C5271">
        <w:rPr>
          <w:rFonts w:asciiTheme="majorBidi" w:hAnsiTheme="majorBidi" w:cstheme="majorBidi"/>
          <w:lang w:val="en-AU"/>
        </w:rPr>
        <w:t xml:space="preserve">decline to </w:t>
      </w:r>
      <w:r w:rsidR="00FF536A" w:rsidRPr="004C5271">
        <w:rPr>
          <w:rFonts w:asciiTheme="majorBidi" w:hAnsiTheme="majorBidi" w:cstheme="majorBidi"/>
          <w:lang w:val="en-AU"/>
        </w:rPr>
        <w:t>award</w:t>
      </w:r>
      <w:r w:rsidR="004E494B" w:rsidRPr="004C5271">
        <w:rPr>
          <w:rFonts w:asciiTheme="majorBidi" w:hAnsiTheme="majorBidi" w:cstheme="majorBidi"/>
          <w:lang w:val="en-AU"/>
        </w:rPr>
        <w:t xml:space="preserve"> provision for an applicant where it determines</w:t>
      </w:r>
      <w:r w:rsidR="00741BFB" w:rsidRPr="004C5271">
        <w:rPr>
          <w:rFonts w:asciiTheme="majorBidi" w:hAnsiTheme="majorBidi" w:cstheme="majorBidi"/>
          <w:lang w:val="en-AU"/>
        </w:rPr>
        <w:t xml:space="preserve"> that </w:t>
      </w:r>
      <w:r w:rsidRPr="004C5271">
        <w:rPr>
          <w:rFonts w:asciiTheme="majorBidi" w:hAnsiTheme="majorBidi" w:cstheme="majorBidi"/>
          <w:lang w:val="en-AU"/>
        </w:rPr>
        <w:t xml:space="preserve">they have </w:t>
      </w:r>
      <w:r w:rsidR="00741BFB" w:rsidRPr="004C5271">
        <w:rPr>
          <w:rFonts w:asciiTheme="majorBidi" w:hAnsiTheme="majorBidi" w:cstheme="majorBidi"/>
          <w:lang w:val="en-AU"/>
        </w:rPr>
        <w:t xml:space="preserve">disentitled themselves due to their conduct. This might </w:t>
      </w:r>
      <w:r w:rsidRPr="004C5271">
        <w:rPr>
          <w:rFonts w:asciiTheme="majorBidi" w:hAnsiTheme="majorBidi" w:cstheme="majorBidi"/>
          <w:lang w:val="en-AU"/>
        </w:rPr>
        <w:t>occur</w:t>
      </w:r>
      <w:r w:rsidR="00741BFB" w:rsidRPr="004C5271">
        <w:rPr>
          <w:rFonts w:asciiTheme="majorBidi" w:hAnsiTheme="majorBidi" w:cstheme="majorBidi"/>
          <w:lang w:val="en-AU"/>
        </w:rPr>
        <w:t>, for example, where th</w:t>
      </w:r>
      <w:r w:rsidRPr="004C5271">
        <w:rPr>
          <w:rFonts w:asciiTheme="majorBidi" w:hAnsiTheme="majorBidi" w:cstheme="majorBidi"/>
          <w:lang w:val="en-AU"/>
        </w:rPr>
        <w:t xml:space="preserve">e applicant has been </w:t>
      </w:r>
      <w:r w:rsidR="00741BFB" w:rsidRPr="004C5271">
        <w:rPr>
          <w:rFonts w:asciiTheme="majorBidi" w:hAnsiTheme="majorBidi" w:cstheme="majorBidi"/>
          <w:lang w:val="en-AU"/>
        </w:rPr>
        <w:t>violen</w:t>
      </w:r>
      <w:r w:rsidRPr="004C5271">
        <w:rPr>
          <w:rFonts w:asciiTheme="majorBidi" w:hAnsiTheme="majorBidi" w:cstheme="majorBidi"/>
          <w:lang w:val="en-AU"/>
        </w:rPr>
        <w:t>t</w:t>
      </w:r>
      <w:r w:rsidR="00741BFB" w:rsidRPr="004C5271">
        <w:rPr>
          <w:rFonts w:asciiTheme="majorBidi" w:hAnsiTheme="majorBidi" w:cstheme="majorBidi"/>
          <w:lang w:val="en-AU"/>
        </w:rPr>
        <w:t xml:space="preserve"> </w:t>
      </w:r>
      <w:r w:rsidR="0023503C" w:rsidRPr="004C5271">
        <w:rPr>
          <w:rFonts w:asciiTheme="majorBidi" w:hAnsiTheme="majorBidi" w:cstheme="majorBidi"/>
          <w:lang w:val="en-AU"/>
        </w:rPr>
        <w:t>or abus</w:t>
      </w:r>
      <w:r w:rsidRPr="004C5271">
        <w:rPr>
          <w:rFonts w:asciiTheme="majorBidi" w:hAnsiTheme="majorBidi" w:cstheme="majorBidi"/>
          <w:lang w:val="en-AU"/>
        </w:rPr>
        <w:t>ive towards the deceased</w:t>
      </w:r>
      <w:r w:rsidR="00741BFB" w:rsidRPr="004C5271">
        <w:rPr>
          <w:rFonts w:asciiTheme="majorBidi" w:hAnsiTheme="majorBidi" w:cstheme="majorBidi"/>
          <w:lang w:val="en-AU"/>
        </w:rPr>
        <w:t xml:space="preserve">. </w:t>
      </w:r>
    </w:p>
    <w:p w14:paraId="73881916" w14:textId="0D8E5A16" w:rsidR="002C3DFE" w:rsidRPr="004C5271" w:rsidRDefault="00741BFB"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If the </w:t>
      </w:r>
      <w:r w:rsidR="00884C4C" w:rsidRPr="004C5271">
        <w:rPr>
          <w:rFonts w:asciiTheme="majorBidi" w:hAnsiTheme="majorBidi" w:cstheme="majorBidi"/>
          <w:lang w:val="en-AU"/>
        </w:rPr>
        <w:t>C</w:t>
      </w:r>
      <w:r w:rsidRPr="004C5271">
        <w:rPr>
          <w:rFonts w:asciiTheme="majorBidi" w:hAnsiTheme="majorBidi" w:cstheme="majorBidi"/>
          <w:lang w:val="en-AU"/>
        </w:rPr>
        <w:t xml:space="preserve">ourt is satisfied that an applicant </w:t>
      </w:r>
      <w:r w:rsidR="00333FCC" w:rsidRPr="004C5271">
        <w:rPr>
          <w:rFonts w:asciiTheme="majorBidi" w:hAnsiTheme="majorBidi" w:cstheme="majorBidi"/>
          <w:lang w:val="en-AU"/>
        </w:rPr>
        <w:t>satisfies</w:t>
      </w:r>
      <w:r w:rsidRPr="004C5271">
        <w:rPr>
          <w:rFonts w:asciiTheme="majorBidi" w:hAnsiTheme="majorBidi" w:cstheme="majorBidi"/>
          <w:lang w:val="en-AU"/>
        </w:rPr>
        <w:t xml:space="preserve"> the test outlined in the </w:t>
      </w:r>
      <w:r w:rsidR="0059379A" w:rsidRPr="004C5271">
        <w:rPr>
          <w:rFonts w:asciiTheme="majorBidi" w:hAnsiTheme="majorBidi" w:cstheme="majorBidi"/>
          <w:i/>
          <w:iCs/>
          <w:lang w:val="en-AU"/>
        </w:rPr>
        <w:t>TFM Act</w:t>
      </w:r>
      <w:r w:rsidRPr="004C5271">
        <w:rPr>
          <w:rFonts w:asciiTheme="majorBidi" w:hAnsiTheme="majorBidi" w:cstheme="majorBidi"/>
          <w:lang w:val="en-AU"/>
        </w:rPr>
        <w:t>, it may order that the applicant receive an amount (or additional amount) from the deceased’s estate.</w:t>
      </w:r>
      <w:r w:rsidR="00921F44" w:rsidRPr="004C5271">
        <w:rPr>
          <w:rFonts w:asciiTheme="majorBidi" w:hAnsiTheme="majorBidi" w:cstheme="majorBidi"/>
          <w:lang w:val="en-AU"/>
        </w:rPr>
        <w:t xml:space="preserve"> </w:t>
      </w:r>
      <w:r w:rsidR="001343B3" w:rsidRPr="004C5271">
        <w:rPr>
          <w:rFonts w:asciiTheme="majorBidi" w:hAnsiTheme="majorBidi" w:cstheme="majorBidi"/>
          <w:lang w:val="en-AU"/>
        </w:rPr>
        <w:t>T</w:t>
      </w:r>
      <w:r w:rsidR="00921F44" w:rsidRPr="004C5271">
        <w:rPr>
          <w:rFonts w:asciiTheme="majorBidi" w:hAnsiTheme="majorBidi" w:cstheme="majorBidi"/>
          <w:lang w:val="en-AU"/>
        </w:rPr>
        <w:t xml:space="preserve">he key elements of the </w:t>
      </w:r>
      <w:r w:rsidR="00921F44" w:rsidRPr="004C5271">
        <w:rPr>
          <w:rFonts w:asciiTheme="majorBidi" w:hAnsiTheme="majorBidi" w:cstheme="majorBidi"/>
          <w:i/>
          <w:iCs/>
          <w:lang w:val="en-AU"/>
        </w:rPr>
        <w:t>TFM Act</w:t>
      </w:r>
      <w:r w:rsidR="001343B3" w:rsidRPr="004C5271">
        <w:rPr>
          <w:rFonts w:asciiTheme="majorBidi" w:hAnsiTheme="majorBidi" w:cstheme="majorBidi"/>
          <w:lang w:val="en-AU"/>
        </w:rPr>
        <w:t xml:space="preserve"> are explained in Part 1.</w:t>
      </w:r>
    </w:p>
    <w:p w14:paraId="31633F83" w14:textId="7B86F46B" w:rsidR="00E61A23" w:rsidRPr="004C5271" w:rsidRDefault="00E61A23" w:rsidP="00AE2B8C">
      <w:pPr>
        <w:pStyle w:val="Sub-HeadingTLRI"/>
      </w:pPr>
      <w:r w:rsidRPr="004C5271">
        <w:lastRenderedPageBreak/>
        <w:t xml:space="preserve">What assets </w:t>
      </w:r>
      <w:proofErr w:type="gramStart"/>
      <w:r w:rsidRPr="004C5271">
        <w:t>are able to</w:t>
      </w:r>
      <w:proofErr w:type="gramEnd"/>
      <w:r w:rsidRPr="004C5271">
        <w:t xml:space="preserve"> be claimed? </w:t>
      </w:r>
    </w:p>
    <w:p w14:paraId="2166513C" w14:textId="2E0FCF76" w:rsidR="005C72CF" w:rsidRPr="004C5271" w:rsidRDefault="00741BFB"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In all Australian jurisdictions other than New South Wales, </w:t>
      </w:r>
      <w:r w:rsidR="00973515" w:rsidRPr="004C5271">
        <w:rPr>
          <w:rFonts w:asciiTheme="majorBidi" w:hAnsiTheme="majorBidi" w:cstheme="majorBidi"/>
          <w:lang w:val="en-AU"/>
        </w:rPr>
        <w:t>a</w:t>
      </w:r>
      <w:r w:rsidRPr="004C5271">
        <w:rPr>
          <w:rFonts w:asciiTheme="majorBidi" w:hAnsiTheme="majorBidi" w:cstheme="majorBidi"/>
          <w:lang w:val="en-AU"/>
        </w:rPr>
        <w:t xml:space="preserve"> </w:t>
      </w:r>
      <w:r w:rsidR="00973515" w:rsidRPr="004C5271">
        <w:rPr>
          <w:rFonts w:asciiTheme="majorBidi" w:hAnsiTheme="majorBidi" w:cstheme="majorBidi"/>
          <w:lang w:val="en-AU"/>
        </w:rPr>
        <w:t>c</w:t>
      </w:r>
      <w:r w:rsidRPr="004C5271">
        <w:rPr>
          <w:rFonts w:asciiTheme="majorBidi" w:hAnsiTheme="majorBidi" w:cstheme="majorBidi"/>
          <w:lang w:val="en-AU"/>
        </w:rPr>
        <w:t xml:space="preserve">ourt may only </w:t>
      </w:r>
      <w:r w:rsidR="00236E50" w:rsidRPr="004C5271">
        <w:rPr>
          <w:rFonts w:asciiTheme="majorBidi" w:hAnsiTheme="majorBidi" w:cstheme="majorBidi"/>
          <w:lang w:val="en-AU"/>
        </w:rPr>
        <w:t>make</w:t>
      </w:r>
      <w:r w:rsidRPr="004C5271">
        <w:rPr>
          <w:rFonts w:asciiTheme="majorBidi" w:hAnsiTheme="majorBidi" w:cstheme="majorBidi"/>
          <w:lang w:val="en-AU"/>
        </w:rPr>
        <w:t xml:space="preserve"> provision for a successful </w:t>
      </w:r>
      <w:r w:rsidR="0059379A" w:rsidRPr="004C5271">
        <w:rPr>
          <w:rFonts w:asciiTheme="majorBidi" w:hAnsiTheme="majorBidi" w:cstheme="majorBidi"/>
          <w:lang w:val="en-AU"/>
        </w:rPr>
        <w:t>family provision</w:t>
      </w:r>
      <w:r w:rsidR="00236E50" w:rsidRPr="004C5271">
        <w:rPr>
          <w:rFonts w:asciiTheme="majorBidi" w:hAnsiTheme="majorBidi" w:cstheme="majorBidi"/>
          <w:lang w:val="en-AU"/>
        </w:rPr>
        <w:t xml:space="preserve"> </w:t>
      </w:r>
      <w:r w:rsidRPr="004C5271">
        <w:rPr>
          <w:rFonts w:asciiTheme="majorBidi" w:hAnsiTheme="majorBidi" w:cstheme="majorBidi"/>
          <w:lang w:val="en-AU"/>
        </w:rPr>
        <w:t xml:space="preserve">applicant from the deceased’s estate. It is possible </w:t>
      </w:r>
      <w:r w:rsidR="005C72CF" w:rsidRPr="004C5271">
        <w:rPr>
          <w:rFonts w:asciiTheme="majorBidi" w:hAnsiTheme="majorBidi" w:cstheme="majorBidi"/>
          <w:lang w:val="en-AU"/>
        </w:rPr>
        <w:t>for</w:t>
      </w:r>
      <w:r w:rsidRPr="004C5271">
        <w:rPr>
          <w:rFonts w:asciiTheme="majorBidi" w:hAnsiTheme="majorBidi" w:cstheme="majorBidi"/>
          <w:lang w:val="en-AU"/>
        </w:rPr>
        <w:t xml:space="preserve"> a person who </w:t>
      </w:r>
      <w:r w:rsidR="00236E50" w:rsidRPr="004C5271">
        <w:rPr>
          <w:rFonts w:asciiTheme="majorBidi" w:hAnsiTheme="majorBidi" w:cstheme="majorBidi"/>
          <w:lang w:val="en-AU"/>
        </w:rPr>
        <w:t>might</w:t>
      </w:r>
      <w:r w:rsidRPr="004C5271">
        <w:rPr>
          <w:rFonts w:asciiTheme="majorBidi" w:hAnsiTheme="majorBidi" w:cstheme="majorBidi"/>
          <w:lang w:val="en-AU"/>
        </w:rPr>
        <w:t xml:space="preserve"> be considered wealthy </w:t>
      </w:r>
      <w:r w:rsidR="005C72CF" w:rsidRPr="004C5271">
        <w:rPr>
          <w:rFonts w:asciiTheme="majorBidi" w:hAnsiTheme="majorBidi" w:cstheme="majorBidi"/>
          <w:lang w:val="en-AU"/>
        </w:rPr>
        <w:t>to</w:t>
      </w:r>
      <w:r w:rsidRPr="004C5271">
        <w:rPr>
          <w:rFonts w:asciiTheme="majorBidi" w:hAnsiTheme="majorBidi" w:cstheme="majorBidi"/>
          <w:lang w:val="en-AU"/>
        </w:rPr>
        <w:t xml:space="preserve"> die with very little </w:t>
      </w:r>
      <w:r w:rsidR="005C72CF" w:rsidRPr="004C5271">
        <w:rPr>
          <w:rFonts w:asciiTheme="majorBidi" w:hAnsiTheme="majorBidi" w:cstheme="majorBidi"/>
          <w:lang w:val="en-AU"/>
        </w:rPr>
        <w:t xml:space="preserve">(if anything) </w:t>
      </w:r>
      <w:r w:rsidRPr="004C5271">
        <w:rPr>
          <w:rFonts w:asciiTheme="majorBidi" w:hAnsiTheme="majorBidi" w:cstheme="majorBidi"/>
          <w:lang w:val="en-AU"/>
        </w:rPr>
        <w:t xml:space="preserve">in their estate. This might occur where the person owns property with </w:t>
      </w:r>
      <w:r w:rsidR="0059379A" w:rsidRPr="004C5271">
        <w:rPr>
          <w:rFonts w:asciiTheme="majorBidi" w:hAnsiTheme="majorBidi" w:cstheme="majorBidi"/>
          <w:lang w:val="en-AU"/>
        </w:rPr>
        <w:t>others</w:t>
      </w:r>
      <w:r w:rsidRPr="004C5271">
        <w:rPr>
          <w:rFonts w:asciiTheme="majorBidi" w:hAnsiTheme="majorBidi" w:cstheme="majorBidi"/>
          <w:lang w:val="en-AU"/>
        </w:rPr>
        <w:t xml:space="preserve"> as a joint tenant, or where assets are held in trusts. Assets </w:t>
      </w:r>
      <w:r w:rsidR="00647E80" w:rsidRPr="004C5271">
        <w:rPr>
          <w:rFonts w:asciiTheme="majorBidi" w:hAnsiTheme="majorBidi" w:cstheme="majorBidi"/>
          <w:lang w:val="en-AU"/>
        </w:rPr>
        <w:t>may</w:t>
      </w:r>
      <w:r w:rsidRPr="004C5271">
        <w:rPr>
          <w:rFonts w:asciiTheme="majorBidi" w:hAnsiTheme="majorBidi" w:cstheme="majorBidi"/>
          <w:lang w:val="en-AU"/>
        </w:rPr>
        <w:t xml:space="preserve"> pass to beneficiaries outside of a person’s estate, for example, </w:t>
      </w:r>
      <w:r w:rsidR="00BA659E" w:rsidRPr="004C5271">
        <w:rPr>
          <w:rFonts w:asciiTheme="majorBidi" w:hAnsiTheme="majorBidi" w:cstheme="majorBidi"/>
          <w:lang w:val="en-AU"/>
        </w:rPr>
        <w:t>where</w:t>
      </w:r>
      <w:r w:rsidRPr="004C5271">
        <w:rPr>
          <w:rFonts w:asciiTheme="majorBidi" w:hAnsiTheme="majorBidi" w:cstheme="majorBidi"/>
          <w:lang w:val="en-AU"/>
        </w:rPr>
        <w:t xml:space="preserve"> superannuation or life insurance proceeds </w:t>
      </w:r>
      <w:r w:rsidR="00BA659E" w:rsidRPr="004C5271">
        <w:rPr>
          <w:rFonts w:asciiTheme="majorBidi" w:hAnsiTheme="majorBidi" w:cstheme="majorBidi"/>
          <w:lang w:val="en-AU"/>
        </w:rPr>
        <w:t>are</w:t>
      </w:r>
      <w:r w:rsidRPr="004C5271">
        <w:rPr>
          <w:rFonts w:asciiTheme="majorBidi" w:hAnsiTheme="majorBidi" w:cstheme="majorBidi"/>
          <w:lang w:val="en-AU"/>
        </w:rPr>
        <w:t xml:space="preserve"> paid directly to beneficiaries rather than to the person’s legal personal representative. </w:t>
      </w:r>
      <w:r w:rsidR="0059379A" w:rsidRPr="004C5271">
        <w:rPr>
          <w:rFonts w:asciiTheme="majorBidi" w:hAnsiTheme="majorBidi" w:cstheme="majorBidi"/>
          <w:lang w:val="en-AU"/>
        </w:rPr>
        <w:t>A person may also gift assets before their death, with any assets gifted then ceasing to be part of their estate.</w:t>
      </w:r>
      <w:r w:rsidR="00921F44" w:rsidRPr="004C5271">
        <w:rPr>
          <w:rFonts w:asciiTheme="majorBidi" w:hAnsiTheme="majorBidi" w:cstheme="majorBidi"/>
          <w:lang w:val="en-AU"/>
        </w:rPr>
        <w:t xml:space="preserve"> Those assets that may fall outside a person’s estate are outlined in Part 2.</w:t>
      </w:r>
    </w:p>
    <w:p w14:paraId="13D6AF09" w14:textId="61A03131" w:rsidR="00741BFB" w:rsidRPr="004C5271" w:rsidRDefault="001343B3"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The way people hold their assets </w:t>
      </w:r>
      <w:r w:rsidR="005C72CF" w:rsidRPr="004C5271">
        <w:rPr>
          <w:rFonts w:asciiTheme="majorBidi" w:hAnsiTheme="majorBidi" w:cstheme="majorBidi"/>
          <w:lang w:val="en-AU"/>
        </w:rPr>
        <w:t xml:space="preserve">may </w:t>
      </w:r>
      <w:r w:rsidRPr="004C5271">
        <w:rPr>
          <w:rFonts w:asciiTheme="majorBidi" w:hAnsiTheme="majorBidi" w:cstheme="majorBidi"/>
          <w:lang w:val="en-AU"/>
        </w:rPr>
        <w:t>exist</w:t>
      </w:r>
      <w:r w:rsidR="001D280F" w:rsidRPr="004C5271">
        <w:rPr>
          <w:rFonts w:asciiTheme="majorBidi" w:hAnsiTheme="majorBidi" w:cstheme="majorBidi"/>
          <w:lang w:val="en-AU"/>
        </w:rPr>
        <w:t xml:space="preserve"> </w:t>
      </w:r>
      <w:r w:rsidR="00236E50" w:rsidRPr="004C5271">
        <w:rPr>
          <w:rFonts w:asciiTheme="majorBidi" w:hAnsiTheme="majorBidi" w:cstheme="majorBidi"/>
          <w:lang w:val="en-AU"/>
        </w:rPr>
        <w:t xml:space="preserve">for </w:t>
      </w:r>
      <w:r w:rsidR="0059379A" w:rsidRPr="004C5271">
        <w:rPr>
          <w:rFonts w:asciiTheme="majorBidi" w:hAnsiTheme="majorBidi" w:cstheme="majorBidi"/>
          <w:lang w:val="en-AU"/>
        </w:rPr>
        <w:t>a range of</w:t>
      </w:r>
      <w:r w:rsidR="00236E50" w:rsidRPr="004C5271">
        <w:rPr>
          <w:rFonts w:asciiTheme="majorBidi" w:hAnsiTheme="majorBidi" w:cstheme="majorBidi"/>
          <w:lang w:val="en-AU"/>
        </w:rPr>
        <w:t xml:space="preserve"> reasons </w:t>
      </w:r>
      <w:r w:rsidR="00BE1BC2" w:rsidRPr="004C5271">
        <w:rPr>
          <w:rFonts w:asciiTheme="majorBidi" w:hAnsiTheme="majorBidi" w:cstheme="majorBidi"/>
          <w:lang w:val="en-AU"/>
        </w:rPr>
        <w:t>—</w:t>
      </w:r>
      <w:r w:rsidR="00236E50" w:rsidRPr="004C5271">
        <w:rPr>
          <w:rFonts w:asciiTheme="majorBidi" w:hAnsiTheme="majorBidi" w:cstheme="majorBidi"/>
          <w:lang w:val="en-AU"/>
        </w:rPr>
        <w:t xml:space="preserve"> for example, for asset protection or taxation purposes</w:t>
      </w:r>
      <w:r w:rsidRPr="004C5271">
        <w:rPr>
          <w:rFonts w:asciiTheme="majorBidi" w:hAnsiTheme="majorBidi" w:cstheme="majorBidi"/>
          <w:lang w:val="en-AU"/>
        </w:rPr>
        <w:t>. Pre-death gifts may be made</w:t>
      </w:r>
      <w:r w:rsidR="005C72CF" w:rsidRPr="004C5271">
        <w:rPr>
          <w:rFonts w:asciiTheme="majorBidi" w:hAnsiTheme="majorBidi" w:cstheme="majorBidi"/>
          <w:lang w:val="en-AU"/>
        </w:rPr>
        <w:t xml:space="preserve"> to reward or compensate individual</w:t>
      </w:r>
      <w:r w:rsidR="0059379A" w:rsidRPr="004C5271">
        <w:rPr>
          <w:rFonts w:asciiTheme="majorBidi" w:hAnsiTheme="majorBidi" w:cstheme="majorBidi"/>
          <w:lang w:val="en-AU"/>
        </w:rPr>
        <w:t>s</w:t>
      </w:r>
      <w:r w:rsidR="005C72CF" w:rsidRPr="004C5271">
        <w:rPr>
          <w:rFonts w:asciiTheme="majorBidi" w:hAnsiTheme="majorBidi" w:cstheme="majorBidi"/>
          <w:lang w:val="en-AU"/>
        </w:rPr>
        <w:t xml:space="preserve"> who ha</w:t>
      </w:r>
      <w:r w:rsidR="0059379A" w:rsidRPr="004C5271">
        <w:rPr>
          <w:rFonts w:asciiTheme="majorBidi" w:hAnsiTheme="majorBidi" w:cstheme="majorBidi"/>
          <w:lang w:val="en-AU"/>
        </w:rPr>
        <w:t>ve</w:t>
      </w:r>
      <w:r w:rsidR="005C72CF" w:rsidRPr="004C5271">
        <w:rPr>
          <w:rFonts w:asciiTheme="majorBidi" w:hAnsiTheme="majorBidi" w:cstheme="majorBidi"/>
          <w:lang w:val="en-AU"/>
        </w:rPr>
        <w:t xml:space="preserve"> </w:t>
      </w:r>
      <w:r w:rsidR="00647E80" w:rsidRPr="004C5271">
        <w:rPr>
          <w:rFonts w:asciiTheme="majorBidi" w:hAnsiTheme="majorBidi" w:cstheme="majorBidi"/>
          <w:lang w:val="en-AU"/>
        </w:rPr>
        <w:t xml:space="preserve">provided </w:t>
      </w:r>
      <w:r w:rsidR="00FF536A" w:rsidRPr="004C5271">
        <w:rPr>
          <w:rFonts w:asciiTheme="majorBidi" w:hAnsiTheme="majorBidi" w:cstheme="majorBidi"/>
          <w:lang w:val="en-AU"/>
        </w:rPr>
        <w:t xml:space="preserve">someone with </w:t>
      </w:r>
      <w:r w:rsidR="0059379A" w:rsidRPr="004C5271">
        <w:rPr>
          <w:rFonts w:asciiTheme="majorBidi" w:hAnsiTheme="majorBidi" w:cstheme="majorBidi"/>
          <w:lang w:val="en-AU"/>
        </w:rPr>
        <w:t>care or</w:t>
      </w:r>
      <w:r w:rsidR="00606044" w:rsidRPr="004C5271">
        <w:rPr>
          <w:rFonts w:asciiTheme="majorBidi" w:hAnsiTheme="majorBidi" w:cstheme="majorBidi"/>
          <w:lang w:val="en-AU"/>
        </w:rPr>
        <w:t xml:space="preserve"> </w:t>
      </w:r>
      <w:r w:rsidR="00647E80" w:rsidRPr="004C5271">
        <w:rPr>
          <w:rFonts w:asciiTheme="majorBidi" w:hAnsiTheme="majorBidi" w:cstheme="majorBidi"/>
          <w:lang w:val="en-AU"/>
        </w:rPr>
        <w:t>assistance</w:t>
      </w:r>
      <w:r w:rsidR="00236E50" w:rsidRPr="004C5271">
        <w:rPr>
          <w:rFonts w:asciiTheme="majorBidi" w:hAnsiTheme="majorBidi" w:cstheme="majorBidi"/>
          <w:lang w:val="en-AU"/>
        </w:rPr>
        <w:t xml:space="preserve">. </w:t>
      </w:r>
      <w:r w:rsidR="0059379A" w:rsidRPr="004C5271">
        <w:rPr>
          <w:rFonts w:asciiTheme="majorBidi" w:hAnsiTheme="majorBidi" w:cstheme="majorBidi"/>
          <w:lang w:val="en-AU"/>
        </w:rPr>
        <w:t>O</w:t>
      </w:r>
      <w:r w:rsidR="00236E50" w:rsidRPr="004C5271">
        <w:rPr>
          <w:rFonts w:asciiTheme="majorBidi" w:hAnsiTheme="majorBidi" w:cstheme="majorBidi"/>
          <w:lang w:val="en-AU"/>
        </w:rPr>
        <w:t xml:space="preserve">n the other hand, </w:t>
      </w:r>
      <w:r w:rsidRPr="004C5271">
        <w:rPr>
          <w:rFonts w:asciiTheme="majorBidi" w:hAnsiTheme="majorBidi" w:cstheme="majorBidi"/>
          <w:lang w:val="en-AU"/>
        </w:rPr>
        <w:t>structuring arrangements</w:t>
      </w:r>
      <w:r w:rsidR="0059379A" w:rsidRPr="004C5271">
        <w:rPr>
          <w:rFonts w:asciiTheme="majorBidi" w:hAnsiTheme="majorBidi" w:cstheme="majorBidi"/>
          <w:lang w:val="en-AU"/>
        </w:rPr>
        <w:t xml:space="preserve"> may </w:t>
      </w:r>
      <w:r w:rsidR="00236E50" w:rsidRPr="004C5271">
        <w:rPr>
          <w:rFonts w:asciiTheme="majorBidi" w:hAnsiTheme="majorBidi" w:cstheme="majorBidi"/>
          <w:lang w:val="en-AU"/>
        </w:rPr>
        <w:t xml:space="preserve">be </w:t>
      </w:r>
      <w:r w:rsidR="0059379A" w:rsidRPr="004C5271">
        <w:rPr>
          <w:rFonts w:asciiTheme="majorBidi" w:hAnsiTheme="majorBidi" w:cstheme="majorBidi"/>
          <w:lang w:val="en-AU"/>
        </w:rPr>
        <w:t>deliberate</w:t>
      </w:r>
      <w:r w:rsidR="00236E50" w:rsidRPr="004C5271">
        <w:rPr>
          <w:rFonts w:asciiTheme="majorBidi" w:hAnsiTheme="majorBidi" w:cstheme="majorBidi"/>
          <w:lang w:val="en-AU"/>
        </w:rPr>
        <w:t xml:space="preserve"> </w:t>
      </w:r>
      <w:r w:rsidR="0059379A" w:rsidRPr="004C5271">
        <w:rPr>
          <w:rFonts w:asciiTheme="majorBidi" w:hAnsiTheme="majorBidi" w:cstheme="majorBidi"/>
          <w:lang w:val="en-AU"/>
        </w:rPr>
        <w:t>strategies</w:t>
      </w:r>
      <w:r w:rsidR="00236E50" w:rsidRPr="004C5271">
        <w:rPr>
          <w:rFonts w:asciiTheme="majorBidi" w:hAnsiTheme="majorBidi" w:cstheme="majorBidi"/>
          <w:lang w:val="en-AU"/>
        </w:rPr>
        <w:t xml:space="preserve"> to reduce</w:t>
      </w:r>
      <w:r w:rsidR="0059379A" w:rsidRPr="004C5271">
        <w:rPr>
          <w:rFonts w:asciiTheme="majorBidi" w:hAnsiTheme="majorBidi" w:cstheme="majorBidi"/>
          <w:lang w:val="en-AU"/>
        </w:rPr>
        <w:t xml:space="preserve"> or eliminate the risk of challenge to assets after death via a family provision claim</w:t>
      </w:r>
      <w:r w:rsidR="0023503C" w:rsidRPr="004C5271">
        <w:rPr>
          <w:rFonts w:asciiTheme="majorBidi" w:hAnsiTheme="majorBidi" w:cstheme="majorBidi"/>
          <w:lang w:val="en-AU"/>
        </w:rPr>
        <w:t xml:space="preserve">. </w:t>
      </w:r>
      <w:r w:rsidR="00236E50" w:rsidRPr="004C5271">
        <w:rPr>
          <w:rFonts w:asciiTheme="majorBidi" w:hAnsiTheme="majorBidi" w:cstheme="majorBidi"/>
          <w:lang w:val="en-AU"/>
        </w:rPr>
        <w:t xml:space="preserve">In either </w:t>
      </w:r>
      <w:r w:rsidR="005C72CF" w:rsidRPr="004C5271">
        <w:rPr>
          <w:rFonts w:asciiTheme="majorBidi" w:hAnsiTheme="majorBidi" w:cstheme="majorBidi"/>
          <w:lang w:val="en-AU"/>
        </w:rPr>
        <w:t>case</w:t>
      </w:r>
      <w:r w:rsidR="00236E50" w:rsidRPr="004C5271">
        <w:rPr>
          <w:rFonts w:asciiTheme="majorBidi" w:hAnsiTheme="majorBidi" w:cstheme="majorBidi"/>
          <w:lang w:val="en-AU"/>
        </w:rPr>
        <w:t xml:space="preserve">, </w:t>
      </w:r>
      <w:r w:rsidR="0023503C" w:rsidRPr="004C5271">
        <w:rPr>
          <w:rFonts w:asciiTheme="majorBidi" w:hAnsiTheme="majorBidi" w:cstheme="majorBidi"/>
          <w:lang w:val="en-AU"/>
        </w:rPr>
        <w:t xml:space="preserve">the </w:t>
      </w:r>
      <w:r w:rsidR="0059379A" w:rsidRPr="004C5271">
        <w:rPr>
          <w:rFonts w:asciiTheme="majorBidi" w:hAnsiTheme="majorBidi" w:cstheme="majorBidi"/>
          <w:lang w:val="en-AU"/>
        </w:rPr>
        <w:t>effect</w:t>
      </w:r>
      <w:r w:rsidR="0023503C" w:rsidRPr="004C5271">
        <w:rPr>
          <w:rFonts w:asciiTheme="majorBidi" w:hAnsiTheme="majorBidi" w:cstheme="majorBidi"/>
          <w:lang w:val="en-AU"/>
        </w:rPr>
        <w:t xml:space="preserve"> is to </w:t>
      </w:r>
      <w:r w:rsidR="00236E50" w:rsidRPr="004C5271">
        <w:rPr>
          <w:rFonts w:asciiTheme="majorBidi" w:hAnsiTheme="majorBidi" w:cstheme="majorBidi"/>
          <w:lang w:val="en-AU"/>
        </w:rPr>
        <w:t xml:space="preserve">significantly reduce, and sometimes eliminate, the possibility of </w:t>
      </w:r>
      <w:r w:rsidR="00606044" w:rsidRPr="004C5271">
        <w:rPr>
          <w:rFonts w:asciiTheme="majorBidi" w:hAnsiTheme="majorBidi" w:cstheme="majorBidi"/>
          <w:lang w:val="en-AU"/>
        </w:rPr>
        <w:t>an applicant</w:t>
      </w:r>
      <w:r w:rsidR="0059379A" w:rsidRPr="004C5271">
        <w:rPr>
          <w:rFonts w:asciiTheme="majorBidi" w:hAnsiTheme="majorBidi" w:cstheme="majorBidi"/>
          <w:lang w:val="en-AU"/>
        </w:rPr>
        <w:t xml:space="preserve"> receiving</w:t>
      </w:r>
      <w:r w:rsidR="00606044" w:rsidRPr="004C5271">
        <w:rPr>
          <w:rFonts w:asciiTheme="majorBidi" w:hAnsiTheme="majorBidi" w:cstheme="majorBidi"/>
          <w:lang w:val="en-AU"/>
        </w:rPr>
        <w:t xml:space="preserve"> further</w:t>
      </w:r>
      <w:r w:rsidR="00236E50" w:rsidRPr="004C5271">
        <w:rPr>
          <w:rFonts w:asciiTheme="majorBidi" w:hAnsiTheme="majorBidi" w:cstheme="majorBidi"/>
          <w:lang w:val="en-AU"/>
        </w:rPr>
        <w:t xml:space="preserve"> provision from an estate, because there is no estate to claim.</w:t>
      </w:r>
    </w:p>
    <w:p w14:paraId="3CB92BBC" w14:textId="4FEC3BEA" w:rsidR="0023503C" w:rsidRPr="004C5271" w:rsidRDefault="00606044"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In Tasmania, an applicant must file a </w:t>
      </w:r>
      <w:r w:rsidR="0059379A" w:rsidRPr="004C5271">
        <w:rPr>
          <w:rFonts w:asciiTheme="majorBidi" w:hAnsiTheme="majorBidi" w:cstheme="majorBidi"/>
          <w:lang w:val="en-AU"/>
        </w:rPr>
        <w:t>family provision</w:t>
      </w:r>
      <w:r w:rsidRPr="004C5271">
        <w:rPr>
          <w:rFonts w:asciiTheme="majorBidi" w:hAnsiTheme="majorBidi" w:cstheme="majorBidi"/>
          <w:lang w:val="en-AU"/>
        </w:rPr>
        <w:t xml:space="preserve"> claim within three months of a Grant of Administration having been made in the estate, although the Court has discretion to extend this period. If </w:t>
      </w:r>
      <w:r w:rsidR="0023503C" w:rsidRPr="004C5271">
        <w:rPr>
          <w:rFonts w:asciiTheme="majorBidi" w:hAnsiTheme="majorBidi" w:cstheme="majorBidi"/>
          <w:lang w:val="en-AU"/>
        </w:rPr>
        <w:t xml:space="preserve">the claim period </w:t>
      </w:r>
      <w:r w:rsidR="005C72CF" w:rsidRPr="004C5271">
        <w:rPr>
          <w:rFonts w:asciiTheme="majorBidi" w:hAnsiTheme="majorBidi" w:cstheme="majorBidi"/>
          <w:lang w:val="en-AU"/>
        </w:rPr>
        <w:t>passes and a legal personal representative has not had notice of any claims</w:t>
      </w:r>
      <w:r w:rsidR="0023503C" w:rsidRPr="004C5271">
        <w:rPr>
          <w:rFonts w:asciiTheme="majorBidi" w:hAnsiTheme="majorBidi" w:cstheme="majorBidi"/>
          <w:lang w:val="en-AU"/>
        </w:rPr>
        <w:t xml:space="preserve">, </w:t>
      </w:r>
      <w:r w:rsidR="005C72CF" w:rsidRPr="004C5271">
        <w:rPr>
          <w:rFonts w:asciiTheme="majorBidi" w:hAnsiTheme="majorBidi" w:cstheme="majorBidi"/>
          <w:lang w:val="en-AU"/>
        </w:rPr>
        <w:t>the</w:t>
      </w:r>
      <w:r w:rsidR="0023503C" w:rsidRPr="004C5271">
        <w:rPr>
          <w:rFonts w:asciiTheme="majorBidi" w:hAnsiTheme="majorBidi" w:cstheme="majorBidi"/>
          <w:lang w:val="en-AU"/>
        </w:rPr>
        <w:t xml:space="preserve"> legal personal representative </w:t>
      </w:r>
      <w:r w:rsidR="005C72CF" w:rsidRPr="004C5271">
        <w:rPr>
          <w:rFonts w:asciiTheme="majorBidi" w:hAnsiTheme="majorBidi" w:cstheme="majorBidi"/>
          <w:lang w:val="en-AU"/>
        </w:rPr>
        <w:t>may</w:t>
      </w:r>
      <w:r w:rsidR="0023503C" w:rsidRPr="004C5271">
        <w:rPr>
          <w:rFonts w:asciiTheme="majorBidi" w:hAnsiTheme="majorBidi" w:cstheme="majorBidi"/>
          <w:lang w:val="en-AU"/>
        </w:rPr>
        <w:t xml:space="preserve"> commence distributing </w:t>
      </w:r>
      <w:r w:rsidR="00020B54" w:rsidRPr="004C5271">
        <w:rPr>
          <w:rFonts w:asciiTheme="majorBidi" w:hAnsiTheme="majorBidi" w:cstheme="majorBidi"/>
          <w:lang w:val="en-AU"/>
        </w:rPr>
        <w:t>the</w:t>
      </w:r>
      <w:r w:rsidR="0023503C" w:rsidRPr="004C5271">
        <w:rPr>
          <w:rFonts w:asciiTheme="majorBidi" w:hAnsiTheme="majorBidi" w:cstheme="majorBidi"/>
          <w:lang w:val="en-AU"/>
        </w:rPr>
        <w:t xml:space="preserve"> estate </w:t>
      </w:r>
      <w:r w:rsidR="005C72CF" w:rsidRPr="004C5271">
        <w:rPr>
          <w:rFonts w:asciiTheme="majorBidi" w:hAnsiTheme="majorBidi" w:cstheme="majorBidi"/>
          <w:lang w:val="en-AU"/>
        </w:rPr>
        <w:t>amongst</w:t>
      </w:r>
      <w:r w:rsidR="0023503C" w:rsidRPr="004C5271">
        <w:rPr>
          <w:rFonts w:asciiTheme="majorBidi" w:hAnsiTheme="majorBidi" w:cstheme="majorBidi"/>
          <w:lang w:val="en-AU"/>
        </w:rPr>
        <w:t xml:space="preserve"> beneficiaries. </w:t>
      </w:r>
      <w:r w:rsidRPr="004C5271">
        <w:rPr>
          <w:rFonts w:asciiTheme="majorBidi" w:hAnsiTheme="majorBidi" w:cstheme="majorBidi"/>
          <w:lang w:val="en-AU"/>
        </w:rPr>
        <w:t xml:space="preserve">The </w:t>
      </w:r>
      <w:r w:rsidR="007E547C" w:rsidRPr="004C5271">
        <w:rPr>
          <w:rFonts w:asciiTheme="majorBidi" w:hAnsiTheme="majorBidi" w:cstheme="majorBidi"/>
          <w:i/>
          <w:lang w:val="en-AU"/>
        </w:rPr>
        <w:t>TFM Act</w:t>
      </w:r>
      <w:r w:rsidR="007E547C" w:rsidRPr="004C5271">
        <w:rPr>
          <w:rFonts w:asciiTheme="majorBidi" w:hAnsiTheme="majorBidi" w:cstheme="majorBidi"/>
          <w:lang w:val="en-AU"/>
        </w:rPr>
        <w:t xml:space="preserve"> </w:t>
      </w:r>
      <w:r w:rsidRPr="004C5271">
        <w:rPr>
          <w:rFonts w:asciiTheme="majorBidi" w:hAnsiTheme="majorBidi" w:cstheme="majorBidi"/>
          <w:lang w:val="en-AU"/>
        </w:rPr>
        <w:t>confirms</w:t>
      </w:r>
      <w:r w:rsidR="0023503C" w:rsidRPr="004C5271">
        <w:rPr>
          <w:rFonts w:asciiTheme="majorBidi" w:hAnsiTheme="majorBidi" w:cstheme="majorBidi"/>
          <w:lang w:val="en-AU"/>
        </w:rPr>
        <w:t xml:space="preserve"> that assets distributed </w:t>
      </w:r>
      <w:r w:rsidR="00020B54" w:rsidRPr="004C5271">
        <w:rPr>
          <w:rFonts w:asciiTheme="majorBidi" w:hAnsiTheme="majorBidi" w:cstheme="majorBidi"/>
          <w:lang w:val="en-AU"/>
        </w:rPr>
        <w:t xml:space="preserve">in these circumstances </w:t>
      </w:r>
      <w:r w:rsidR="0023503C" w:rsidRPr="004C5271">
        <w:rPr>
          <w:rFonts w:asciiTheme="majorBidi" w:hAnsiTheme="majorBidi" w:cstheme="majorBidi"/>
          <w:lang w:val="en-AU"/>
        </w:rPr>
        <w:t xml:space="preserve">cease to be part of </w:t>
      </w:r>
      <w:r w:rsidR="00020B54" w:rsidRPr="004C5271">
        <w:rPr>
          <w:rFonts w:asciiTheme="majorBidi" w:hAnsiTheme="majorBidi" w:cstheme="majorBidi"/>
          <w:lang w:val="en-AU"/>
        </w:rPr>
        <w:t>an</w:t>
      </w:r>
      <w:r w:rsidR="0023503C" w:rsidRPr="004C5271">
        <w:rPr>
          <w:rFonts w:asciiTheme="majorBidi" w:hAnsiTheme="majorBidi" w:cstheme="majorBidi"/>
          <w:lang w:val="en-AU"/>
        </w:rPr>
        <w:t xml:space="preserve"> estate. </w:t>
      </w:r>
      <w:r w:rsidR="00D1206B" w:rsidRPr="004C5271">
        <w:rPr>
          <w:rFonts w:asciiTheme="majorBidi" w:hAnsiTheme="majorBidi" w:cstheme="majorBidi"/>
          <w:lang w:val="en-AU"/>
        </w:rPr>
        <w:t>T</w:t>
      </w:r>
      <w:r w:rsidRPr="004C5271">
        <w:rPr>
          <w:rFonts w:asciiTheme="majorBidi" w:hAnsiTheme="majorBidi" w:cstheme="majorBidi"/>
          <w:lang w:val="en-AU"/>
        </w:rPr>
        <w:t xml:space="preserve">hese assets </w:t>
      </w:r>
      <w:r w:rsidR="00020B54" w:rsidRPr="004C5271">
        <w:rPr>
          <w:rFonts w:asciiTheme="majorBidi" w:hAnsiTheme="majorBidi" w:cstheme="majorBidi"/>
          <w:lang w:val="en-AU"/>
        </w:rPr>
        <w:t xml:space="preserve">are </w:t>
      </w:r>
      <w:r w:rsidR="00D1206B" w:rsidRPr="004C5271">
        <w:rPr>
          <w:rFonts w:asciiTheme="majorBidi" w:hAnsiTheme="majorBidi" w:cstheme="majorBidi"/>
          <w:lang w:val="en-AU"/>
        </w:rPr>
        <w:t xml:space="preserve">then </w:t>
      </w:r>
      <w:r w:rsidR="00020B54" w:rsidRPr="004C5271">
        <w:rPr>
          <w:rFonts w:asciiTheme="majorBidi" w:hAnsiTheme="majorBidi" w:cstheme="majorBidi"/>
          <w:lang w:val="en-AU"/>
        </w:rPr>
        <w:t>also</w:t>
      </w:r>
      <w:r w:rsidR="0023503C" w:rsidRPr="004C5271">
        <w:rPr>
          <w:rFonts w:asciiTheme="majorBidi" w:hAnsiTheme="majorBidi" w:cstheme="majorBidi"/>
          <w:lang w:val="en-AU"/>
        </w:rPr>
        <w:t xml:space="preserve"> </w:t>
      </w:r>
      <w:r w:rsidR="00D1206B" w:rsidRPr="004C5271">
        <w:rPr>
          <w:rFonts w:asciiTheme="majorBidi" w:hAnsiTheme="majorBidi" w:cstheme="majorBidi"/>
          <w:lang w:val="en-AU"/>
        </w:rPr>
        <w:t xml:space="preserve">unavailable </w:t>
      </w:r>
      <w:r w:rsidR="0023503C" w:rsidRPr="004C5271">
        <w:rPr>
          <w:rFonts w:asciiTheme="majorBidi" w:hAnsiTheme="majorBidi" w:cstheme="majorBidi"/>
          <w:lang w:val="en-AU"/>
        </w:rPr>
        <w:t>to fund provision for a successful applicant</w:t>
      </w:r>
      <w:r w:rsidR="00020B54" w:rsidRPr="004C5271">
        <w:rPr>
          <w:rFonts w:asciiTheme="majorBidi" w:hAnsiTheme="majorBidi" w:cstheme="majorBidi"/>
          <w:lang w:val="en-AU"/>
        </w:rPr>
        <w:t xml:space="preserve"> </w:t>
      </w:r>
      <w:r w:rsidR="00A92B0F" w:rsidRPr="004C5271">
        <w:rPr>
          <w:rFonts w:asciiTheme="majorBidi" w:hAnsiTheme="majorBidi" w:cstheme="majorBidi"/>
          <w:lang w:val="en-AU"/>
        </w:rPr>
        <w:t>where</w:t>
      </w:r>
      <w:r w:rsidR="00020B54" w:rsidRPr="004C5271">
        <w:rPr>
          <w:rFonts w:asciiTheme="majorBidi" w:hAnsiTheme="majorBidi" w:cstheme="majorBidi"/>
          <w:lang w:val="en-AU"/>
        </w:rPr>
        <w:t xml:space="preserve"> the Court </w:t>
      </w:r>
      <w:r w:rsidR="00D1206B" w:rsidRPr="004C5271">
        <w:rPr>
          <w:rFonts w:asciiTheme="majorBidi" w:hAnsiTheme="majorBidi" w:cstheme="majorBidi"/>
          <w:lang w:val="en-AU"/>
        </w:rPr>
        <w:t>allows</w:t>
      </w:r>
      <w:r w:rsidR="00020B54" w:rsidRPr="004C5271">
        <w:rPr>
          <w:rFonts w:asciiTheme="majorBidi" w:hAnsiTheme="majorBidi" w:cstheme="majorBidi"/>
          <w:lang w:val="en-AU"/>
        </w:rPr>
        <w:t xml:space="preserve"> </w:t>
      </w:r>
      <w:r w:rsidR="00A92B0F" w:rsidRPr="004C5271">
        <w:rPr>
          <w:rFonts w:asciiTheme="majorBidi" w:hAnsiTheme="majorBidi" w:cstheme="majorBidi"/>
          <w:lang w:val="en-AU"/>
        </w:rPr>
        <w:t xml:space="preserve">them </w:t>
      </w:r>
      <w:r w:rsidR="00020B54" w:rsidRPr="004C5271">
        <w:rPr>
          <w:rFonts w:asciiTheme="majorBidi" w:hAnsiTheme="majorBidi" w:cstheme="majorBidi"/>
          <w:lang w:val="en-AU"/>
        </w:rPr>
        <w:t xml:space="preserve">to make a </w:t>
      </w:r>
      <w:r w:rsidR="00FF536A" w:rsidRPr="004C5271">
        <w:rPr>
          <w:rFonts w:asciiTheme="majorBidi" w:hAnsiTheme="majorBidi" w:cstheme="majorBidi"/>
          <w:lang w:val="en-AU"/>
        </w:rPr>
        <w:t xml:space="preserve">family provision </w:t>
      </w:r>
      <w:r w:rsidR="00020B54" w:rsidRPr="004C5271">
        <w:rPr>
          <w:rFonts w:asciiTheme="majorBidi" w:hAnsiTheme="majorBidi" w:cstheme="majorBidi"/>
          <w:lang w:val="en-AU"/>
        </w:rPr>
        <w:t>claim out of time.</w:t>
      </w:r>
    </w:p>
    <w:p w14:paraId="34C37100" w14:textId="49037ED0" w:rsidR="00E61A23" w:rsidRPr="004C5271" w:rsidRDefault="00E61A23" w:rsidP="00AE2B8C">
      <w:pPr>
        <w:pStyle w:val="Sub-HeadingTLRI"/>
      </w:pPr>
      <w:r w:rsidRPr="004C5271">
        <w:t xml:space="preserve">Designating non-estate assets as ‘notional estate’ </w:t>
      </w:r>
    </w:p>
    <w:p w14:paraId="5C6B5FF4" w14:textId="61EB7215" w:rsidR="00236E50" w:rsidRPr="004C5271" w:rsidRDefault="00921F44" w:rsidP="00C0478D">
      <w:pPr>
        <w:pStyle w:val="NumberlessNormalText"/>
        <w:rPr>
          <w:rFonts w:asciiTheme="majorBidi" w:hAnsiTheme="majorBidi" w:cstheme="majorBidi"/>
          <w:lang w:val="en-AU"/>
        </w:rPr>
      </w:pPr>
      <w:r w:rsidRPr="004C5271">
        <w:rPr>
          <w:rFonts w:asciiTheme="majorBidi" w:hAnsiTheme="majorBidi" w:cstheme="majorBidi"/>
          <w:lang w:val="en-AU"/>
        </w:rPr>
        <w:t>Part 3 explains that l</w:t>
      </w:r>
      <w:r w:rsidR="00236E50" w:rsidRPr="004C5271">
        <w:rPr>
          <w:rFonts w:asciiTheme="majorBidi" w:hAnsiTheme="majorBidi" w:cstheme="majorBidi"/>
          <w:lang w:val="en-AU"/>
        </w:rPr>
        <w:t>egislation in</w:t>
      </w:r>
      <w:r w:rsidR="00E61A23" w:rsidRPr="004C5271">
        <w:rPr>
          <w:rFonts w:asciiTheme="majorBidi" w:hAnsiTheme="majorBidi" w:cstheme="majorBidi"/>
          <w:lang w:val="en-AU"/>
        </w:rPr>
        <w:t xml:space="preserve"> New South Wales</w:t>
      </w:r>
      <w:r w:rsidR="004A51D7" w:rsidRPr="004C5271">
        <w:rPr>
          <w:rFonts w:asciiTheme="majorBidi" w:hAnsiTheme="majorBidi" w:cstheme="majorBidi"/>
          <w:lang w:val="en-AU"/>
        </w:rPr>
        <w:t>,</w:t>
      </w:r>
      <w:r w:rsidR="00E61A23" w:rsidRPr="004C5271">
        <w:rPr>
          <w:rFonts w:asciiTheme="majorBidi" w:hAnsiTheme="majorBidi" w:cstheme="majorBidi"/>
          <w:lang w:val="en-AU"/>
        </w:rPr>
        <w:t xml:space="preserve"> and</w:t>
      </w:r>
      <w:r w:rsidR="00236E50" w:rsidRPr="004C5271">
        <w:rPr>
          <w:rFonts w:asciiTheme="majorBidi" w:hAnsiTheme="majorBidi" w:cstheme="majorBidi"/>
          <w:lang w:val="en-AU"/>
        </w:rPr>
        <w:t xml:space="preserve"> </w:t>
      </w:r>
      <w:r w:rsidR="00FF536A" w:rsidRPr="004C5271">
        <w:rPr>
          <w:rFonts w:asciiTheme="majorBidi" w:hAnsiTheme="majorBidi" w:cstheme="majorBidi"/>
          <w:lang w:val="en-AU"/>
        </w:rPr>
        <w:t xml:space="preserve">some </w:t>
      </w:r>
      <w:r w:rsidR="00E61A23" w:rsidRPr="004C5271">
        <w:rPr>
          <w:rFonts w:asciiTheme="majorBidi" w:hAnsiTheme="majorBidi" w:cstheme="majorBidi"/>
          <w:lang w:val="en-AU"/>
        </w:rPr>
        <w:t xml:space="preserve">overseas </w:t>
      </w:r>
      <w:r w:rsidR="00FF536A" w:rsidRPr="004C5271">
        <w:rPr>
          <w:rFonts w:asciiTheme="majorBidi" w:hAnsiTheme="majorBidi" w:cstheme="majorBidi"/>
          <w:lang w:val="en-AU"/>
        </w:rPr>
        <w:t>jurisdictions</w:t>
      </w:r>
      <w:r w:rsidR="004A51D7" w:rsidRPr="004C5271">
        <w:rPr>
          <w:rFonts w:asciiTheme="majorBidi" w:hAnsiTheme="majorBidi" w:cstheme="majorBidi"/>
          <w:lang w:val="en-AU"/>
        </w:rPr>
        <w:t>,</w:t>
      </w:r>
      <w:r w:rsidR="00236E50" w:rsidRPr="004C5271">
        <w:rPr>
          <w:rFonts w:asciiTheme="majorBidi" w:hAnsiTheme="majorBidi" w:cstheme="majorBidi"/>
          <w:lang w:val="en-AU"/>
        </w:rPr>
        <w:t xml:space="preserve"> is intended to address th</w:t>
      </w:r>
      <w:r w:rsidR="0023503C" w:rsidRPr="004C5271">
        <w:rPr>
          <w:rFonts w:asciiTheme="majorBidi" w:hAnsiTheme="majorBidi" w:cstheme="majorBidi"/>
          <w:lang w:val="en-AU"/>
        </w:rPr>
        <w:t>ese</w:t>
      </w:r>
      <w:r w:rsidR="00236E50" w:rsidRPr="004C5271">
        <w:rPr>
          <w:rFonts w:asciiTheme="majorBidi" w:hAnsiTheme="majorBidi" w:cstheme="majorBidi"/>
          <w:lang w:val="en-AU"/>
        </w:rPr>
        <w:t xml:space="preserve"> </w:t>
      </w:r>
      <w:r w:rsidR="00D1206B" w:rsidRPr="004C5271">
        <w:rPr>
          <w:rFonts w:asciiTheme="majorBidi" w:hAnsiTheme="majorBidi" w:cstheme="majorBidi"/>
          <w:lang w:val="en-AU"/>
        </w:rPr>
        <w:t>circumstances</w:t>
      </w:r>
      <w:r w:rsidR="00236E50" w:rsidRPr="004C5271">
        <w:rPr>
          <w:rFonts w:asciiTheme="majorBidi" w:hAnsiTheme="majorBidi" w:cstheme="majorBidi"/>
          <w:lang w:val="en-AU"/>
        </w:rPr>
        <w:t xml:space="preserve">. </w:t>
      </w:r>
      <w:r w:rsidR="00FF536A" w:rsidRPr="004C5271">
        <w:rPr>
          <w:rFonts w:asciiTheme="majorBidi" w:hAnsiTheme="majorBidi" w:cstheme="majorBidi"/>
          <w:lang w:val="en-AU"/>
        </w:rPr>
        <w:t xml:space="preserve">For example, provisions </w:t>
      </w:r>
      <w:r w:rsidR="001343B3" w:rsidRPr="004C5271">
        <w:rPr>
          <w:rFonts w:asciiTheme="majorBidi" w:hAnsiTheme="majorBidi" w:cstheme="majorBidi"/>
          <w:lang w:val="en-AU"/>
        </w:rPr>
        <w:t xml:space="preserve">within the </w:t>
      </w:r>
      <w:r w:rsidR="001343B3" w:rsidRPr="004C5271">
        <w:rPr>
          <w:rFonts w:asciiTheme="majorBidi" w:hAnsiTheme="majorBidi" w:cstheme="majorBidi"/>
          <w:i/>
          <w:iCs/>
          <w:lang w:val="en-AU"/>
        </w:rPr>
        <w:t xml:space="preserve">Succession Act 2006 </w:t>
      </w:r>
      <w:r w:rsidR="001343B3" w:rsidRPr="004C5271">
        <w:rPr>
          <w:rFonts w:asciiTheme="majorBidi" w:hAnsiTheme="majorBidi" w:cstheme="majorBidi"/>
          <w:lang w:val="en-AU"/>
        </w:rPr>
        <w:t xml:space="preserve">(NSW) (‘NSW </w:t>
      </w:r>
      <w:r w:rsidR="001343B3" w:rsidRPr="004C5271">
        <w:rPr>
          <w:rFonts w:asciiTheme="majorBidi" w:hAnsiTheme="majorBidi" w:cstheme="majorBidi"/>
          <w:i/>
          <w:iCs/>
          <w:lang w:val="en-AU"/>
        </w:rPr>
        <w:t>Succession Act</w:t>
      </w:r>
      <w:r w:rsidR="001343B3" w:rsidRPr="004C5271">
        <w:rPr>
          <w:rFonts w:asciiTheme="majorBidi" w:hAnsiTheme="majorBidi" w:cstheme="majorBidi"/>
          <w:lang w:val="en-AU"/>
        </w:rPr>
        <w:t xml:space="preserve">’) </w:t>
      </w:r>
      <w:r w:rsidR="00FF536A" w:rsidRPr="004C5271">
        <w:rPr>
          <w:rFonts w:asciiTheme="majorBidi" w:hAnsiTheme="majorBidi" w:cstheme="majorBidi"/>
          <w:lang w:val="en-AU"/>
        </w:rPr>
        <w:lastRenderedPageBreak/>
        <w:t>enable</w:t>
      </w:r>
      <w:r w:rsidR="00236E50" w:rsidRPr="004C5271">
        <w:rPr>
          <w:rFonts w:asciiTheme="majorBidi" w:hAnsiTheme="majorBidi" w:cstheme="majorBidi"/>
          <w:lang w:val="en-AU"/>
        </w:rPr>
        <w:t xml:space="preserve"> the </w:t>
      </w:r>
      <w:r w:rsidR="00132B17" w:rsidRPr="004C5271">
        <w:rPr>
          <w:rFonts w:asciiTheme="majorBidi" w:hAnsiTheme="majorBidi" w:cstheme="majorBidi"/>
          <w:lang w:val="en-AU"/>
        </w:rPr>
        <w:t>c</w:t>
      </w:r>
      <w:r w:rsidR="00236E50" w:rsidRPr="004C5271">
        <w:rPr>
          <w:rFonts w:asciiTheme="majorBidi" w:hAnsiTheme="majorBidi" w:cstheme="majorBidi"/>
          <w:lang w:val="en-AU"/>
        </w:rPr>
        <w:t xml:space="preserve">ourt to </w:t>
      </w:r>
      <w:r w:rsidR="00D1206B" w:rsidRPr="004C5271">
        <w:rPr>
          <w:rFonts w:asciiTheme="majorBidi" w:hAnsiTheme="majorBidi" w:cstheme="majorBidi"/>
          <w:lang w:val="en-AU"/>
        </w:rPr>
        <w:t>designate</w:t>
      </w:r>
      <w:r w:rsidR="00236E50" w:rsidRPr="004C5271">
        <w:rPr>
          <w:rFonts w:asciiTheme="majorBidi" w:hAnsiTheme="majorBidi" w:cstheme="majorBidi"/>
          <w:lang w:val="en-AU"/>
        </w:rPr>
        <w:t xml:space="preserve"> assets </w:t>
      </w:r>
      <w:r w:rsidR="00D1206B" w:rsidRPr="004C5271">
        <w:rPr>
          <w:rFonts w:asciiTheme="majorBidi" w:hAnsiTheme="majorBidi" w:cstheme="majorBidi"/>
          <w:lang w:val="en-AU"/>
        </w:rPr>
        <w:t xml:space="preserve">outside of </w:t>
      </w:r>
      <w:r w:rsidR="00236E50" w:rsidRPr="004C5271">
        <w:rPr>
          <w:rFonts w:asciiTheme="majorBidi" w:hAnsiTheme="majorBidi" w:cstheme="majorBidi"/>
          <w:lang w:val="en-AU"/>
        </w:rPr>
        <w:t>a person’s estate as ‘notional estate’</w:t>
      </w:r>
      <w:r w:rsidR="001C0C11" w:rsidRPr="004C5271">
        <w:rPr>
          <w:rFonts w:asciiTheme="majorBidi" w:hAnsiTheme="majorBidi" w:cstheme="majorBidi"/>
          <w:lang w:val="en-AU"/>
        </w:rPr>
        <w:t>.</w:t>
      </w:r>
      <w:r w:rsidR="0023503C" w:rsidRPr="004C5271">
        <w:rPr>
          <w:rFonts w:asciiTheme="majorBidi" w:hAnsiTheme="majorBidi" w:cstheme="majorBidi"/>
          <w:lang w:val="en-AU"/>
        </w:rPr>
        <w:t xml:space="preserve"> The court </w:t>
      </w:r>
      <w:r w:rsidR="00D1206B" w:rsidRPr="004C5271">
        <w:rPr>
          <w:rFonts w:asciiTheme="majorBidi" w:hAnsiTheme="majorBidi" w:cstheme="majorBidi"/>
          <w:lang w:val="en-AU"/>
        </w:rPr>
        <w:t>can then</w:t>
      </w:r>
      <w:r w:rsidR="0023503C" w:rsidRPr="004C5271">
        <w:rPr>
          <w:rFonts w:asciiTheme="majorBidi" w:hAnsiTheme="majorBidi" w:cstheme="majorBidi"/>
          <w:lang w:val="en-AU"/>
        </w:rPr>
        <w:t xml:space="preserve"> </w:t>
      </w:r>
      <w:r w:rsidR="00132B17" w:rsidRPr="004C5271">
        <w:rPr>
          <w:rFonts w:asciiTheme="majorBidi" w:hAnsiTheme="majorBidi" w:cstheme="majorBidi"/>
          <w:lang w:val="en-AU"/>
        </w:rPr>
        <w:t>utilise</w:t>
      </w:r>
      <w:r w:rsidR="00020B54" w:rsidRPr="004C5271">
        <w:rPr>
          <w:rFonts w:asciiTheme="majorBidi" w:hAnsiTheme="majorBidi" w:cstheme="majorBidi"/>
          <w:lang w:val="en-AU"/>
        </w:rPr>
        <w:t xml:space="preserve"> </w:t>
      </w:r>
      <w:r w:rsidR="00A47324" w:rsidRPr="004C5271">
        <w:rPr>
          <w:rFonts w:asciiTheme="majorBidi" w:hAnsiTheme="majorBidi" w:cstheme="majorBidi"/>
          <w:lang w:val="en-AU"/>
        </w:rPr>
        <w:t>this</w:t>
      </w:r>
      <w:r w:rsidR="00020B54" w:rsidRPr="004C5271">
        <w:rPr>
          <w:rFonts w:asciiTheme="majorBidi" w:hAnsiTheme="majorBidi" w:cstheme="majorBidi"/>
          <w:lang w:val="en-AU"/>
        </w:rPr>
        <w:t xml:space="preserve"> notional estate when </w:t>
      </w:r>
      <w:r w:rsidR="0023503C" w:rsidRPr="004C5271">
        <w:rPr>
          <w:rFonts w:asciiTheme="majorBidi" w:hAnsiTheme="majorBidi" w:cstheme="majorBidi"/>
          <w:lang w:val="en-AU"/>
        </w:rPr>
        <w:t>award</w:t>
      </w:r>
      <w:r w:rsidR="00A92B0F" w:rsidRPr="004C5271">
        <w:rPr>
          <w:rFonts w:asciiTheme="majorBidi" w:hAnsiTheme="majorBidi" w:cstheme="majorBidi"/>
          <w:lang w:val="en-AU"/>
        </w:rPr>
        <w:t>ing</w:t>
      </w:r>
      <w:r w:rsidR="0023503C" w:rsidRPr="004C5271">
        <w:rPr>
          <w:rFonts w:asciiTheme="majorBidi" w:hAnsiTheme="majorBidi" w:cstheme="majorBidi"/>
          <w:lang w:val="en-AU"/>
        </w:rPr>
        <w:t xml:space="preserve"> provision for </w:t>
      </w:r>
      <w:r w:rsidR="00236E50" w:rsidRPr="004C5271">
        <w:rPr>
          <w:rFonts w:asciiTheme="majorBidi" w:hAnsiTheme="majorBidi" w:cstheme="majorBidi"/>
          <w:lang w:val="en-AU"/>
        </w:rPr>
        <w:t>a successful applicant</w:t>
      </w:r>
      <w:r w:rsidR="0023503C" w:rsidRPr="004C5271">
        <w:rPr>
          <w:rFonts w:asciiTheme="majorBidi" w:hAnsiTheme="majorBidi" w:cstheme="majorBidi"/>
          <w:lang w:val="en-AU"/>
        </w:rPr>
        <w:t xml:space="preserve">. </w:t>
      </w:r>
      <w:r w:rsidR="00020B54" w:rsidRPr="004C5271">
        <w:rPr>
          <w:rFonts w:asciiTheme="majorBidi" w:hAnsiTheme="majorBidi" w:cstheme="majorBidi"/>
          <w:lang w:val="en-AU"/>
        </w:rPr>
        <w:t xml:space="preserve">These provisions are not dissimilar to laws that apply to bankruptcy, where assets </w:t>
      </w:r>
      <w:r w:rsidR="00A31DC4" w:rsidRPr="004C5271">
        <w:rPr>
          <w:rFonts w:asciiTheme="majorBidi" w:hAnsiTheme="majorBidi" w:cstheme="majorBidi"/>
          <w:lang w:val="en-AU"/>
        </w:rPr>
        <w:t>may</w:t>
      </w:r>
      <w:r w:rsidR="00020B54" w:rsidRPr="004C5271">
        <w:rPr>
          <w:rFonts w:asciiTheme="majorBidi" w:hAnsiTheme="majorBidi" w:cstheme="majorBidi"/>
          <w:lang w:val="en-AU"/>
        </w:rPr>
        <w:t xml:space="preserve"> be ‘clawed-back’ whe</w:t>
      </w:r>
      <w:r w:rsidR="00DC6829" w:rsidRPr="004C5271">
        <w:rPr>
          <w:rFonts w:asciiTheme="majorBidi" w:hAnsiTheme="majorBidi" w:cstheme="majorBidi"/>
          <w:lang w:val="en-AU"/>
        </w:rPr>
        <w:t xml:space="preserve">n </w:t>
      </w:r>
      <w:r w:rsidR="009C1D9E" w:rsidRPr="004C5271">
        <w:rPr>
          <w:rFonts w:asciiTheme="majorBidi" w:hAnsiTheme="majorBidi" w:cstheme="majorBidi"/>
          <w:lang w:val="en-AU"/>
        </w:rPr>
        <w:t>they are</w:t>
      </w:r>
      <w:r w:rsidR="00020B54" w:rsidRPr="004C5271">
        <w:rPr>
          <w:rFonts w:asciiTheme="majorBidi" w:hAnsiTheme="majorBidi" w:cstheme="majorBidi"/>
          <w:lang w:val="en-AU"/>
        </w:rPr>
        <w:t xml:space="preserve"> dispose</w:t>
      </w:r>
      <w:r w:rsidR="009C1D9E" w:rsidRPr="004C5271">
        <w:rPr>
          <w:rFonts w:asciiTheme="majorBidi" w:hAnsiTheme="majorBidi" w:cstheme="majorBidi"/>
          <w:lang w:val="en-AU"/>
        </w:rPr>
        <w:t>d of</w:t>
      </w:r>
      <w:r w:rsidR="00020B54" w:rsidRPr="004C5271">
        <w:rPr>
          <w:rFonts w:asciiTheme="majorBidi" w:hAnsiTheme="majorBidi" w:cstheme="majorBidi"/>
          <w:lang w:val="en-AU"/>
        </w:rPr>
        <w:t xml:space="preserve"> within certain timeframes prior to </w:t>
      </w:r>
      <w:r w:rsidR="009C1D9E" w:rsidRPr="004C5271">
        <w:rPr>
          <w:rFonts w:asciiTheme="majorBidi" w:hAnsiTheme="majorBidi" w:cstheme="majorBidi"/>
          <w:lang w:val="en-AU"/>
        </w:rPr>
        <w:t>the commencement of a person’s bankruptcy</w:t>
      </w:r>
      <w:r w:rsidR="00020B54" w:rsidRPr="004C5271">
        <w:rPr>
          <w:rFonts w:asciiTheme="majorBidi" w:hAnsiTheme="majorBidi" w:cstheme="majorBidi"/>
          <w:lang w:val="en-AU"/>
        </w:rPr>
        <w:t>. Similarly</w:t>
      </w:r>
      <w:r w:rsidR="001C0C11" w:rsidRPr="004C5271">
        <w:rPr>
          <w:rFonts w:asciiTheme="majorBidi" w:hAnsiTheme="majorBidi" w:cstheme="majorBidi"/>
          <w:lang w:val="en-AU"/>
        </w:rPr>
        <w:t>,</w:t>
      </w:r>
      <w:r w:rsidR="00020B54" w:rsidRPr="004C5271">
        <w:rPr>
          <w:rFonts w:asciiTheme="majorBidi" w:hAnsiTheme="majorBidi" w:cstheme="majorBidi"/>
          <w:lang w:val="en-AU"/>
        </w:rPr>
        <w:t xml:space="preserve"> </w:t>
      </w:r>
      <w:r w:rsidR="00132B17" w:rsidRPr="004C5271">
        <w:rPr>
          <w:rFonts w:asciiTheme="majorBidi" w:hAnsiTheme="majorBidi" w:cstheme="majorBidi"/>
          <w:lang w:val="en-AU"/>
        </w:rPr>
        <w:t xml:space="preserve">in the family law context, </w:t>
      </w:r>
      <w:r w:rsidR="009C1D9E" w:rsidRPr="004C5271">
        <w:rPr>
          <w:rFonts w:asciiTheme="majorBidi" w:hAnsiTheme="majorBidi" w:cstheme="majorBidi"/>
          <w:lang w:val="en-AU"/>
        </w:rPr>
        <w:t xml:space="preserve">superannuation is considered </w:t>
      </w:r>
      <w:r w:rsidR="00A47324" w:rsidRPr="004C5271">
        <w:rPr>
          <w:rFonts w:asciiTheme="majorBidi" w:hAnsiTheme="majorBidi" w:cstheme="majorBidi"/>
          <w:lang w:val="en-AU"/>
        </w:rPr>
        <w:t>property of the parties</w:t>
      </w:r>
      <w:r w:rsidR="009C1D9E" w:rsidRPr="004C5271">
        <w:rPr>
          <w:rFonts w:asciiTheme="majorBidi" w:hAnsiTheme="majorBidi" w:cstheme="majorBidi"/>
          <w:lang w:val="en-AU"/>
        </w:rPr>
        <w:t xml:space="preserve">, with the Family Court </w:t>
      </w:r>
      <w:r w:rsidR="00A31DC4" w:rsidRPr="004C5271">
        <w:rPr>
          <w:rFonts w:asciiTheme="majorBidi" w:hAnsiTheme="majorBidi" w:cstheme="majorBidi"/>
          <w:lang w:val="en-AU"/>
        </w:rPr>
        <w:t>able</w:t>
      </w:r>
      <w:r w:rsidR="009C1D9E" w:rsidRPr="004C5271">
        <w:rPr>
          <w:rFonts w:asciiTheme="majorBidi" w:hAnsiTheme="majorBidi" w:cstheme="majorBidi"/>
          <w:lang w:val="en-AU"/>
        </w:rPr>
        <w:t xml:space="preserve"> to make orders splitting superannuation between partners. </w:t>
      </w:r>
      <w:r w:rsidR="00A31DC4" w:rsidRPr="004C5271">
        <w:rPr>
          <w:rFonts w:asciiTheme="majorBidi" w:hAnsiTheme="majorBidi" w:cstheme="majorBidi"/>
          <w:lang w:val="en-AU"/>
        </w:rPr>
        <w:t>In some circumstances, t</w:t>
      </w:r>
      <w:r w:rsidR="009C1D9E" w:rsidRPr="004C5271">
        <w:rPr>
          <w:rFonts w:asciiTheme="majorBidi" w:hAnsiTheme="majorBidi" w:cstheme="majorBidi"/>
          <w:lang w:val="en-AU"/>
        </w:rPr>
        <w:t>rust</w:t>
      </w:r>
      <w:r w:rsidR="00020B54" w:rsidRPr="004C5271">
        <w:rPr>
          <w:rFonts w:asciiTheme="majorBidi" w:hAnsiTheme="majorBidi" w:cstheme="majorBidi"/>
          <w:lang w:val="en-AU"/>
        </w:rPr>
        <w:t xml:space="preserve"> assets </w:t>
      </w:r>
      <w:r w:rsidR="009C1D9E" w:rsidRPr="004C5271">
        <w:rPr>
          <w:rFonts w:asciiTheme="majorBidi" w:hAnsiTheme="majorBidi" w:cstheme="majorBidi"/>
          <w:lang w:val="en-AU"/>
        </w:rPr>
        <w:t xml:space="preserve">may also be considered a financial resource of a party </w:t>
      </w:r>
      <w:r w:rsidR="00A31DC4" w:rsidRPr="004C5271">
        <w:rPr>
          <w:rFonts w:asciiTheme="majorBidi" w:hAnsiTheme="majorBidi" w:cstheme="majorBidi"/>
          <w:lang w:val="en-AU"/>
        </w:rPr>
        <w:t>for the purposes of family law property orders</w:t>
      </w:r>
      <w:r w:rsidR="009C1D9E" w:rsidRPr="004C5271">
        <w:rPr>
          <w:rFonts w:asciiTheme="majorBidi" w:hAnsiTheme="majorBidi" w:cstheme="majorBidi"/>
          <w:lang w:val="en-AU"/>
        </w:rPr>
        <w:t xml:space="preserve"> despite </w:t>
      </w:r>
      <w:r w:rsidR="00A31DC4" w:rsidRPr="004C5271">
        <w:rPr>
          <w:rFonts w:asciiTheme="majorBidi" w:hAnsiTheme="majorBidi" w:cstheme="majorBidi"/>
          <w:lang w:val="en-AU"/>
        </w:rPr>
        <w:t>those assets being held in a trust and not owned personally</w:t>
      </w:r>
      <w:r w:rsidR="00020B54" w:rsidRPr="004C5271">
        <w:rPr>
          <w:rFonts w:asciiTheme="majorBidi" w:hAnsiTheme="majorBidi" w:cstheme="majorBidi"/>
          <w:lang w:val="en-AU"/>
        </w:rPr>
        <w:t xml:space="preserve">. </w:t>
      </w:r>
    </w:p>
    <w:p w14:paraId="729ADA36" w14:textId="3157E1E5" w:rsidR="00020B54" w:rsidRPr="004C5271" w:rsidRDefault="00921F44"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Part 4 details the </w:t>
      </w:r>
      <w:r w:rsidR="001343B3" w:rsidRPr="004C5271">
        <w:rPr>
          <w:rFonts w:asciiTheme="majorBidi" w:hAnsiTheme="majorBidi" w:cstheme="majorBidi"/>
          <w:lang w:val="en-AU"/>
        </w:rPr>
        <w:t xml:space="preserve">notional estate </w:t>
      </w:r>
      <w:r w:rsidRPr="004C5271">
        <w:rPr>
          <w:rFonts w:asciiTheme="majorBidi" w:hAnsiTheme="majorBidi" w:cstheme="majorBidi"/>
          <w:lang w:val="en-AU"/>
        </w:rPr>
        <w:t xml:space="preserve">provisions operating in New South Wales. </w:t>
      </w:r>
      <w:r w:rsidR="00020B54" w:rsidRPr="004C5271">
        <w:rPr>
          <w:rFonts w:asciiTheme="majorBidi" w:hAnsiTheme="majorBidi" w:cstheme="majorBidi"/>
          <w:lang w:val="en-AU"/>
        </w:rPr>
        <w:t>In broad terms, the</w:t>
      </w:r>
      <w:r w:rsidR="00A31DC4" w:rsidRPr="004C5271">
        <w:rPr>
          <w:rFonts w:asciiTheme="majorBidi" w:hAnsiTheme="majorBidi" w:cstheme="majorBidi"/>
          <w:lang w:val="en-AU"/>
        </w:rPr>
        <w:t xml:space="preserve"> </w:t>
      </w:r>
      <w:r w:rsidR="009B004F" w:rsidRPr="004C5271">
        <w:rPr>
          <w:rFonts w:asciiTheme="majorBidi" w:hAnsiTheme="majorBidi" w:cstheme="majorBidi"/>
          <w:lang w:val="en-AU"/>
        </w:rPr>
        <w:t>New South Wales</w:t>
      </w:r>
      <w:r w:rsidR="00A31DC4" w:rsidRPr="004C5271">
        <w:rPr>
          <w:rFonts w:asciiTheme="majorBidi" w:hAnsiTheme="majorBidi" w:cstheme="majorBidi"/>
          <w:lang w:val="en-AU"/>
        </w:rPr>
        <w:t xml:space="preserve"> Supreme Court</w:t>
      </w:r>
      <w:r w:rsidR="00020B54" w:rsidRPr="004C5271">
        <w:rPr>
          <w:rFonts w:asciiTheme="majorBidi" w:hAnsiTheme="majorBidi" w:cstheme="majorBidi"/>
          <w:lang w:val="en-AU"/>
        </w:rPr>
        <w:t xml:space="preserve"> may only make a notional estate order if</w:t>
      </w:r>
      <w:r w:rsidR="001F6318" w:rsidRPr="004C5271">
        <w:rPr>
          <w:rFonts w:asciiTheme="majorBidi" w:hAnsiTheme="majorBidi" w:cstheme="majorBidi"/>
          <w:lang w:val="en-AU"/>
        </w:rPr>
        <w:t xml:space="preserve"> an applicant is successful in their claim, and only if</w:t>
      </w:r>
      <w:r w:rsidR="00020B54" w:rsidRPr="004C5271">
        <w:rPr>
          <w:rFonts w:asciiTheme="majorBidi" w:hAnsiTheme="majorBidi" w:cstheme="majorBidi"/>
          <w:lang w:val="en-AU"/>
        </w:rPr>
        <w:t xml:space="preserve"> there are </w:t>
      </w:r>
      <w:r w:rsidR="002437FC" w:rsidRPr="004C5271">
        <w:rPr>
          <w:rFonts w:asciiTheme="majorBidi" w:hAnsiTheme="majorBidi" w:cstheme="majorBidi"/>
          <w:lang w:val="en-AU"/>
        </w:rPr>
        <w:t xml:space="preserve">insufficient </w:t>
      </w:r>
      <w:r w:rsidR="00020B54" w:rsidRPr="004C5271">
        <w:rPr>
          <w:rFonts w:asciiTheme="majorBidi" w:hAnsiTheme="majorBidi" w:cstheme="majorBidi"/>
          <w:lang w:val="en-AU"/>
        </w:rPr>
        <w:t>assets</w:t>
      </w:r>
      <w:r w:rsidR="00544413" w:rsidRPr="004C5271">
        <w:rPr>
          <w:rFonts w:asciiTheme="majorBidi" w:hAnsiTheme="majorBidi" w:cstheme="majorBidi"/>
          <w:lang w:val="en-AU"/>
        </w:rPr>
        <w:t xml:space="preserve"> in the estate</w:t>
      </w:r>
      <w:r w:rsidR="00020B54" w:rsidRPr="004C5271">
        <w:rPr>
          <w:rFonts w:asciiTheme="majorBidi" w:hAnsiTheme="majorBidi" w:cstheme="majorBidi"/>
          <w:lang w:val="en-AU"/>
        </w:rPr>
        <w:t xml:space="preserve"> to </w:t>
      </w:r>
      <w:r w:rsidR="00544413" w:rsidRPr="004C5271">
        <w:rPr>
          <w:rFonts w:asciiTheme="majorBidi" w:hAnsiTheme="majorBidi" w:cstheme="majorBidi"/>
          <w:lang w:val="en-AU"/>
        </w:rPr>
        <w:t>fund</w:t>
      </w:r>
      <w:r w:rsidR="00020B54" w:rsidRPr="004C5271">
        <w:rPr>
          <w:rFonts w:asciiTheme="majorBidi" w:hAnsiTheme="majorBidi" w:cstheme="majorBidi"/>
          <w:lang w:val="en-AU"/>
        </w:rPr>
        <w:t xml:space="preserve"> </w:t>
      </w:r>
      <w:r w:rsidR="001F6318" w:rsidRPr="004C5271">
        <w:rPr>
          <w:rFonts w:asciiTheme="majorBidi" w:hAnsiTheme="majorBidi" w:cstheme="majorBidi"/>
          <w:lang w:val="en-AU"/>
        </w:rPr>
        <w:t>the</w:t>
      </w:r>
      <w:r w:rsidR="00020B54" w:rsidRPr="004C5271">
        <w:rPr>
          <w:rFonts w:asciiTheme="majorBidi" w:hAnsiTheme="majorBidi" w:cstheme="majorBidi"/>
          <w:lang w:val="en-AU"/>
        </w:rPr>
        <w:t xml:space="preserve"> award </w:t>
      </w:r>
      <w:r w:rsidR="001F6318" w:rsidRPr="004C5271">
        <w:rPr>
          <w:rFonts w:asciiTheme="majorBidi" w:hAnsiTheme="majorBidi" w:cstheme="majorBidi"/>
          <w:lang w:val="en-AU"/>
        </w:rPr>
        <w:t>ordered</w:t>
      </w:r>
      <w:r w:rsidR="00FF536A" w:rsidRPr="004C5271">
        <w:rPr>
          <w:rFonts w:asciiTheme="majorBidi" w:hAnsiTheme="majorBidi" w:cstheme="majorBidi"/>
          <w:lang w:val="en-AU"/>
        </w:rPr>
        <w:t>,</w:t>
      </w:r>
      <w:r w:rsidR="00544413" w:rsidRPr="004C5271">
        <w:rPr>
          <w:rFonts w:asciiTheme="majorBidi" w:hAnsiTheme="majorBidi" w:cstheme="majorBidi"/>
          <w:lang w:val="en-AU"/>
        </w:rPr>
        <w:t xml:space="preserve"> or to pay legal costs</w:t>
      </w:r>
      <w:r w:rsidR="001F6318" w:rsidRPr="004C5271">
        <w:rPr>
          <w:rFonts w:asciiTheme="majorBidi" w:hAnsiTheme="majorBidi" w:cstheme="majorBidi"/>
          <w:lang w:val="en-AU"/>
        </w:rPr>
        <w:t>.</w:t>
      </w:r>
      <w:r w:rsidR="00020B54" w:rsidRPr="004C5271">
        <w:rPr>
          <w:rFonts w:asciiTheme="majorBidi" w:hAnsiTheme="majorBidi" w:cstheme="majorBidi"/>
          <w:lang w:val="en-AU"/>
        </w:rPr>
        <w:t xml:space="preserve"> </w:t>
      </w:r>
      <w:r w:rsidR="001F6318" w:rsidRPr="004C5271">
        <w:rPr>
          <w:rFonts w:asciiTheme="majorBidi" w:hAnsiTheme="majorBidi" w:cstheme="majorBidi"/>
          <w:lang w:val="en-AU"/>
        </w:rPr>
        <w:t xml:space="preserve">Only </w:t>
      </w:r>
      <w:r w:rsidR="00544413" w:rsidRPr="004C5271">
        <w:rPr>
          <w:rFonts w:asciiTheme="majorBidi" w:hAnsiTheme="majorBidi" w:cstheme="majorBidi"/>
          <w:lang w:val="en-AU"/>
        </w:rPr>
        <w:t>transactions</w:t>
      </w:r>
      <w:r w:rsidR="001F6318" w:rsidRPr="004C5271">
        <w:rPr>
          <w:rFonts w:asciiTheme="majorBidi" w:hAnsiTheme="majorBidi" w:cstheme="majorBidi"/>
          <w:lang w:val="en-AU"/>
        </w:rPr>
        <w:t xml:space="preserve"> occurr</w:t>
      </w:r>
      <w:r w:rsidR="00A31DC4" w:rsidRPr="004C5271">
        <w:rPr>
          <w:rFonts w:asciiTheme="majorBidi" w:hAnsiTheme="majorBidi" w:cstheme="majorBidi"/>
          <w:lang w:val="en-AU"/>
        </w:rPr>
        <w:t>ing</w:t>
      </w:r>
      <w:r w:rsidR="001F6318" w:rsidRPr="004C5271">
        <w:rPr>
          <w:rFonts w:asciiTheme="majorBidi" w:hAnsiTheme="majorBidi" w:cstheme="majorBidi"/>
          <w:lang w:val="en-AU"/>
        </w:rPr>
        <w:t xml:space="preserve"> within three years of death (or that occur upon </w:t>
      </w:r>
      <w:r w:rsidR="00DA2512" w:rsidRPr="004C5271">
        <w:rPr>
          <w:rFonts w:asciiTheme="majorBidi" w:hAnsiTheme="majorBidi" w:cstheme="majorBidi"/>
          <w:lang w:val="en-AU"/>
        </w:rPr>
        <w:t xml:space="preserve">or after </w:t>
      </w:r>
      <w:r w:rsidR="00544413" w:rsidRPr="004C5271">
        <w:rPr>
          <w:rFonts w:asciiTheme="majorBidi" w:hAnsiTheme="majorBidi" w:cstheme="majorBidi"/>
          <w:lang w:val="en-AU"/>
        </w:rPr>
        <w:t>a</w:t>
      </w:r>
      <w:r w:rsidR="001F6318" w:rsidRPr="004C5271">
        <w:rPr>
          <w:rFonts w:asciiTheme="majorBidi" w:hAnsiTheme="majorBidi" w:cstheme="majorBidi"/>
          <w:lang w:val="en-AU"/>
        </w:rPr>
        <w:t xml:space="preserve"> person’s death) </w:t>
      </w:r>
      <w:r w:rsidR="00544413" w:rsidRPr="004C5271">
        <w:rPr>
          <w:rFonts w:asciiTheme="majorBidi" w:hAnsiTheme="majorBidi" w:cstheme="majorBidi"/>
          <w:lang w:val="en-AU"/>
        </w:rPr>
        <w:t>are relevant</w:t>
      </w:r>
      <w:r w:rsidR="001F6318" w:rsidRPr="004C5271">
        <w:rPr>
          <w:rFonts w:asciiTheme="majorBidi" w:hAnsiTheme="majorBidi" w:cstheme="majorBidi"/>
          <w:lang w:val="en-AU"/>
        </w:rPr>
        <w:t xml:space="preserve">. </w:t>
      </w:r>
      <w:r w:rsidR="00544413" w:rsidRPr="004C5271">
        <w:rPr>
          <w:rFonts w:asciiTheme="majorBidi" w:hAnsiTheme="majorBidi" w:cstheme="majorBidi"/>
          <w:lang w:val="en-AU"/>
        </w:rPr>
        <w:t xml:space="preserve">The provisions apply equally to acts and omissions. So, if a person fails to do an act — like sever a joint tenancy, or make or change a binding death benefit nomination, or make a distribution from a trust — then those ‘transactions’ may also be captured. </w:t>
      </w:r>
      <w:r w:rsidR="001F6318" w:rsidRPr="004C5271">
        <w:rPr>
          <w:rFonts w:asciiTheme="majorBidi" w:hAnsiTheme="majorBidi" w:cstheme="majorBidi"/>
          <w:lang w:val="en-AU"/>
        </w:rPr>
        <w:t>Before designating property as notional estate, the Court must consider the importance of not interfering with reasonable expectations in relation to property, the substantial justice and the merits involved</w:t>
      </w:r>
      <w:r w:rsidR="00062B40" w:rsidRPr="004C5271">
        <w:rPr>
          <w:rFonts w:asciiTheme="majorBidi" w:hAnsiTheme="majorBidi" w:cstheme="majorBidi"/>
          <w:lang w:val="en-AU"/>
        </w:rPr>
        <w:t>,</w:t>
      </w:r>
      <w:r w:rsidR="001F6318" w:rsidRPr="004C5271">
        <w:rPr>
          <w:rFonts w:asciiTheme="majorBidi" w:hAnsiTheme="majorBidi" w:cstheme="majorBidi"/>
          <w:lang w:val="en-AU"/>
        </w:rPr>
        <w:t xml:space="preserve"> and any other matter it considers relevant.</w:t>
      </w:r>
    </w:p>
    <w:p w14:paraId="36E001A1" w14:textId="4B5C9C00" w:rsidR="009A5FE7" w:rsidRPr="004C5271" w:rsidRDefault="009A5FE7" w:rsidP="00C0478D">
      <w:pPr>
        <w:pStyle w:val="NumberlessNormalText"/>
        <w:rPr>
          <w:rFonts w:asciiTheme="majorBidi" w:hAnsiTheme="majorBidi" w:cstheme="majorBidi"/>
          <w:lang w:val="en-AU"/>
        </w:rPr>
      </w:pPr>
      <w:r w:rsidRPr="004C5271">
        <w:rPr>
          <w:rFonts w:asciiTheme="majorBidi" w:hAnsiTheme="majorBidi" w:cstheme="majorBidi"/>
          <w:lang w:val="en-AU"/>
        </w:rPr>
        <w:t>The New South Wales’ notional estate provisions align with the National Committee for Uniform Succession Laws’ (</w:t>
      </w:r>
      <w:r w:rsidR="00134C5D" w:rsidRPr="004C5271">
        <w:rPr>
          <w:rFonts w:asciiTheme="majorBidi" w:hAnsiTheme="majorBidi" w:cstheme="majorBidi"/>
          <w:lang w:val="en-AU"/>
        </w:rPr>
        <w:t>‘</w:t>
      </w:r>
      <w:r w:rsidRPr="004C5271">
        <w:rPr>
          <w:rFonts w:asciiTheme="majorBidi" w:hAnsiTheme="majorBidi" w:cstheme="majorBidi"/>
          <w:lang w:val="en-AU"/>
        </w:rPr>
        <w:t xml:space="preserve">National Committee’) recommendations </w:t>
      </w:r>
      <w:r w:rsidR="00FF536A" w:rsidRPr="004C5271">
        <w:rPr>
          <w:rFonts w:asciiTheme="majorBidi" w:hAnsiTheme="majorBidi" w:cstheme="majorBidi"/>
          <w:lang w:val="en-AU"/>
        </w:rPr>
        <w:t xml:space="preserve">made </w:t>
      </w:r>
      <w:r w:rsidRPr="004C5271">
        <w:rPr>
          <w:rFonts w:asciiTheme="majorBidi" w:hAnsiTheme="majorBidi" w:cstheme="majorBidi"/>
          <w:lang w:val="en-AU"/>
        </w:rPr>
        <w:t>in 1997</w:t>
      </w:r>
      <w:r w:rsidR="00FF536A" w:rsidRPr="004C5271">
        <w:rPr>
          <w:rFonts w:asciiTheme="majorBidi" w:hAnsiTheme="majorBidi" w:cstheme="majorBidi"/>
          <w:lang w:val="en-AU"/>
        </w:rPr>
        <w:t>,</w:t>
      </w:r>
      <w:r w:rsidRPr="004C5271">
        <w:rPr>
          <w:rFonts w:asciiTheme="majorBidi" w:hAnsiTheme="majorBidi" w:cstheme="majorBidi"/>
          <w:lang w:val="en-AU"/>
        </w:rPr>
        <w:t xml:space="preserve"> and</w:t>
      </w:r>
      <w:r w:rsidR="00DD5DB2" w:rsidRPr="004C5271">
        <w:rPr>
          <w:rFonts w:asciiTheme="majorBidi" w:hAnsiTheme="majorBidi" w:cstheme="majorBidi"/>
          <w:lang w:val="en-AU"/>
        </w:rPr>
        <w:t xml:space="preserve"> subsequent recommendations in</w:t>
      </w:r>
      <w:r w:rsidRPr="004C5271">
        <w:rPr>
          <w:rFonts w:asciiTheme="majorBidi" w:hAnsiTheme="majorBidi" w:cstheme="majorBidi"/>
          <w:lang w:val="en-AU"/>
        </w:rPr>
        <w:t xml:space="preserve"> 2004. </w:t>
      </w:r>
      <w:r w:rsidR="00DD5DB2" w:rsidRPr="004C5271">
        <w:rPr>
          <w:rFonts w:asciiTheme="majorBidi" w:hAnsiTheme="majorBidi" w:cstheme="majorBidi"/>
          <w:lang w:val="en-AU"/>
        </w:rPr>
        <w:t xml:space="preserve">Despite this, New South Wales is the only jurisdiction to have introduced notional estate laws. </w:t>
      </w:r>
      <w:r w:rsidRPr="004C5271">
        <w:rPr>
          <w:rFonts w:asciiTheme="majorBidi" w:hAnsiTheme="majorBidi" w:cstheme="majorBidi"/>
          <w:lang w:val="en-AU"/>
        </w:rPr>
        <w:t xml:space="preserve">Some </w:t>
      </w:r>
      <w:r w:rsidR="002A653E" w:rsidRPr="004C5271">
        <w:rPr>
          <w:rFonts w:asciiTheme="majorBidi" w:hAnsiTheme="majorBidi" w:cstheme="majorBidi"/>
          <w:lang w:val="en-AU"/>
        </w:rPr>
        <w:t xml:space="preserve">overseas </w:t>
      </w:r>
      <w:r w:rsidR="00FF536A" w:rsidRPr="004C5271">
        <w:rPr>
          <w:rFonts w:asciiTheme="majorBidi" w:hAnsiTheme="majorBidi" w:cstheme="majorBidi"/>
          <w:lang w:val="en-AU"/>
        </w:rPr>
        <w:t>jurisdictions</w:t>
      </w:r>
      <w:r w:rsidRPr="004C5271">
        <w:rPr>
          <w:rFonts w:asciiTheme="majorBidi" w:hAnsiTheme="majorBidi" w:cstheme="majorBidi"/>
          <w:lang w:val="en-AU"/>
        </w:rPr>
        <w:t xml:space="preserve"> have similar, although not identical</w:t>
      </w:r>
      <w:r w:rsidR="00134C5D" w:rsidRPr="004C5271">
        <w:rPr>
          <w:rFonts w:asciiTheme="majorBidi" w:hAnsiTheme="majorBidi" w:cstheme="majorBidi"/>
          <w:lang w:val="en-AU"/>
        </w:rPr>
        <w:t>,</w:t>
      </w:r>
      <w:r w:rsidRPr="004C5271">
        <w:rPr>
          <w:rFonts w:asciiTheme="majorBidi" w:hAnsiTheme="majorBidi" w:cstheme="majorBidi"/>
          <w:lang w:val="en-AU"/>
        </w:rPr>
        <w:t xml:space="preserve"> provisions, including </w:t>
      </w:r>
      <w:r w:rsidR="0074463E" w:rsidRPr="004C5271">
        <w:rPr>
          <w:rFonts w:asciiTheme="majorBidi" w:hAnsiTheme="majorBidi" w:cstheme="majorBidi"/>
          <w:lang w:val="en-AU"/>
        </w:rPr>
        <w:t xml:space="preserve">parts of </w:t>
      </w:r>
      <w:r w:rsidRPr="004C5271">
        <w:rPr>
          <w:rFonts w:asciiTheme="majorBidi" w:hAnsiTheme="majorBidi" w:cstheme="majorBidi"/>
          <w:lang w:val="en-AU"/>
        </w:rPr>
        <w:t>the United Kingdom, Canada and the US. The New Zealand Law Commission</w:t>
      </w:r>
      <w:r w:rsidR="0074463E" w:rsidRPr="004C5271">
        <w:rPr>
          <w:rFonts w:asciiTheme="majorBidi" w:hAnsiTheme="majorBidi" w:cstheme="majorBidi"/>
          <w:lang w:val="en-AU"/>
        </w:rPr>
        <w:t xml:space="preserve"> (‘NZLC’)</w:t>
      </w:r>
      <w:r w:rsidRPr="004C5271">
        <w:rPr>
          <w:rFonts w:asciiTheme="majorBidi" w:hAnsiTheme="majorBidi" w:cstheme="majorBidi"/>
          <w:lang w:val="en-AU"/>
        </w:rPr>
        <w:t xml:space="preserve"> has endorsed legislative provisions aimed at addressing </w:t>
      </w:r>
      <w:r w:rsidR="00DD5DB2" w:rsidRPr="004C5271">
        <w:rPr>
          <w:rFonts w:asciiTheme="majorBidi" w:hAnsiTheme="majorBidi" w:cstheme="majorBidi"/>
          <w:lang w:val="en-AU"/>
        </w:rPr>
        <w:t xml:space="preserve">family provision </w:t>
      </w:r>
      <w:r w:rsidRPr="004C5271">
        <w:rPr>
          <w:rFonts w:asciiTheme="majorBidi" w:hAnsiTheme="majorBidi" w:cstheme="majorBidi"/>
          <w:lang w:val="en-AU"/>
        </w:rPr>
        <w:t>avoidance although their recommendations have not been enacted</w:t>
      </w:r>
      <w:r w:rsidR="00DD5DB2" w:rsidRPr="004C5271">
        <w:rPr>
          <w:rFonts w:asciiTheme="majorBidi" w:hAnsiTheme="majorBidi" w:cstheme="majorBidi"/>
          <w:lang w:val="en-AU"/>
        </w:rPr>
        <w:t xml:space="preserve"> </w:t>
      </w:r>
      <w:r w:rsidR="00FF536A" w:rsidRPr="004C5271">
        <w:rPr>
          <w:rFonts w:asciiTheme="majorBidi" w:hAnsiTheme="majorBidi" w:cstheme="majorBidi"/>
          <w:lang w:val="en-AU"/>
        </w:rPr>
        <w:t>in statute</w:t>
      </w:r>
      <w:r w:rsidRPr="004C5271">
        <w:rPr>
          <w:rFonts w:asciiTheme="majorBidi" w:hAnsiTheme="majorBidi" w:cstheme="majorBidi"/>
          <w:lang w:val="en-AU"/>
        </w:rPr>
        <w:t xml:space="preserve">. </w:t>
      </w:r>
    </w:p>
    <w:p w14:paraId="6CEE1190" w14:textId="484D2D55" w:rsidR="001F6318" w:rsidRPr="004C5271" w:rsidRDefault="009A5FE7" w:rsidP="00C0478D">
      <w:pPr>
        <w:pStyle w:val="NumberlessNormalText"/>
        <w:rPr>
          <w:rFonts w:asciiTheme="majorBidi" w:hAnsiTheme="majorBidi" w:cstheme="majorBidi"/>
          <w:lang w:val="en-AU"/>
        </w:rPr>
      </w:pPr>
      <w:r w:rsidRPr="004C5271">
        <w:rPr>
          <w:rFonts w:asciiTheme="majorBidi" w:hAnsiTheme="majorBidi" w:cstheme="majorBidi"/>
          <w:lang w:val="en-AU"/>
        </w:rPr>
        <w:t>Notional estate</w:t>
      </w:r>
      <w:r w:rsidR="001F6318" w:rsidRPr="004C5271">
        <w:rPr>
          <w:rFonts w:asciiTheme="majorBidi" w:hAnsiTheme="majorBidi" w:cstheme="majorBidi"/>
          <w:lang w:val="en-AU"/>
        </w:rPr>
        <w:t xml:space="preserve"> </w:t>
      </w:r>
      <w:r w:rsidRPr="004C5271">
        <w:rPr>
          <w:rFonts w:asciiTheme="majorBidi" w:hAnsiTheme="majorBidi" w:cstheme="majorBidi"/>
          <w:lang w:val="en-AU"/>
        </w:rPr>
        <w:t>laws</w:t>
      </w:r>
      <w:r w:rsidR="001F6318" w:rsidRPr="004C5271">
        <w:rPr>
          <w:rFonts w:asciiTheme="majorBidi" w:hAnsiTheme="majorBidi" w:cstheme="majorBidi"/>
          <w:lang w:val="en-AU"/>
        </w:rPr>
        <w:t xml:space="preserve"> enable the </w:t>
      </w:r>
      <w:r w:rsidRPr="004C5271">
        <w:rPr>
          <w:rFonts w:asciiTheme="majorBidi" w:hAnsiTheme="majorBidi" w:cstheme="majorBidi"/>
          <w:lang w:val="en-AU"/>
        </w:rPr>
        <w:t>c</w:t>
      </w:r>
      <w:r w:rsidR="001F6318" w:rsidRPr="004C5271">
        <w:rPr>
          <w:rFonts w:asciiTheme="majorBidi" w:hAnsiTheme="majorBidi" w:cstheme="majorBidi"/>
          <w:lang w:val="en-AU"/>
        </w:rPr>
        <w:t xml:space="preserve">ourt to award provision for successful </w:t>
      </w:r>
      <w:r w:rsidR="00544413" w:rsidRPr="004C5271">
        <w:rPr>
          <w:rFonts w:asciiTheme="majorBidi" w:hAnsiTheme="majorBidi" w:cstheme="majorBidi"/>
          <w:lang w:val="en-AU"/>
        </w:rPr>
        <w:t>family provision</w:t>
      </w:r>
      <w:r w:rsidR="001F6318" w:rsidRPr="004C5271">
        <w:rPr>
          <w:rFonts w:asciiTheme="majorBidi" w:hAnsiTheme="majorBidi" w:cstheme="majorBidi"/>
          <w:lang w:val="en-AU"/>
        </w:rPr>
        <w:t xml:space="preserve"> claimants from a much broader pool of assets than are presently </w:t>
      </w:r>
      <w:r w:rsidR="001F6318" w:rsidRPr="004C5271">
        <w:rPr>
          <w:rFonts w:asciiTheme="majorBidi" w:hAnsiTheme="majorBidi" w:cstheme="majorBidi"/>
          <w:lang w:val="en-AU"/>
        </w:rPr>
        <w:lastRenderedPageBreak/>
        <w:t xml:space="preserve">available in Tasmania. On one hand, extending the reach of </w:t>
      </w:r>
      <w:r w:rsidR="00544413" w:rsidRPr="004C5271">
        <w:rPr>
          <w:rFonts w:asciiTheme="majorBidi" w:hAnsiTheme="majorBidi" w:cstheme="majorBidi"/>
          <w:lang w:val="en-AU"/>
        </w:rPr>
        <w:t>family provision</w:t>
      </w:r>
      <w:r w:rsidR="001F6318" w:rsidRPr="004C5271">
        <w:rPr>
          <w:rFonts w:asciiTheme="majorBidi" w:hAnsiTheme="majorBidi" w:cstheme="majorBidi"/>
          <w:lang w:val="en-AU"/>
        </w:rPr>
        <w:t xml:space="preserve"> laws to assets not currently </w:t>
      </w:r>
      <w:r w:rsidR="00A31DC4" w:rsidRPr="004C5271">
        <w:rPr>
          <w:rFonts w:asciiTheme="majorBidi" w:hAnsiTheme="majorBidi" w:cstheme="majorBidi"/>
          <w:lang w:val="en-AU"/>
        </w:rPr>
        <w:t>impacted</w:t>
      </w:r>
      <w:r w:rsidR="001F6318" w:rsidRPr="004C5271">
        <w:rPr>
          <w:rFonts w:asciiTheme="majorBidi" w:hAnsiTheme="majorBidi" w:cstheme="majorBidi"/>
          <w:lang w:val="en-AU"/>
        </w:rPr>
        <w:t xml:space="preserve"> </w:t>
      </w:r>
      <w:r w:rsidR="00A31DC4" w:rsidRPr="004C5271">
        <w:rPr>
          <w:rFonts w:asciiTheme="majorBidi" w:hAnsiTheme="majorBidi" w:cstheme="majorBidi"/>
          <w:lang w:val="en-AU"/>
        </w:rPr>
        <w:t>imposes</w:t>
      </w:r>
      <w:r w:rsidR="001F6318" w:rsidRPr="004C5271">
        <w:rPr>
          <w:rFonts w:asciiTheme="majorBidi" w:hAnsiTheme="majorBidi" w:cstheme="majorBidi"/>
          <w:lang w:val="en-AU"/>
        </w:rPr>
        <w:t xml:space="preserve"> a further </w:t>
      </w:r>
      <w:r w:rsidR="002200D8" w:rsidRPr="004C5271">
        <w:rPr>
          <w:rFonts w:asciiTheme="majorBidi" w:hAnsiTheme="majorBidi" w:cstheme="majorBidi"/>
          <w:lang w:val="en-AU"/>
        </w:rPr>
        <w:t>restriction on a person</w:t>
      </w:r>
      <w:r w:rsidR="00A31DC4" w:rsidRPr="004C5271">
        <w:rPr>
          <w:rFonts w:asciiTheme="majorBidi" w:hAnsiTheme="majorBidi" w:cstheme="majorBidi"/>
          <w:lang w:val="en-AU"/>
        </w:rPr>
        <w:t>’s ability</w:t>
      </w:r>
      <w:r w:rsidR="002200D8" w:rsidRPr="004C5271">
        <w:rPr>
          <w:rFonts w:asciiTheme="majorBidi" w:hAnsiTheme="majorBidi" w:cstheme="majorBidi"/>
          <w:lang w:val="en-AU"/>
        </w:rPr>
        <w:t xml:space="preserve"> to choose how they want their estate distributed after their death. On the other hand, </w:t>
      </w:r>
      <w:r w:rsidR="007F5842" w:rsidRPr="004C5271">
        <w:rPr>
          <w:rFonts w:asciiTheme="majorBidi" w:hAnsiTheme="majorBidi" w:cstheme="majorBidi"/>
          <w:lang w:val="en-AU"/>
        </w:rPr>
        <w:t>there is</w:t>
      </w:r>
      <w:r w:rsidR="002200D8" w:rsidRPr="004C5271">
        <w:rPr>
          <w:rFonts w:asciiTheme="majorBidi" w:hAnsiTheme="majorBidi" w:cstheme="majorBidi"/>
          <w:lang w:val="en-AU"/>
        </w:rPr>
        <w:t xml:space="preserve"> scope for people to structure their affairs in way</w:t>
      </w:r>
      <w:r w:rsidR="00A31DC4" w:rsidRPr="004C5271">
        <w:rPr>
          <w:rFonts w:asciiTheme="majorBidi" w:hAnsiTheme="majorBidi" w:cstheme="majorBidi"/>
          <w:lang w:val="en-AU"/>
        </w:rPr>
        <w:t>s</w:t>
      </w:r>
      <w:r w:rsidR="002200D8" w:rsidRPr="004C5271">
        <w:rPr>
          <w:rFonts w:asciiTheme="majorBidi" w:hAnsiTheme="majorBidi" w:cstheme="majorBidi"/>
          <w:lang w:val="en-AU"/>
        </w:rPr>
        <w:t xml:space="preserve"> that limit the utility of family provision laws which are intended to ensure that a person makes adequate provision for their spouse and children. </w:t>
      </w:r>
      <w:r w:rsidR="0074463E" w:rsidRPr="004C5271">
        <w:rPr>
          <w:rFonts w:asciiTheme="majorBidi" w:hAnsiTheme="majorBidi" w:cstheme="majorBidi"/>
          <w:lang w:val="en-AU"/>
        </w:rPr>
        <w:t>The recommendations contained in this report aim to reach an appropriate balance between these competing issues.</w:t>
      </w:r>
    </w:p>
    <w:p w14:paraId="642715D4" w14:textId="6C33A8FC" w:rsidR="00473060" w:rsidRPr="004C5271" w:rsidRDefault="0026012A" w:rsidP="00AE2B8C">
      <w:pPr>
        <w:pStyle w:val="Sub-HeadingTLRI"/>
      </w:pPr>
      <w:r w:rsidRPr="004C5271">
        <w:t>Conclusions reached in this report</w:t>
      </w:r>
    </w:p>
    <w:p w14:paraId="69BABDF9" w14:textId="7D25FBFC" w:rsidR="00A922D4" w:rsidRPr="004C5271" w:rsidRDefault="0026012A"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Part 5 of this report </w:t>
      </w:r>
      <w:r w:rsidR="007F5842" w:rsidRPr="004C5271">
        <w:rPr>
          <w:rFonts w:asciiTheme="majorBidi" w:hAnsiTheme="majorBidi" w:cstheme="majorBidi"/>
          <w:lang w:val="en-AU"/>
        </w:rPr>
        <w:t>outlines and analyses the submissions that the Institute received</w:t>
      </w:r>
      <w:r w:rsidR="0074463E" w:rsidRPr="004C5271">
        <w:rPr>
          <w:rFonts w:asciiTheme="majorBidi" w:hAnsiTheme="majorBidi" w:cstheme="majorBidi"/>
          <w:lang w:val="en-AU"/>
        </w:rPr>
        <w:t xml:space="preserve"> to its Issues Paper. It </w:t>
      </w:r>
      <w:r w:rsidR="007F5842" w:rsidRPr="004C5271">
        <w:rPr>
          <w:rFonts w:asciiTheme="majorBidi" w:hAnsiTheme="majorBidi" w:cstheme="majorBidi"/>
          <w:lang w:val="en-AU"/>
        </w:rPr>
        <w:t xml:space="preserve">concludes by </w:t>
      </w:r>
      <w:r w:rsidR="00473060" w:rsidRPr="004C5271">
        <w:rPr>
          <w:rFonts w:asciiTheme="majorBidi" w:hAnsiTheme="majorBidi" w:cstheme="majorBidi"/>
          <w:lang w:val="en-AU"/>
        </w:rPr>
        <w:t xml:space="preserve">answering </w:t>
      </w:r>
      <w:r w:rsidR="007F5842" w:rsidRPr="004C5271">
        <w:rPr>
          <w:rFonts w:asciiTheme="majorBidi" w:hAnsiTheme="majorBidi" w:cstheme="majorBidi"/>
          <w:lang w:val="en-AU"/>
        </w:rPr>
        <w:t>the question whether Tasmania should introduce notional estate laws</w:t>
      </w:r>
      <w:r w:rsidR="00473060" w:rsidRPr="004C5271">
        <w:rPr>
          <w:rFonts w:asciiTheme="majorBidi" w:hAnsiTheme="majorBidi" w:cstheme="majorBidi"/>
          <w:lang w:val="en-AU"/>
        </w:rPr>
        <w:t xml:space="preserve"> </w:t>
      </w:r>
      <w:r w:rsidR="008647BA" w:rsidRPr="004C5271">
        <w:rPr>
          <w:rFonts w:asciiTheme="majorBidi" w:hAnsiTheme="majorBidi" w:cstheme="majorBidi"/>
          <w:lang w:val="en-AU"/>
        </w:rPr>
        <w:t xml:space="preserve">at this time </w:t>
      </w:r>
      <w:r w:rsidR="00473060" w:rsidRPr="004C5271">
        <w:rPr>
          <w:rFonts w:asciiTheme="majorBidi" w:hAnsiTheme="majorBidi" w:cstheme="majorBidi"/>
          <w:lang w:val="en-AU"/>
        </w:rPr>
        <w:t>in the negative.</w:t>
      </w:r>
      <w:r w:rsidRPr="004C5271">
        <w:rPr>
          <w:rFonts w:asciiTheme="majorBidi" w:hAnsiTheme="majorBidi" w:cstheme="majorBidi"/>
          <w:lang w:val="en-AU"/>
        </w:rPr>
        <w:t xml:space="preserve"> Primarily, </w:t>
      </w:r>
      <w:r w:rsidR="00835EDA" w:rsidRPr="004C5271">
        <w:rPr>
          <w:rFonts w:asciiTheme="majorBidi" w:hAnsiTheme="majorBidi" w:cstheme="majorBidi"/>
          <w:lang w:val="en-AU"/>
        </w:rPr>
        <w:t>the Institute’s</w:t>
      </w:r>
      <w:r w:rsidRPr="004C5271">
        <w:rPr>
          <w:rFonts w:asciiTheme="majorBidi" w:hAnsiTheme="majorBidi" w:cstheme="majorBidi"/>
          <w:lang w:val="en-AU"/>
        </w:rPr>
        <w:t xml:space="preserve"> reasons for reaching that conclusion are:</w:t>
      </w:r>
    </w:p>
    <w:p w14:paraId="74522550" w14:textId="25AB5506" w:rsidR="0026012A" w:rsidRPr="004C5271" w:rsidRDefault="0026012A" w:rsidP="0026012A">
      <w:pPr>
        <w:pStyle w:val="DotPointTLRI"/>
        <w:rPr>
          <w:rFonts w:asciiTheme="majorBidi" w:hAnsiTheme="majorBidi" w:cstheme="majorBidi"/>
          <w:lang w:val="en-AU"/>
        </w:rPr>
      </w:pPr>
      <w:r w:rsidRPr="004C5271">
        <w:rPr>
          <w:rFonts w:asciiTheme="majorBidi" w:hAnsiTheme="majorBidi" w:cstheme="majorBidi"/>
          <w:lang w:val="en-AU"/>
        </w:rPr>
        <w:t>that the extent to which meritorious claims are being defeated through assets passing outside a person’s estate has not been clearly demonstrated;</w:t>
      </w:r>
    </w:p>
    <w:p w14:paraId="11E71DB8" w14:textId="4F6BEFA9" w:rsidR="0026012A" w:rsidRPr="004C5271" w:rsidRDefault="0026012A" w:rsidP="0026012A">
      <w:pPr>
        <w:pStyle w:val="DotPointTLRI"/>
        <w:rPr>
          <w:rFonts w:asciiTheme="majorBidi" w:hAnsiTheme="majorBidi" w:cstheme="majorBidi"/>
          <w:lang w:val="en-AU"/>
        </w:rPr>
      </w:pPr>
      <w:r w:rsidRPr="004C5271">
        <w:rPr>
          <w:rFonts w:asciiTheme="majorBidi" w:hAnsiTheme="majorBidi" w:cstheme="majorBidi"/>
          <w:lang w:val="en-AU"/>
        </w:rPr>
        <w:t xml:space="preserve">that, without nationally uniform legislation, a person may structure their affairs to avoid </w:t>
      </w:r>
      <w:r w:rsidR="009228FA" w:rsidRPr="004C5271">
        <w:rPr>
          <w:rFonts w:asciiTheme="majorBidi" w:hAnsiTheme="majorBidi" w:cstheme="majorBidi"/>
          <w:lang w:val="en-AU"/>
        </w:rPr>
        <w:t xml:space="preserve">the </w:t>
      </w:r>
      <w:r w:rsidRPr="004C5271">
        <w:rPr>
          <w:rFonts w:asciiTheme="majorBidi" w:hAnsiTheme="majorBidi" w:cstheme="majorBidi"/>
          <w:lang w:val="en-AU"/>
        </w:rPr>
        <w:t xml:space="preserve">operation of notional estate laws </w:t>
      </w:r>
      <w:r w:rsidR="00CE27F9" w:rsidRPr="004C5271">
        <w:rPr>
          <w:rFonts w:asciiTheme="majorBidi" w:hAnsiTheme="majorBidi" w:cstheme="majorBidi"/>
          <w:lang w:val="en-AU"/>
        </w:rPr>
        <w:t>—</w:t>
      </w:r>
      <w:r w:rsidRPr="004C5271">
        <w:rPr>
          <w:rFonts w:asciiTheme="majorBidi" w:hAnsiTheme="majorBidi" w:cstheme="majorBidi"/>
          <w:lang w:val="en-AU"/>
        </w:rPr>
        <w:t xml:space="preserve"> meaning that their effectiveness in addressing the issue identified </w:t>
      </w:r>
      <w:r w:rsidR="005A0F43" w:rsidRPr="004C5271">
        <w:rPr>
          <w:rFonts w:asciiTheme="majorBidi" w:hAnsiTheme="majorBidi" w:cstheme="majorBidi"/>
          <w:lang w:val="en-AU"/>
        </w:rPr>
        <w:t>is</w:t>
      </w:r>
      <w:r w:rsidRPr="004C5271">
        <w:rPr>
          <w:rFonts w:asciiTheme="majorBidi" w:hAnsiTheme="majorBidi" w:cstheme="majorBidi"/>
          <w:lang w:val="en-AU"/>
        </w:rPr>
        <w:t xml:space="preserve"> limited;</w:t>
      </w:r>
    </w:p>
    <w:p w14:paraId="10C014A6" w14:textId="3DDCFC9B" w:rsidR="001531A8" w:rsidRPr="004C5271" w:rsidRDefault="001531A8" w:rsidP="0026012A">
      <w:pPr>
        <w:pStyle w:val="DotPointTLRI"/>
        <w:rPr>
          <w:rFonts w:asciiTheme="majorBidi" w:hAnsiTheme="majorBidi" w:cstheme="majorBidi"/>
          <w:lang w:val="en-AU"/>
        </w:rPr>
      </w:pPr>
      <w:r w:rsidRPr="004C5271">
        <w:rPr>
          <w:rFonts w:asciiTheme="majorBidi" w:hAnsiTheme="majorBidi" w:cstheme="majorBidi"/>
          <w:lang w:val="en-AU"/>
        </w:rPr>
        <w:t xml:space="preserve">that the effectiveness of the New South Wales notional estate provisions has not been </w:t>
      </w:r>
      <w:r w:rsidR="005A0F43" w:rsidRPr="004C5271">
        <w:rPr>
          <w:rFonts w:asciiTheme="majorBidi" w:hAnsiTheme="majorBidi" w:cstheme="majorBidi"/>
          <w:lang w:val="en-AU"/>
        </w:rPr>
        <w:t>established</w:t>
      </w:r>
      <w:r w:rsidRPr="004C5271">
        <w:rPr>
          <w:rFonts w:asciiTheme="majorBidi" w:hAnsiTheme="majorBidi" w:cstheme="majorBidi"/>
          <w:lang w:val="en-AU"/>
        </w:rPr>
        <w:t>;</w:t>
      </w:r>
    </w:p>
    <w:p w14:paraId="7EAE7326" w14:textId="281E21EA" w:rsidR="0026012A" w:rsidRPr="004C5271" w:rsidRDefault="0026012A" w:rsidP="0026012A">
      <w:pPr>
        <w:pStyle w:val="DotPointTLRI"/>
        <w:rPr>
          <w:rFonts w:asciiTheme="majorBidi" w:hAnsiTheme="majorBidi" w:cstheme="majorBidi"/>
          <w:lang w:val="en-AU"/>
        </w:rPr>
      </w:pPr>
      <w:r w:rsidRPr="004C5271">
        <w:rPr>
          <w:rFonts w:asciiTheme="majorBidi" w:hAnsiTheme="majorBidi" w:cstheme="majorBidi"/>
          <w:lang w:val="en-AU"/>
        </w:rPr>
        <w:t xml:space="preserve">that most respondents </w:t>
      </w:r>
      <w:r w:rsidR="009228FA" w:rsidRPr="004C5271">
        <w:rPr>
          <w:rFonts w:asciiTheme="majorBidi" w:hAnsiTheme="majorBidi" w:cstheme="majorBidi"/>
          <w:lang w:val="en-AU"/>
        </w:rPr>
        <w:t xml:space="preserve">to the Issues Paper </w:t>
      </w:r>
      <w:r w:rsidRPr="004C5271">
        <w:rPr>
          <w:rFonts w:asciiTheme="majorBidi" w:hAnsiTheme="majorBidi" w:cstheme="majorBidi"/>
          <w:lang w:val="en-AU"/>
        </w:rPr>
        <w:t xml:space="preserve">supported narrowing the scope of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rather than expanding its jurisdiction to include non-estate assets; </w:t>
      </w:r>
    </w:p>
    <w:p w14:paraId="72C5F767" w14:textId="38E98153" w:rsidR="0026012A" w:rsidRPr="004C5271" w:rsidRDefault="0026012A" w:rsidP="0026012A">
      <w:pPr>
        <w:pStyle w:val="DotPointTLRI"/>
        <w:rPr>
          <w:rFonts w:asciiTheme="majorBidi" w:hAnsiTheme="majorBidi" w:cstheme="majorBidi"/>
          <w:lang w:val="en-AU"/>
        </w:rPr>
      </w:pPr>
      <w:r w:rsidRPr="004C5271">
        <w:rPr>
          <w:rFonts w:asciiTheme="majorBidi" w:hAnsiTheme="majorBidi" w:cstheme="majorBidi"/>
          <w:lang w:val="en-AU"/>
        </w:rPr>
        <w:t xml:space="preserve">that notional estate laws have the potential to </w:t>
      </w:r>
      <w:r w:rsidR="009228FA" w:rsidRPr="004C5271">
        <w:rPr>
          <w:rFonts w:asciiTheme="majorBidi" w:hAnsiTheme="majorBidi" w:cstheme="majorBidi"/>
          <w:lang w:val="en-AU"/>
        </w:rPr>
        <w:t>have an adverse impact on</w:t>
      </w:r>
      <w:r w:rsidRPr="004C5271">
        <w:rPr>
          <w:rFonts w:asciiTheme="majorBidi" w:hAnsiTheme="majorBidi" w:cstheme="majorBidi"/>
          <w:lang w:val="en-AU"/>
        </w:rPr>
        <w:t xml:space="preserve"> a large percentage of the population, for example by prolonging the administration of estates and increasing legal costs for legal personal representatives, beneficiaries and parties to family provision litigation</w:t>
      </w:r>
      <w:r w:rsidR="005A0F43" w:rsidRPr="004C5271">
        <w:rPr>
          <w:rFonts w:asciiTheme="majorBidi" w:hAnsiTheme="majorBidi" w:cstheme="majorBidi"/>
          <w:lang w:val="en-AU"/>
        </w:rPr>
        <w:t>; and</w:t>
      </w:r>
    </w:p>
    <w:p w14:paraId="30CBDE1E" w14:textId="631AB67D" w:rsidR="005A0F43" w:rsidRPr="004C5271" w:rsidRDefault="005A0F43" w:rsidP="00076B44">
      <w:pPr>
        <w:pStyle w:val="DotPointTLRI"/>
        <w:rPr>
          <w:rFonts w:asciiTheme="majorBidi" w:hAnsiTheme="majorBidi" w:cstheme="majorBidi"/>
          <w:lang w:val="en-AU"/>
        </w:rPr>
      </w:pPr>
      <w:r w:rsidRPr="004C5271">
        <w:rPr>
          <w:rFonts w:asciiTheme="majorBidi" w:hAnsiTheme="majorBidi" w:cstheme="majorBidi"/>
          <w:lang w:val="en-AU"/>
        </w:rPr>
        <w:t xml:space="preserve">that aggrieved beneficiaries who are unable to pursue assets through a family provision claim may have remedies available to them under other legal doctrines, notably equitable causes of action. </w:t>
      </w:r>
    </w:p>
    <w:p w14:paraId="585E83F8" w14:textId="59E0A668" w:rsidR="0074463E" w:rsidRPr="004C5271" w:rsidRDefault="0074463E" w:rsidP="00C0478D">
      <w:pPr>
        <w:pStyle w:val="NumberlessNormalText"/>
        <w:rPr>
          <w:rFonts w:asciiTheme="majorBidi" w:hAnsiTheme="majorBidi" w:cstheme="majorBidi"/>
          <w:lang w:val="en-AU"/>
        </w:rPr>
      </w:pPr>
      <w:r w:rsidRPr="004C5271">
        <w:rPr>
          <w:rFonts w:asciiTheme="majorBidi" w:hAnsiTheme="majorBidi" w:cstheme="majorBidi"/>
          <w:lang w:val="en-AU"/>
        </w:rPr>
        <w:t>These considerations are canvassed in detail in Part 5.</w:t>
      </w:r>
      <w:r w:rsidR="003F599B" w:rsidRPr="004C5271">
        <w:rPr>
          <w:rFonts w:asciiTheme="majorBidi" w:hAnsiTheme="majorBidi" w:cstheme="majorBidi"/>
          <w:lang w:val="en-AU"/>
        </w:rPr>
        <w:t xml:space="preserve"> </w:t>
      </w:r>
      <w:r w:rsidR="00DC6829" w:rsidRPr="004C5271">
        <w:rPr>
          <w:rFonts w:asciiTheme="majorBidi" w:hAnsiTheme="majorBidi" w:cstheme="majorBidi"/>
          <w:lang w:val="en-AU"/>
        </w:rPr>
        <w:t xml:space="preserve">The Institute recommends that discussion around nationally uniform family provision </w:t>
      </w:r>
      <w:r w:rsidR="00DC6829" w:rsidRPr="004C5271">
        <w:rPr>
          <w:rFonts w:asciiTheme="majorBidi" w:hAnsiTheme="majorBidi" w:cstheme="majorBidi"/>
          <w:lang w:val="en-AU"/>
        </w:rPr>
        <w:lastRenderedPageBreak/>
        <w:t xml:space="preserve">legislation be advanced. </w:t>
      </w:r>
      <w:r w:rsidR="00DB0D36" w:rsidRPr="004C5271">
        <w:rPr>
          <w:rFonts w:asciiTheme="majorBidi" w:hAnsiTheme="majorBidi" w:cstheme="majorBidi"/>
          <w:lang w:val="en-AU"/>
        </w:rPr>
        <w:t>The Institute further recommends that decisions about the merit and form of notional estate provisions within model legislation be supported by an evaluation of</w:t>
      </w:r>
      <w:r w:rsidR="00DC6829" w:rsidRPr="004C5271">
        <w:rPr>
          <w:rFonts w:asciiTheme="majorBidi" w:hAnsiTheme="majorBidi" w:cstheme="majorBidi"/>
          <w:lang w:val="en-AU"/>
        </w:rPr>
        <w:t xml:space="preserve"> the effectiveness of </w:t>
      </w:r>
      <w:r w:rsidR="00DB0D36" w:rsidRPr="004C5271">
        <w:rPr>
          <w:rFonts w:asciiTheme="majorBidi" w:hAnsiTheme="majorBidi" w:cstheme="majorBidi"/>
          <w:lang w:val="en-AU"/>
        </w:rPr>
        <w:t xml:space="preserve">the existing </w:t>
      </w:r>
      <w:r w:rsidR="00DC6829" w:rsidRPr="004C5271">
        <w:rPr>
          <w:rFonts w:asciiTheme="majorBidi" w:hAnsiTheme="majorBidi" w:cstheme="majorBidi"/>
          <w:lang w:val="en-AU"/>
        </w:rPr>
        <w:t>New South Wales scheme</w:t>
      </w:r>
      <w:r w:rsidR="00DB0D36" w:rsidRPr="004C5271">
        <w:rPr>
          <w:rFonts w:asciiTheme="majorBidi" w:hAnsiTheme="majorBidi" w:cstheme="majorBidi"/>
          <w:lang w:val="en-AU"/>
        </w:rPr>
        <w:t xml:space="preserve"> and research on the need for reform</w:t>
      </w:r>
      <w:r w:rsidR="00DC6829" w:rsidRPr="004C5271">
        <w:rPr>
          <w:rFonts w:asciiTheme="majorBidi" w:hAnsiTheme="majorBidi" w:cstheme="majorBidi"/>
          <w:lang w:val="en-AU"/>
        </w:rPr>
        <w:t>.</w:t>
      </w:r>
    </w:p>
    <w:p w14:paraId="7038976B" w14:textId="3FB35DB3" w:rsidR="002200D8" w:rsidRPr="004C5271" w:rsidRDefault="007F5842" w:rsidP="00C0478D">
      <w:pPr>
        <w:pStyle w:val="NumberlessNormalText"/>
        <w:rPr>
          <w:rFonts w:asciiTheme="majorBidi" w:hAnsiTheme="majorBidi" w:cstheme="majorBidi"/>
          <w:lang w:val="en-AU"/>
        </w:rPr>
      </w:pPr>
      <w:r w:rsidRPr="004C5271">
        <w:rPr>
          <w:rFonts w:asciiTheme="majorBidi" w:hAnsiTheme="majorBidi" w:cstheme="majorBidi"/>
          <w:lang w:val="en-AU"/>
        </w:rPr>
        <w:t xml:space="preserve">As noted in the Issues Paper, </w:t>
      </w:r>
      <w:r w:rsidR="0074463E" w:rsidRPr="004C5271">
        <w:rPr>
          <w:rFonts w:asciiTheme="majorBidi" w:hAnsiTheme="majorBidi" w:cstheme="majorBidi"/>
          <w:lang w:val="en-AU"/>
        </w:rPr>
        <w:t>the Institute’s terms of reference are confined to the question of whether Tasmania should have notional estate laws. I</w:t>
      </w:r>
      <w:r w:rsidR="002200D8" w:rsidRPr="004C5271">
        <w:rPr>
          <w:rFonts w:asciiTheme="majorBidi" w:hAnsiTheme="majorBidi" w:cstheme="majorBidi"/>
          <w:lang w:val="en-AU"/>
        </w:rPr>
        <w:t>t is outside t</w:t>
      </w:r>
      <w:r w:rsidR="004815EE" w:rsidRPr="004C5271">
        <w:rPr>
          <w:rFonts w:asciiTheme="majorBidi" w:hAnsiTheme="majorBidi" w:cstheme="majorBidi"/>
          <w:lang w:val="en-AU"/>
        </w:rPr>
        <w:t>he</w:t>
      </w:r>
      <w:r w:rsidR="002200D8" w:rsidRPr="004C5271">
        <w:rPr>
          <w:rFonts w:asciiTheme="majorBidi" w:hAnsiTheme="majorBidi" w:cstheme="majorBidi"/>
          <w:lang w:val="en-AU"/>
        </w:rPr>
        <w:t xml:space="preserve"> </w:t>
      </w:r>
      <w:r w:rsidR="00A758D5" w:rsidRPr="004C5271">
        <w:rPr>
          <w:rFonts w:asciiTheme="majorBidi" w:hAnsiTheme="majorBidi" w:cstheme="majorBidi"/>
          <w:lang w:val="en-AU"/>
        </w:rPr>
        <w:t>s</w:t>
      </w:r>
      <w:r w:rsidR="002200D8" w:rsidRPr="004C5271">
        <w:rPr>
          <w:rFonts w:asciiTheme="majorBidi" w:hAnsiTheme="majorBidi" w:cstheme="majorBidi"/>
          <w:lang w:val="en-AU"/>
        </w:rPr>
        <w:t xml:space="preserve">cope </w:t>
      </w:r>
      <w:r w:rsidR="0074376B" w:rsidRPr="004C5271">
        <w:rPr>
          <w:rFonts w:asciiTheme="majorBidi" w:hAnsiTheme="majorBidi" w:cstheme="majorBidi"/>
          <w:lang w:val="en-AU"/>
        </w:rPr>
        <w:t xml:space="preserve">of this report </w:t>
      </w:r>
      <w:r w:rsidR="002200D8" w:rsidRPr="004C5271">
        <w:rPr>
          <w:rFonts w:asciiTheme="majorBidi" w:hAnsiTheme="majorBidi" w:cstheme="majorBidi"/>
          <w:lang w:val="en-AU"/>
        </w:rPr>
        <w:t xml:space="preserve">to consider the need for, or desirability of, other changes to the </w:t>
      </w:r>
      <w:r w:rsidR="007E547C" w:rsidRPr="004C5271">
        <w:rPr>
          <w:rFonts w:asciiTheme="majorBidi" w:hAnsiTheme="majorBidi" w:cstheme="majorBidi"/>
          <w:i/>
          <w:lang w:val="en-AU"/>
        </w:rPr>
        <w:t xml:space="preserve">TFM </w:t>
      </w:r>
      <w:r w:rsidR="00FE7253" w:rsidRPr="004C5271">
        <w:rPr>
          <w:rFonts w:asciiTheme="majorBidi" w:hAnsiTheme="majorBidi" w:cstheme="majorBidi"/>
          <w:i/>
          <w:lang w:val="en-AU"/>
        </w:rPr>
        <w:t>Act</w:t>
      </w:r>
      <w:r w:rsidR="00F14B5B" w:rsidRPr="004C5271">
        <w:rPr>
          <w:rFonts w:asciiTheme="majorBidi" w:hAnsiTheme="majorBidi" w:cstheme="majorBidi"/>
          <w:lang w:val="en-AU"/>
        </w:rPr>
        <w:t xml:space="preserve">, </w:t>
      </w:r>
      <w:r w:rsidR="00A31DC4" w:rsidRPr="004C5271">
        <w:rPr>
          <w:rFonts w:asciiTheme="majorBidi" w:hAnsiTheme="majorBidi" w:cstheme="majorBidi"/>
          <w:lang w:val="en-AU"/>
        </w:rPr>
        <w:t>other than to</w:t>
      </w:r>
      <w:r w:rsidR="00FE7253" w:rsidRPr="004C5271">
        <w:rPr>
          <w:rFonts w:asciiTheme="majorBidi" w:hAnsiTheme="majorBidi" w:cstheme="majorBidi"/>
          <w:lang w:val="en-AU"/>
        </w:rPr>
        <w:t xml:space="preserve"> consider </w:t>
      </w:r>
      <w:r w:rsidR="00A31DC4" w:rsidRPr="004C5271">
        <w:rPr>
          <w:rFonts w:asciiTheme="majorBidi" w:hAnsiTheme="majorBidi" w:cstheme="majorBidi"/>
          <w:lang w:val="en-AU"/>
        </w:rPr>
        <w:t>an</w:t>
      </w:r>
      <w:r w:rsidR="001375E3" w:rsidRPr="004C5271">
        <w:rPr>
          <w:rFonts w:asciiTheme="majorBidi" w:hAnsiTheme="majorBidi" w:cstheme="majorBidi"/>
          <w:lang w:val="en-AU"/>
        </w:rPr>
        <w:t>y</w:t>
      </w:r>
      <w:r w:rsidR="00A31DC4" w:rsidRPr="004C5271">
        <w:rPr>
          <w:rFonts w:asciiTheme="majorBidi" w:hAnsiTheme="majorBidi" w:cstheme="majorBidi"/>
          <w:lang w:val="en-AU"/>
        </w:rPr>
        <w:t xml:space="preserve"> </w:t>
      </w:r>
      <w:r w:rsidR="00FE7253" w:rsidRPr="004C5271">
        <w:rPr>
          <w:rFonts w:asciiTheme="majorBidi" w:hAnsiTheme="majorBidi" w:cstheme="majorBidi"/>
          <w:lang w:val="en-AU"/>
        </w:rPr>
        <w:t xml:space="preserve">changes </w:t>
      </w:r>
      <w:r w:rsidR="00A31DC4" w:rsidRPr="004C5271">
        <w:rPr>
          <w:rFonts w:asciiTheme="majorBidi" w:hAnsiTheme="majorBidi" w:cstheme="majorBidi"/>
          <w:lang w:val="en-AU"/>
        </w:rPr>
        <w:t>that may become necessary or desirable if notional estate legislation were introduced</w:t>
      </w:r>
      <w:r w:rsidR="00FE7253" w:rsidRPr="004C5271">
        <w:rPr>
          <w:rFonts w:asciiTheme="majorBidi" w:hAnsiTheme="majorBidi" w:cstheme="majorBidi"/>
          <w:lang w:val="en-AU"/>
        </w:rPr>
        <w:t>.</w:t>
      </w:r>
    </w:p>
    <w:p w14:paraId="2C33D963" w14:textId="5C277478" w:rsidR="003A4761" w:rsidRPr="004C5271" w:rsidRDefault="003A4761" w:rsidP="00C0478D">
      <w:pPr>
        <w:pStyle w:val="NumberlessNormalText"/>
        <w:rPr>
          <w:rFonts w:asciiTheme="majorBidi" w:hAnsiTheme="majorBidi" w:cstheme="majorBidi"/>
          <w:lang w:val="en-AU"/>
        </w:rPr>
      </w:pPr>
    </w:p>
    <w:p w14:paraId="78F18B7D" w14:textId="77777777" w:rsidR="008758F0" w:rsidRPr="004C5271" w:rsidRDefault="008758F0" w:rsidP="002C3DFE">
      <w:pPr>
        <w:pStyle w:val="PartNoTLRI"/>
        <w:numPr>
          <w:ilvl w:val="0"/>
          <w:numId w:val="1"/>
        </w:numPr>
        <w:ind w:left="0" w:firstLine="0"/>
        <w:rPr>
          <w:rFonts w:asciiTheme="majorBidi" w:hAnsiTheme="majorBidi" w:cstheme="majorBidi"/>
        </w:rPr>
        <w:sectPr w:rsidR="008758F0" w:rsidRPr="004C5271" w:rsidSect="004C5271">
          <w:headerReference w:type="even" r:id="rId33"/>
          <w:headerReference w:type="default" r:id="rId34"/>
          <w:headerReference w:type="first" r:id="rId35"/>
          <w:pgSz w:w="9979" w:h="14232" w:code="9"/>
          <w:pgMar w:top="1440" w:right="1440" w:bottom="1440" w:left="1440" w:header="709" w:footer="709" w:gutter="0"/>
          <w:pgNumType w:fmt="lowerRoman"/>
          <w:cols w:space="708"/>
          <w:titlePg/>
          <w:docGrid w:linePitch="360"/>
        </w:sectPr>
      </w:pPr>
      <w:bookmarkStart w:id="22" w:name="_Toc2256846"/>
      <w:bookmarkStart w:id="23" w:name="_Toc91058317"/>
      <w:bookmarkStart w:id="24" w:name="_Toc93466587"/>
      <w:bookmarkEnd w:id="22"/>
    </w:p>
    <w:p w14:paraId="79406D04" w14:textId="67B3D4A4" w:rsidR="002C3DFE" w:rsidRPr="004C5271" w:rsidRDefault="002C3DFE" w:rsidP="003C3780">
      <w:pPr>
        <w:pStyle w:val="PartNoTLRI"/>
      </w:pPr>
      <w:bookmarkStart w:id="25" w:name="_Toc12268928"/>
      <w:bookmarkEnd w:id="25"/>
    </w:p>
    <w:p w14:paraId="09CA7F30" w14:textId="77777777" w:rsidR="002C3DFE" w:rsidRPr="004C5271" w:rsidRDefault="002C3DFE" w:rsidP="00331520">
      <w:pPr>
        <w:pStyle w:val="PartHeadingTLRI"/>
        <w:rPr>
          <w:rFonts w:asciiTheme="majorBidi" w:hAnsiTheme="majorBidi" w:cstheme="majorBidi"/>
          <w:lang w:val="en-AU"/>
        </w:rPr>
      </w:pPr>
      <w:bookmarkStart w:id="26" w:name="_Toc12268929"/>
      <w:r w:rsidRPr="004C5271">
        <w:rPr>
          <w:rFonts w:asciiTheme="majorBidi" w:hAnsiTheme="majorBidi" w:cstheme="majorBidi"/>
          <w:lang w:val="en-AU"/>
        </w:rPr>
        <w:t>Introduction</w:t>
      </w:r>
      <w:bookmarkEnd w:id="23"/>
      <w:bookmarkEnd w:id="24"/>
      <w:bookmarkEnd w:id="26"/>
    </w:p>
    <w:p w14:paraId="70DF68B9" w14:textId="59BAA39D" w:rsidR="00DE1314" w:rsidRPr="004C5271" w:rsidRDefault="00425783" w:rsidP="00076B44">
      <w:pPr>
        <w:pStyle w:val="NumberedHeadingTLRI"/>
        <w:rPr>
          <w:rFonts w:asciiTheme="majorBidi" w:hAnsiTheme="majorBidi" w:cstheme="majorBidi"/>
          <w:lang w:val="en-AU"/>
        </w:rPr>
      </w:pPr>
      <w:bookmarkStart w:id="27" w:name="_Toc12268930"/>
      <w:r w:rsidRPr="004C5271">
        <w:rPr>
          <w:rFonts w:asciiTheme="majorBidi" w:hAnsiTheme="majorBidi" w:cstheme="majorBidi"/>
          <w:lang w:val="en-AU"/>
        </w:rPr>
        <w:t>The issue</w:t>
      </w:r>
      <w:bookmarkEnd w:id="27"/>
    </w:p>
    <w:p w14:paraId="5505790F" w14:textId="74B6DB3A" w:rsidR="00833960" w:rsidRPr="004C5271" w:rsidRDefault="00F22BE9" w:rsidP="002705FF">
      <w:pPr>
        <w:pStyle w:val="NormalNumberedTextTLRI"/>
        <w:rPr>
          <w:rFonts w:asciiTheme="majorBidi" w:hAnsiTheme="majorBidi" w:cstheme="majorBidi"/>
          <w:lang w:val="en-AU"/>
        </w:rPr>
      </w:pPr>
      <w:r w:rsidRPr="004C5271">
        <w:rPr>
          <w:rFonts w:asciiTheme="majorBidi" w:hAnsiTheme="majorBidi" w:cstheme="majorBidi"/>
          <w:lang w:val="en-AU"/>
        </w:rPr>
        <w:t xml:space="preserve">Australia </w:t>
      </w:r>
      <w:r w:rsidR="00833960" w:rsidRPr="004C5271">
        <w:rPr>
          <w:rFonts w:asciiTheme="majorBidi" w:hAnsiTheme="majorBidi" w:cstheme="majorBidi"/>
          <w:lang w:val="en-AU"/>
        </w:rPr>
        <w:t>adopt</w:t>
      </w:r>
      <w:r w:rsidRPr="004C5271">
        <w:rPr>
          <w:rFonts w:asciiTheme="majorBidi" w:hAnsiTheme="majorBidi" w:cstheme="majorBidi"/>
          <w:lang w:val="en-AU"/>
        </w:rPr>
        <w:t>s</w:t>
      </w:r>
      <w:r w:rsidR="00833960" w:rsidRPr="004C5271">
        <w:rPr>
          <w:rFonts w:asciiTheme="majorBidi" w:hAnsiTheme="majorBidi" w:cstheme="majorBidi"/>
          <w:lang w:val="en-AU"/>
        </w:rPr>
        <w:t xml:space="preserve"> a ‘freedom of testation’ model, where a person </w:t>
      </w:r>
      <w:r w:rsidR="003841AD" w:rsidRPr="004C5271">
        <w:rPr>
          <w:rFonts w:asciiTheme="majorBidi" w:hAnsiTheme="majorBidi" w:cstheme="majorBidi"/>
          <w:lang w:val="en-AU"/>
        </w:rPr>
        <w:t xml:space="preserve">with the necessary capacity to make a will </w:t>
      </w:r>
      <w:r w:rsidR="00833960" w:rsidRPr="004C5271">
        <w:rPr>
          <w:rFonts w:asciiTheme="majorBidi" w:hAnsiTheme="majorBidi" w:cstheme="majorBidi"/>
          <w:lang w:val="en-AU"/>
        </w:rPr>
        <w:t xml:space="preserve">(a </w:t>
      </w:r>
      <w:r w:rsidR="00C11D34" w:rsidRPr="004C5271">
        <w:rPr>
          <w:rFonts w:asciiTheme="majorBidi" w:hAnsiTheme="majorBidi" w:cstheme="majorBidi"/>
          <w:lang w:val="en-AU"/>
        </w:rPr>
        <w:t>‘</w:t>
      </w:r>
      <w:r w:rsidR="000B7F3C" w:rsidRPr="004C5271">
        <w:rPr>
          <w:rFonts w:asciiTheme="majorBidi" w:hAnsiTheme="majorBidi" w:cstheme="majorBidi"/>
          <w:lang w:val="en-AU"/>
        </w:rPr>
        <w:t>will-maker</w:t>
      </w:r>
      <w:r w:rsidR="00C11D34" w:rsidRPr="004C5271">
        <w:rPr>
          <w:rFonts w:asciiTheme="majorBidi" w:hAnsiTheme="majorBidi" w:cstheme="majorBidi"/>
          <w:lang w:val="en-AU"/>
        </w:rPr>
        <w:t>’</w:t>
      </w:r>
      <w:r w:rsidR="00833960" w:rsidRPr="004C5271">
        <w:rPr>
          <w:rFonts w:asciiTheme="majorBidi" w:hAnsiTheme="majorBidi" w:cstheme="majorBidi"/>
          <w:lang w:val="en-AU"/>
        </w:rPr>
        <w:t>) is free to make a will that leaves their estate to whomever they wish</w:t>
      </w:r>
      <w:r w:rsidR="003841AD" w:rsidRPr="004C5271">
        <w:rPr>
          <w:rFonts w:asciiTheme="majorBidi" w:hAnsiTheme="majorBidi" w:cstheme="majorBidi"/>
          <w:lang w:val="en-AU"/>
        </w:rPr>
        <w:t xml:space="preserve"> upon their death</w:t>
      </w:r>
      <w:r w:rsidR="00833960" w:rsidRPr="004C5271">
        <w:rPr>
          <w:rFonts w:asciiTheme="majorBidi" w:hAnsiTheme="majorBidi" w:cstheme="majorBidi"/>
          <w:lang w:val="en-AU"/>
        </w:rPr>
        <w:t xml:space="preserve">. </w:t>
      </w:r>
      <w:r w:rsidRPr="004C5271">
        <w:rPr>
          <w:rFonts w:asciiTheme="majorBidi" w:hAnsiTheme="majorBidi" w:cstheme="majorBidi"/>
          <w:lang w:val="en-AU"/>
        </w:rPr>
        <w:t>T</w:t>
      </w:r>
      <w:r w:rsidR="00833960" w:rsidRPr="004C5271">
        <w:rPr>
          <w:rFonts w:asciiTheme="majorBidi" w:hAnsiTheme="majorBidi" w:cstheme="majorBidi"/>
          <w:lang w:val="en-AU"/>
        </w:rPr>
        <w:t xml:space="preserve">here is no legal obligation </w:t>
      </w:r>
      <w:r w:rsidR="003841AD" w:rsidRPr="004C5271">
        <w:rPr>
          <w:rFonts w:asciiTheme="majorBidi" w:hAnsiTheme="majorBidi" w:cstheme="majorBidi"/>
          <w:lang w:val="en-AU"/>
        </w:rPr>
        <w:t xml:space="preserve">to </w:t>
      </w:r>
      <w:r w:rsidRPr="004C5271">
        <w:rPr>
          <w:rFonts w:asciiTheme="majorBidi" w:hAnsiTheme="majorBidi" w:cstheme="majorBidi"/>
          <w:lang w:val="en-AU"/>
        </w:rPr>
        <w:t xml:space="preserve">leave </w:t>
      </w:r>
      <w:r w:rsidR="003841AD" w:rsidRPr="004C5271">
        <w:rPr>
          <w:rFonts w:asciiTheme="majorBidi" w:hAnsiTheme="majorBidi" w:cstheme="majorBidi"/>
          <w:lang w:val="en-AU"/>
        </w:rPr>
        <w:t xml:space="preserve">any </w:t>
      </w:r>
      <w:proofErr w:type="gramStart"/>
      <w:r w:rsidR="003841AD" w:rsidRPr="004C5271">
        <w:rPr>
          <w:rFonts w:asciiTheme="majorBidi" w:hAnsiTheme="majorBidi" w:cstheme="majorBidi"/>
          <w:lang w:val="en-AU"/>
        </w:rPr>
        <w:t xml:space="preserve">particular </w:t>
      </w:r>
      <w:r w:rsidRPr="004C5271">
        <w:rPr>
          <w:rFonts w:asciiTheme="majorBidi" w:hAnsiTheme="majorBidi" w:cstheme="majorBidi"/>
          <w:lang w:val="en-AU"/>
        </w:rPr>
        <w:t>amount</w:t>
      </w:r>
      <w:proofErr w:type="gramEnd"/>
      <w:r w:rsidRPr="004C5271">
        <w:rPr>
          <w:rFonts w:asciiTheme="majorBidi" w:hAnsiTheme="majorBidi" w:cstheme="majorBidi"/>
          <w:lang w:val="en-AU"/>
        </w:rPr>
        <w:t xml:space="preserve"> or share of an estate</w:t>
      </w:r>
      <w:r w:rsidR="003841AD" w:rsidRPr="004C5271">
        <w:rPr>
          <w:rFonts w:asciiTheme="majorBidi" w:hAnsiTheme="majorBidi" w:cstheme="majorBidi"/>
          <w:lang w:val="en-AU"/>
        </w:rPr>
        <w:t xml:space="preserve"> </w:t>
      </w:r>
      <w:r w:rsidRPr="004C5271">
        <w:rPr>
          <w:rFonts w:asciiTheme="majorBidi" w:hAnsiTheme="majorBidi" w:cstheme="majorBidi"/>
          <w:lang w:val="en-AU"/>
        </w:rPr>
        <w:t>to</w:t>
      </w:r>
      <w:r w:rsidR="003841AD" w:rsidRPr="004C5271">
        <w:rPr>
          <w:rFonts w:asciiTheme="majorBidi" w:hAnsiTheme="majorBidi" w:cstheme="majorBidi"/>
          <w:lang w:val="en-AU"/>
        </w:rPr>
        <w:t xml:space="preserve"> </w:t>
      </w:r>
      <w:r w:rsidRPr="004C5271">
        <w:rPr>
          <w:rFonts w:asciiTheme="majorBidi" w:hAnsiTheme="majorBidi" w:cstheme="majorBidi"/>
          <w:lang w:val="en-AU"/>
        </w:rPr>
        <w:t>a</w:t>
      </w:r>
      <w:r w:rsidR="003841AD" w:rsidRPr="004C5271">
        <w:rPr>
          <w:rFonts w:asciiTheme="majorBidi" w:hAnsiTheme="majorBidi" w:cstheme="majorBidi"/>
          <w:lang w:val="en-AU"/>
        </w:rPr>
        <w:t xml:space="preserve"> spouse, children or other dependant. Where a person dies without a valid will, legislation sets out how </w:t>
      </w:r>
      <w:r w:rsidRPr="004C5271">
        <w:rPr>
          <w:rFonts w:asciiTheme="majorBidi" w:hAnsiTheme="majorBidi" w:cstheme="majorBidi"/>
          <w:lang w:val="en-AU"/>
        </w:rPr>
        <w:t>their</w:t>
      </w:r>
      <w:r w:rsidR="003841AD" w:rsidRPr="004C5271">
        <w:rPr>
          <w:rFonts w:asciiTheme="majorBidi" w:hAnsiTheme="majorBidi" w:cstheme="majorBidi"/>
          <w:lang w:val="en-AU"/>
        </w:rPr>
        <w:t xml:space="preserve"> estate is to be divided amongst family</w:t>
      </w:r>
      <w:r w:rsidR="008F5BC5" w:rsidRPr="004C5271">
        <w:rPr>
          <w:rFonts w:asciiTheme="majorBidi" w:hAnsiTheme="majorBidi" w:cstheme="majorBidi"/>
          <w:lang w:val="en-AU"/>
        </w:rPr>
        <w:t xml:space="preserve"> members</w:t>
      </w:r>
      <w:r w:rsidR="003841AD" w:rsidRPr="004C5271">
        <w:rPr>
          <w:rFonts w:asciiTheme="majorBidi" w:hAnsiTheme="majorBidi" w:cstheme="majorBidi"/>
          <w:lang w:val="en-AU"/>
        </w:rPr>
        <w:t>.</w:t>
      </w:r>
      <w:r w:rsidR="003841AD" w:rsidRPr="004C5271">
        <w:rPr>
          <w:rStyle w:val="FootnoteReference"/>
          <w:rFonts w:asciiTheme="majorBidi" w:hAnsiTheme="majorBidi" w:cstheme="majorBidi"/>
          <w:lang w:val="en-AU"/>
        </w:rPr>
        <w:footnoteReference w:id="8"/>
      </w:r>
    </w:p>
    <w:p w14:paraId="4E021F39" w14:textId="40E0AC55" w:rsidR="00833960" w:rsidRPr="004C5271" w:rsidRDefault="00882F91" w:rsidP="007F5F63">
      <w:pPr>
        <w:pStyle w:val="NormalNumberedTextTLRI"/>
        <w:rPr>
          <w:rFonts w:asciiTheme="majorBidi" w:hAnsiTheme="majorBidi" w:cstheme="majorBidi"/>
          <w:lang w:val="en-AU"/>
        </w:rPr>
      </w:pPr>
      <w:r w:rsidRPr="004C5271">
        <w:rPr>
          <w:rFonts w:asciiTheme="majorBidi" w:hAnsiTheme="majorBidi" w:cstheme="majorBidi"/>
          <w:lang w:val="en-AU"/>
        </w:rPr>
        <w:t xml:space="preserve">All </w:t>
      </w:r>
      <w:r w:rsidR="002745A9" w:rsidRPr="004C5271">
        <w:rPr>
          <w:rFonts w:asciiTheme="majorBidi" w:hAnsiTheme="majorBidi" w:cstheme="majorBidi"/>
          <w:lang w:val="en-AU"/>
        </w:rPr>
        <w:t>s</w:t>
      </w:r>
      <w:r w:rsidRPr="004C5271">
        <w:rPr>
          <w:rFonts w:asciiTheme="majorBidi" w:hAnsiTheme="majorBidi" w:cstheme="majorBidi"/>
          <w:lang w:val="en-AU"/>
        </w:rPr>
        <w:t xml:space="preserve">tates and </w:t>
      </w:r>
      <w:r w:rsidR="002745A9" w:rsidRPr="004C5271">
        <w:rPr>
          <w:rFonts w:asciiTheme="majorBidi" w:hAnsiTheme="majorBidi" w:cstheme="majorBidi"/>
          <w:lang w:val="en-AU"/>
        </w:rPr>
        <w:t>t</w:t>
      </w:r>
      <w:r w:rsidRPr="004C5271">
        <w:rPr>
          <w:rFonts w:asciiTheme="majorBidi" w:hAnsiTheme="majorBidi" w:cstheme="majorBidi"/>
          <w:lang w:val="en-AU"/>
        </w:rPr>
        <w:t>erritories</w:t>
      </w:r>
      <w:r w:rsidR="00F22BE9" w:rsidRPr="004C5271">
        <w:rPr>
          <w:rFonts w:asciiTheme="majorBidi" w:hAnsiTheme="majorBidi" w:cstheme="majorBidi"/>
          <w:lang w:val="en-AU"/>
        </w:rPr>
        <w:t>, however,</w:t>
      </w:r>
      <w:r w:rsidRPr="004C5271">
        <w:rPr>
          <w:rFonts w:asciiTheme="majorBidi" w:hAnsiTheme="majorBidi" w:cstheme="majorBidi"/>
          <w:lang w:val="en-AU"/>
        </w:rPr>
        <w:t xml:space="preserve"> have legislation</w:t>
      </w:r>
      <w:r w:rsidR="008F5BC5" w:rsidRPr="004C5271">
        <w:rPr>
          <w:rFonts w:asciiTheme="majorBidi" w:hAnsiTheme="majorBidi" w:cstheme="majorBidi"/>
          <w:lang w:val="en-AU"/>
        </w:rPr>
        <w:t xml:space="preserve"> </w:t>
      </w:r>
      <w:r w:rsidRPr="004C5271">
        <w:rPr>
          <w:rFonts w:asciiTheme="majorBidi" w:hAnsiTheme="majorBidi" w:cstheme="majorBidi"/>
          <w:lang w:val="en-AU"/>
        </w:rPr>
        <w:t>that allows a court to make provision</w:t>
      </w:r>
      <w:r w:rsidR="008F5BC5" w:rsidRPr="004C5271">
        <w:rPr>
          <w:rFonts w:asciiTheme="majorBidi" w:hAnsiTheme="majorBidi" w:cstheme="majorBidi"/>
          <w:lang w:val="en-AU"/>
        </w:rPr>
        <w:t xml:space="preserve"> (or additional provision)</w:t>
      </w:r>
      <w:r w:rsidRPr="004C5271">
        <w:rPr>
          <w:rFonts w:asciiTheme="majorBidi" w:hAnsiTheme="majorBidi" w:cstheme="majorBidi"/>
          <w:lang w:val="en-AU"/>
        </w:rPr>
        <w:t xml:space="preserve"> for </w:t>
      </w:r>
      <w:r w:rsidR="0071771D" w:rsidRPr="004C5271">
        <w:rPr>
          <w:rFonts w:asciiTheme="majorBidi" w:hAnsiTheme="majorBidi" w:cstheme="majorBidi"/>
          <w:lang w:val="en-AU"/>
        </w:rPr>
        <w:t>an eligible applicant</w:t>
      </w:r>
      <w:r w:rsidRPr="004C5271">
        <w:rPr>
          <w:rFonts w:asciiTheme="majorBidi" w:hAnsiTheme="majorBidi" w:cstheme="majorBidi"/>
          <w:lang w:val="en-AU"/>
        </w:rPr>
        <w:t xml:space="preserve"> where</w:t>
      </w:r>
      <w:r w:rsidR="00F62490" w:rsidRPr="004C5271">
        <w:rPr>
          <w:rFonts w:asciiTheme="majorBidi" w:hAnsiTheme="majorBidi" w:cstheme="majorBidi"/>
          <w:lang w:val="en-AU"/>
        </w:rPr>
        <w:t xml:space="preserve"> the court </w:t>
      </w:r>
      <w:r w:rsidR="00790194" w:rsidRPr="004C5271">
        <w:rPr>
          <w:rFonts w:asciiTheme="majorBidi" w:hAnsiTheme="majorBidi" w:cstheme="majorBidi"/>
          <w:lang w:val="en-AU"/>
        </w:rPr>
        <w:t>determines</w:t>
      </w:r>
      <w:r w:rsidR="00F62490" w:rsidRPr="004C5271">
        <w:rPr>
          <w:rFonts w:asciiTheme="majorBidi" w:hAnsiTheme="majorBidi" w:cstheme="majorBidi"/>
          <w:lang w:val="en-AU"/>
        </w:rPr>
        <w:t xml:space="preserve"> that</w:t>
      </w:r>
      <w:r w:rsidRPr="004C5271">
        <w:rPr>
          <w:rFonts w:asciiTheme="majorBidi" w:hAnsiTheme="majorBidi" w:cstheme="majorBidi"/>
          <w:lang w:val="en-AU"/>
        </w:rPr>
        <w:t xml:space="preserve"> </w:t>
      </w:r>
      <w:r w:rsidR="0071771D" w:rsidRPr="004C5271">
        <w:rPr>
          <w:rFonts w:asciiTheme="majorBidi" w:hAnsiTheme="majorBidi" w:cstheme="majorBidi"/>
          <w:lang w:val="en-AU"/>
        </w:rPr>
        <w:t xml:space="preserve">a </w:t>
      </w:r>
      <w:r w:rsidRPr="004C5271">
        <w:rPr>
          <w:rFonts w:asciiTheme="majorBidi" w:hAnsiTheme="majorBidi" w:cstheme="majorBidi"/>
          <w:lang w:val="en-AU"/>
        </w:rPr>
        <w:t>will</w:t>
      </w:r>
      <w:r w:rsidR="00F22BE9" w:rsidRPr="004C5271">
        <w:rPr>
          <w:rFonts w:asciiTheme="majorBidi" w:hAnsiTheme="majorBidi" w:cstheme="majorBidi"/>
          <w:lang w:val="en-AU"/>
        </w:rPr>
        <w:t xml:space="preserve">, </w:t>
      </w:r>
      <w:r w:rsidRPr="004C5271">
        <w:rPr>
          <w:rFonts w:asciiTheme="majorBidi" w:hAnsiTheme="majorBidi" w:cstheme="majorBidi"/>
          <w:lang w:val="en-AU"/>
        </w:rPr>
        <w:t xml:space="preserve">or </w:t>
      </w:r>
      <w:r w:rsidR="00A60314" w:rsidRPr="004C5271">
        <w:rPr>
          <w:rFonts w:asciiTheme="majorBidi" w:hAnsiTheme="majorBidi" w:cstheme="majorBidi"/>
          <w:lang w:val="en-AU"/>
        </w:rPr>
        <w:t>the effect of</w:t>
      </w:r>
      <w:r w:rsidRPr="004C5271">
        <w:rPr>
          <w:rFonts w:asciiTheme="majorBidi" w:hAnsiTheme="majorBidi" w:cstheme="majorBidi"/>
          <w:lang w:val="en-AU"/>
        </w:rPr>
        <w:t xml:space="preserve"> intestacy</w:t>
      </w:r>
      <w:r w:rsidR="008F5BC5" w:rsidRPr="004C5271">
        <w:rPr>
          <w:rFonts w:asciiTheme="majorBidi" w:hAnsiTheme="majorBidi" w:cstheme="majorBidi"/>
          <w:lang w:val="en-AU"/>
        </w:rPr>
        <w:t xml:space="preserve"> laws</w:t>
      </w:r>
      <w:r w:rsidR="00F22BE9" w:rsidRPr="004C5271">
        <w:rPr>
          <w:rFonts w:asciiTheme="majorBidi" w:hAnsiTheme="majorBidi" w:cstheme="majorBidi"/>
          <w:lang w:val="en-AU"/>
        </w:rPr>
        <w:t>,</w:t>
      </w:r>
      <w:r w:rsidRPr="004C5271">
        <w:rPr>
          <w:rFonts w:asciiTheme="majorBidi" w:hAnsiTheme="majorBidi" w:cstheme="majorBidi"/>
          <w:lang w:val="en-AU"/>
        </w:rPr>
        <w:t xml:space="preserve"> does not make adequate provision for </w:t>
      </w:r>
      <w:r w:rsidR="00F62490" w:rsidRPr="004C5271">
        <w:rPr>
          <w:rFonts w:asciiTheme="majorBidi" w:hAnsiTheme="majorBidi" w:cstheme="majorBidi"/>
          <w:lang w:val="en-AU"/>
        </w:rPr>
        <w:t xml:space="preserve">that </w:t>
      </w:r>
      <w:r w:rsidR="00A60314" w:rsidRPr="004C5271">
        <w:rPr>
          <w:rFonts w:asciiTheme="majorBidi" w:hAnsiTheme="majorBidi" w:cstheme="majorBidi"/>
          <w:lang w:val="en-AU"/>
        </w:rPr>
        <w:t>applicant</w:t>
      </w:r>
      <w:r w:rsidR="00F22BE9" w:rsidRPr="004C5271">
        <w:rPr>
          <w:rFonts w:asciiTheme="majorBidi" w:hAnsiTheme="majorBidi" w:cstheme="majorBidi"/>
          <w:lang w:val="en-AU"/>
        </w:rPr>
        <w:t>’s proper maintenance and support</w:t>
      </w:r>
      <w:r w:rsidR="00833960" w:rsidRPr="004C5271">
        <w:rPr>
          <w:rFonts w:asciiTheme="majorBidi" w:hAnsiTheme="majorBidi" w:cstheme="majorBidi"/>
          <w:lang w:val="en-AU"/>
        </w:rPr>
        <w:t>.</w:t>
      </w:r>
      <w:bookmarkStart w:id="28" w:name="_Ref2242859"/>
      <w:r w:rsidR="008F5BC5" w:rsidRPr="004C5271">
        <w:rPr>
          <w:rStyle w:val="FootnoteReference"/>
          <w:rFonts w:asciiTheme="majorBidi" w:hAnsiTheme="majorBidi" w:cstheme="majorBidi"/>
          <w:lang w:val="en-AU"/>
        </w:rPr>
        <w:footnoteReference w:id="9"/>
      </w:r>
      <w:bookmarkEnd w:id="28"/>
      <w:r w:rsidR="008F5BC5" w:rsidRPr="004C5271">
        <w:rPr>
          <w:rFonts w:asciiTheme="majorBidi" w:hAnsiTheme="majorBidi" w:cstheme="majorBidi"/>
          <w:lang w:val="en-AU"/>
        </w:rPr>
        <w:t xml:space="preserve"> </w:t>
      </w:r>
      <w:r w:rsidR="00EF121E" w:rsidRPr="004C5271">
        <w:rPr>
          <w:rFonts w:asciiTheme="majorBidi" w:hAnsiTheme="majorBidi" w:cstheme="majorBidi"/>
          <w:lang w:val="en-AU"/>
        </w:rPr>
        <w:t>In Tasmania, t</w:t>
      </w:r>
      <w:r w:rsidR="00833960" w:rsidRPr="004C5271">
        <w:rPr>
          <w:rFonts w:asciiTheme="majorBidi" w:hAnsiTheme="majorBidi" w:cstheme="majorBidi"/>
          <w:lang w:val="en-AU"/>
        </w:rPr>
        <w:t xml:space="preserve">hese </w:t>
      </w:r>
      <w:r w:rsidR="00F22BE9" w:rsidRPr="004C5271">
        <w:rPr>
          <w:rFonts w:asciiTheme="majorBidi" w:hAnsiTheme="majorBidi" w:cstheme="majorBidi"/>
          <w:lang w:val="en-AU"/>
        </w:rPr>
        <w:t xml:space="preserve">laws are contained in </w:t>
      </w:r>
      <w:r w:rsidR="00EF121E" w:rsidRPr="004C5271">
        <w:rPr>
          <w:rFonts w:asciiTheme="majorBidi" w:hAnsiTheme="majorBidi" w:cstheme="majorBidi"/>
          <w:lang w:val="en-AU"/>
        </w:rPr>
        <w:t xml:space="preserve">the </w:t>
      </w:r>
      <w:r w:rsidR="00833960" w:rsidRPr="004C5271">
        <w:rPr>
          <w:rFonts w:asciiTheme="majorBidi" w:hAnsiTheme="majorBidi" w:cstheme="majorBidi"/>
          <w:i/>
          <w:iCs/>
          <w:lang w:val="en-AU"/>
        </w:rPr>
        <w:t>Testator’s Family Maintenance Act 1912</w:t>
      </w:r>
      <w:r w:rsidR="00833960" w:rsidRPr="004C5271">
        <w:rPr>
          <w:rFonts w:asciiTheme="majorBidi" w:hAnsiTheme="majorBidi" w:cstheme="majorBidi"/>
          <w:lang w:val="en-AU"/>
        </w:rPr>
        <w:t xml:space="preserve"> (Tas) </w:t>
      </w:r>
      <w:r w:rsidR="00F15E1B" w:rsidRPr="004C5271">
        <w:rPr>
          <w:rFonts w:asciiTheme="majorBidi" w:hAnsiTheme="majorBidi" w:cstheme="majorBidi"/>
          <w:lang w:val="en-AU"/>
        </w:rPr>
        <w:t>(</w:t>
      </w:r>
      <w:r w:rsidR="009E7E2C" w:rsidRPr="004C5271">
        <w:rPr>
          <w:rFonts w:asciiTheme="majorBidi" w:hAnsiTheme="majorBidi" w:cstheme="majorBidi"/>
          <w:lang w:val="en-AU"/>
        </w:rPr>
        <w:t>‘</w:t>
      </w:r>
      <w:r w:rsidR="002437FC" w:rsidRPr="004C5271">
        <w:rPr>
          <w:rFonts w:asciiTheme="majorBidi" w:hAnsiTheme="majorBidi" w:cstheme="majorBidi"/>
          <w:i/>
          <w:lang w:val="en-AU"/>
        </w:rPr>
        <w:t xml:space="preserve">TFM </w:t>
      </w:r>
      <w:r w:rsidR="00F15E1B" w:rsidRPr="004C5271">
        <w:rPr>
          <w:rFonts w:asciiTheme="majorBidi" w:hAnsiTheme="majorBidi" w:cstheme="majorBidi"/>
          <w:i/>
          <w:lang w:val="en-AU"/>
        </w:rPr>
        <w:t>Act</w:t>
      </w:r>
      <w:r w:rsidR="00F15E1B" w:rsidRPr="004C5271">
        <w:rPr>
          <w:rFonts w:asciiTheme="majorBidi" w:hAnsiTheme="majorBidi" w:cstheme="majorBidi"/>
          <w:lang w:val="en-AU"/>
        </w:rPr>
        <w:t>’)</w:t>
      </w:r>
      <w:r w:rsidR="00633A71" w:rsidRPr="004C5271">
        <w:rPr>
          <w:rFonts w:asciiTheme="majorBidi" w:hAnsiTheme="majorBidi" w:cstheme="majorBidi"/>
          <w:lang w:val="en-AU"/>
        </w:rPr>
        <w:t xml:space="preserve">. Claims </w:t>
      </w:r>
      <w:r w:rsidR="00EF121E" w:rsidRPr="004C5271">
        <w:rPr>
          <w:rFonts w:asciiTheme="majorBidi" w:hAnsiTheme="majorBidi" w:cstheme="majorBidi"/>
          <w:lang w:val="en-AU"/>
        </w:rPr>
        <w:t xml:space="preserve">are </w:t>
      </w:r>
      <w:r w:rsidR="00833960" w:rsidRPr="004C5271">
        <w:rPr>
          <w:rFonts w:asciiTheme="majorBidi" w:hAnsiTheme="majorBidi" w:cstheme="majorBidi"/>
          <w:lang w:val="en-AU"/>
        </w:rPr>
        <w:t xml:space="preserve">commonly </w:t>
      </w:r>
      <w:r w:rsidR="00EF121E" w:rsidRPr="004C5271">
        <w:rPr>
          <w:rFonts w:asciiTheme="majorBidi" w:hAnsiTheme="majorBidi" w:cstheme="majorBidi"/>
          <w:lang w:val="en-AU"/>
        </w:rPr>
        <w:t xml:space="preserve">known as </w:t>
      </w:r>
      <w:r w:rsidR="00A12593" w:rsidRPr="004C5271">
        <w:rPr>
          <w:rFonts w:asciiTheme="majorBidi" w:hAnsiTheme="majorBidi" w:cstheme="majorBidi"/>
          <w:lang w:val="en-AU"/>
        </w:rPr>
        <w:t>‘</w:t>
      </w:r>
      <w:r w:rsidR="00EF121E" w:rsidRPr="004C5271">
        <w:rPr>
          <w:rFonts w:asciiTheme="majorBidi" w:hAnsiTheme="majorBidi" w:cstheme="majorBidi"/>
          <w:lang w:val="en-AU"/>
        </w:rPr>
        <w:t>family provision</w:t>
      </w:r>
      <w:r w:rsidR="00A12593" w:rsidRPr="004C5271">
        <w:rPr>
          <w:rFonts w:asciiTheme="majorBidi" w:hAnsiTheme="majorBidi" w:cstheme="majorBidi"/>
          <w:lang w:val="en-AU"/>
        </w:rPr>
        <w:t>’</w:t>
      </w:r>
      <w:r w:rsidR="00EF121E" w:rsidRPr="004C5271">
        <w:rPr>
          <w:rFonts w:asciiTheme="majorBidi" w:hAnsiTheme="majorBidi" w:cstheme="majorBidi"/>
          <w:lang w:val="en-AU"/>
        </w:rPr>
        <w:t xml:space="preserve"> or </w:t>
      </w:r>
      <w:r w:rsidR="00A12593" w:rsidRPr="004C5271">
        <w:rPr>
          <w:rFonts w:asciiTheme="majorBidi" w:hAnsiTheme="majorBidi" w:cstheme="majorBidi"/>
          <w:lang w:val="en-AU"/>
        </w:rPr>
        <w:t>‘</w:t>
      </w:r>
      <w:r w:rsidR="00833960" w:rsidRPr="004C5271">
        <w:rPr>
          <w:rFonts w:asciiTheme="majorBidi" w:hAnsiTheme="majorBidi" w:cstheme="majorBidi"/>
          <w:lang w:val="en-AU"/>
        </w:rPr>
        <w:t>TFM</w:t>
      </w:r>
      <w:r w:rsidR="00A12593" w:rsidRPr="004C5271">
        <w:rPr>
          <w:rFonts w:asciiTheme="majorBidi" w:hAnsiTheme="majorBidi" w:cstheme="majorBidi"/>
          <w:lang w:val="en-AU"/>
        </w:rPr>
        <w:t>’</w:t>
      </w:r>
      <w:r w:rsidR="00833960" w:rsidRPr="004C5271">
        <w:rPr>
          <w:rFonts w:asciiTheme="majorBidi" w:hAnsiTheme="majorBidi" w:cstheme="majorBidi"/>
          <w:lang w:val="en-AU"/>
        </w:rPr>
        <w:t xml:space="preserve"> claim</w:t>
      </w:r>
      <w:r w:rsidR="00EF121E" w:rsidRPr="004C5271">
        <w:rPr>
          <w:rFonts w:asciiTheme="majorBidi" w:hAnsiTheme="majorBidi" w:cstheme="majorBidi"/>
          <w:lang w:val="en-AU"/>
        </w:rPr>
        <w:t>s</w:t>
      </w:r>
      <w:r w:rsidR="00833960" w:rsidRPr="004C5271">
        <w:rPr>
          <w:rFonts w:asciiTheme="majorBidi" w:hAnsiTheme="majorBidi" w:cstheme="majorBidi"/>
          <w:lang w:val="en-AU"/>
        </w:rPr>
        <w:t>.</w:t>
      </w:r>
    </w:p>
    <w:p w14:paraId="4274A154" w14:textId="105A297D" w:rsidR="00A60314" w:rsidRPr="004C5271" w:rsidRDefault="00791267" w:rsidP="00607671">
      <w:pPr>
        <w:pStyle w:val="NormalNumberedTextTLRI"/>
        <w:rPr>
          <w:rFonts w:asciiTheme="majorBidi" w:hAnsiTheme="majorBidi" w:cstheme="majorBidi"/>
          <w:lang w:val="en-AU"/>
        </w:rPr>
      </w:pPr>
      <w:r w:rsidRPr="004C5271">
        <w:rPr>
          <w:rFonts w:asciiTheme="majorBidi" w:hAnsiTheme="majorBidi" w:cstheme="majorBidi"/>
          <w:lang w:val="en-AU"/>
        </w:rPr>
        <w:t>O</w:t>
      </w:r>
      <w:r w:rsidR="00882F91" w:rsidRPr="004C5271">
        <w:rPr>
          <w:rFonts w:asciiTheme="majorBidi" w:hAnsiTheme="majorBidi" w:cstheme="majorBidi"/>
          <w:lang w:val="en-AU"/>
        </w:rPr>
        <w:t xml:space="preserve">nly those assets that are </w:t>
      </w:r>
      <w:r w:rsidR="008F5BC5" w:rsidRPr="004C5271">
        <w:rPr>
          <w:rFonts w:asciiTheme="majorBidi" w:hAnsiTheme="majorBidi" w:cstheme="majorBidi"/>
          <w:lang w:val="en-AU"/>
        </w:rPr>
        <w:t>part of</w:t>
      </w:r>
      <w:r w:rsidR="00882F91" w:rsidRPr="004C5271">
        <w:rPr>
          <w:rFonts w:asciiTheme="majorBidi" w:hAnsiTheme="majorBidi" w:cstheme="majorBidi"/>
          <w:lang w:val="en-AU"/>
        </w:rPr>
        <w:t xml:space="preserve"> the </w:t>
      </w:r>
      <w:r w:rsidR="008F5BC5" w:rsidRPr="004C5271">
        <w:rPr>
          <w:rFonts w:asciiTheme="majorBidi" w:hAnsiTheme="majorBidi" w:cstheme="majorBidi"/>
          <w:lang w:val="en-AU"/>
        </w:rPr>
        <w:t>deceased’s ‘</w:t>
      </w:r>
      <w:r w:rsidR="00882F91" w:rsidRPr="004C5271">
        <w:rPr>
          <w:rFonts w:asciiTheme="majorBidi" w:hAnsiTheme="majorBidi" w:cstheme="majorBidi"/>
          <w:lang w:val="en-AU"/>
        </w:rPr>
        <w:t>estate</w:t>
      </w:r>
      <w:r w:rsidR="008F5BC5" w:rsidRPr="004C5271">
        <w:rPr>
          <w:rFonts w:asciiTheme="majorBidi" w:hAnsiTheme="majorBidi" w:cstheme="majorBidi"/>
          <w:lang w:val="en-AU"/>
        </w:rPr>
        <w:t>’</w:t>
      </w:r>
      <w:r w:rsidR="00882F91" w:rsidRPr="004C5271">
        <w:rPr>
          <w:rFonts w:asciiTheme="majorBidi" w:hAnsiTheme="majorBidi" w:cstheme="majorBidi"/>
          <w:lang w:val="en-AU"/>
        </w:rPr>
        <w:t xml:space="preserve"> can be used to </w:t>
      </w:r>
      <w:r w:rsidR="00A60314" w:rsidRPr="004C5271">
        <w:rPr>
          <w:rFonts w:asciiTheme="majorBidi" w:hAnsiTheme="majorBidi" w:cstheme="majorBidi"/>
          <w:lang w:val="en-AU"/>
        </w:rPr>
        <w:t>fund</w:t>
      </w:r>
      <w:r w:rsidR="00882F91" w:rsidRPr="004C5271">
        <w:rPr>
          <w:rFonts w:asciiTheme="majorBidi" w:hAnsiTheme="majorBidi" w:cstheme="majorBidi"/>
          <w:lang w:val="en-AU"/>
        </w:rPr>
        <w:t xml:space="preserve"> </w:t>
      </w:r>
      <w:r w:rsidR="008F5BC5" w:rsidRPr="004C5271">
        <w:rPr>
          <w:rFonts w:asciiTheme="majorBidi" w:hAnsiTheme="majorBidi" w:cstheme="majorBidi"/>
          <w:lang w:val="en-AU"/>
        </w:rPr>
        <w:t>a</w:t>
      </w:r>
      <w:r w:rsidR="00833960" w:rsidRPr="004C5271">
        <w:rPr>
          <w:rFonts w:asciiTheme="majorBidi" w:hAnsiTheme="majorBidi" w:cstheme="majorBidi"/>
          <w:lang w:val="en-AU"/>
        </w:rPr>
        <w:t xml:space="preserve"> successful </w:t>
      </w:r>
      <w:r w:rsidR="008F5BC5" w:rsidRPr="004C5271">
        <w:rPr>
          <w:rFonts w:asciiTheme="majorBidi" w:hAnsiTheme="majorBidi" w:cstheme="majorBidi"/>
          <w:lang w:val="en-AU"/>
        </w:rPr>
        <w:t>claim</w:t>
      </w:r>
      <w:r w:rsidR="00882F91" w:rsidRPr="004C5271">
        <w:rPr>
          <w:rFonts w:asciiTheme="majorBidi" w:hAnsiTheme="majorBidi" w:cstheme="majorBidi"/>
          <w:lang w:val="en-AU"/>
        </w:rPr>
        <w:t>.</w:t>
      </w:r>
      <w:r w:rsidR="00AD1F5E" w:rsidRPr="004C5271">
        <w:rPr>
          <w:rStyle w:val="FootnoteReference"/>
          <w:rFonts w:asciiTheme="majorBidi" w:hAnsiTheme="majorBidi" w:cstheme="majorBidi"/>
          <w:lang w:val="en-AU"/>
        </w:rPr>
        <w:footnoteReference w:id="10"/>
      </w:r>
      <w:r w:rsidR="00882F91" w:rsidRPr="004C5271">
        <w:rPr>
          <w:rFonts w:asciiTheme="majorBidi" w:hAnsiTheme="majorBidi" w:cstheme="majorBidi"/>
          <w:lang w:val="en-AU"/>
        </w:rPr>
        <w:t xml:space="preserve"> </w:t>
      </w:r>
      <w:r w:rsidR="00AD1F5E" w:rsidRPr="004C5271">
        <w:rPr>
          <w:rFonts w:asciiTheme="majorBidi" w:hAnsiTheme="majorBidi" w:cstheme="majorBidi"/>
          <w:lang w:val="en-AU"/>
        </w:rPr>
        <w:t>Broadly speaking, t</w:t>
      </w:r>
      <w:r w:rsidR="00833960" w:rsidRPr="004C5271">
        <w:rPr>
          <w:rFonts w:asciiTheme="majorBidi" w:hAnsiTheme="majorBidi" w:cstheme="majorBidi"/>
          <w:lang w:val="en-AU"/>
        </w:rPr>
        <w:t xml:space="preserve">his includes assets </w:t>
      </w:r>
      <w:r w:rsidR="00F22BE9" w:rsidRPr="004C5271">
        <w:rPr>
          <w:rFonts w:asciiTheme="majorBidi" w:hAnsiTheme="majorBidi" w:cstheme="majorBidi"/>
          <w:lang w:val="en-AU"/>
        </w:rPr>
        <w:t xml:space="preserve">that the </w:t>
      </w:r>
      <w:r w:rsidR="00F22BE9" w:rsidRPr="004C5271">
        <w:rPr>
          <w:rFonts w:asciiTheme="majorBidi" w:hAnsiTheme="majorBidi" w:cstheme="majorBidi"/>
          <w:lang w:val="en-AU"/>
        </w:rPr>
        <w:lastRenderedPageBreak/>
        <w:t>deceased possessed or was entitled to at their death</w:t>
      </w:r>
      <w:r w:rsidR="00833960" w:rsidRPr="004C5271">
        <w:rPr>
          <w:rFonts w:asciiTheme="majorBidi" w:hAnsiTheme="majorBidi" w:cstheme="majorBidi"/>
          <w:lang w:val="en-AU"/>
        </w:rPr>
        <w:t>.</w:t>
      </w:r>
      <w:r w:rsidR="00DD1FB0" w:rsidRPr="004C5271">
        <w:rPr>
          <w:rStyle w:val="FootnoteReference"/>
          <w:rFonts w:asciiTheme="majorBidi" w:hAnsiTheme="majorBidi" w:cstheme="majorBidi"/>
          <w:lang w:val="en-AU"/>
        </w:rPr>
        <w:footnoteReference w:id="11"/>
      </w:r>
      <w:r w:rsidR="00833960" w:rsidRPr="004C5271">
        <w:rPr>
          <w:rFonts w:asciiTheme="majorBidi" w:hAnsiTheme="majorBidi" w:cstheme="majorBidi"/>
          <w:lang w:val="en-AU"/>
        </w:rPr>
        <w:t xml:space="preserve"> </w:t>
      </w:r>
      <w:r w:rsidR="00A60314" w:rsidRPr="004C5271">
        <w:rPr>
          <w:rFonts w:asciiTheme="majorBidi" w:hAnsiTheme="majorBidi" w:cstheme="majorBidi"/>
          <w:lang w:val="en-AU"/>
        </w:rPr>
        <w:t xml:space="preserve">There are many instances where assets that might be </w:t>
      </w:r>
      <w:r w:rsidR="00F22BE9" w:rsidRPr="004C5271">
        <w:rPr>
          <w:rFonts w:asciiTheme="majorBidi" w:hAnsiTheme="majorBidi" w:cstheme="majorBidi"/>
          <w:lang w:val="en-AU"/>
        </w:rPr>
        <w:t>viewed as the deceased’s</w:t>
      </w:r>
      <w:r w:rsidR="00833960" w:rsidRPr="004C5271">
        <w:rPr>
          <w:rFonts w:asciiTheme="majorBidi" w:hAnsiTheme="majorBidi" w:cstheme="majorBidi"/>
          <w:lang w:val="en-AU"/>
        </w:rPr>
        <w:t xml:space="preserve"> </w:t>
      </w:r>
      <w:r w:rsidR="00A60314" w:rsidRPr="004C5271">
        <w:rPr>
          <w:rFonts w:asciiTheme="majorBidi" w:hAnsiTheme="majorBidi" w:cstheme="majorBidi"/>
          <w:lang w:val="en-AU"/>
        </w:rPr>
        <w:t>are not</w:t>
      </w:r>
      <w:r w:rsidR="00833960" w:rsidRPr="004C5271">
        <w:rPr>
          <w:rFonts w:asciiTheme="majorBidi" w:hAnsiTheme="majorBidi" w:cstheme="majorBidi"/>
          <w:lang w:val="en-AU"/>
        </w:rPr>
        <w:t>,</w:t>
      </w:r>
      <w:r w:rsidR="00A60314" w:rsidRPr="004C5271">
        <w:rPr>
          <w:rFonts w:asciiTheme="majorBidi" w:hAnsiTheme="majorBidi" w:cstheme="majorBidi"/>
          <w:lang w:val="en-AU"/>
        </w:rPr>
        <w:t xml:space="preserve"> in fact</w:t>
      </w:r>
      <w:r w:rsidR="00833960" w:rsidRPr="004C5271">
        <w:rPr>
          <w:rFonts w:asciiTheme="majorBidi" w:hAnsiTheme="majorBidi" w:cstheme="majorBidi"/>
          <w:lang w:val="en-AU"/>
        </w:rPr>
        <w:t>,</w:t>
      </w:r>
      <w:r w:rsidR="00A60314" w:rsidRPr="004C5271">
        <w:rPr>
          <w:rFonts w:asciiTheme="majorBidi" w:hAnsiTheme="majorBidi" w:cstheme="majorBidi"/>
          <w:lang w:val="en-AU"/>
        </w:rPr>
        <w:t xml:space="preserve"> </w:t>
      </w:r>
      <w:r w:rsidR="00F22BE9" w:rsidRPr="004C5271">
        <w:rPr>
          <w:rFonts w:asciiTheme="majorBidi" w:hAnsiTheme="majorBidi" w:cstheme="majorBidi"/>
          <w:lang w:val="en-AU"/>
        </w:rPr>
        <w:t>part of</w:t>
      </w:r>
      <w:r w:rsidR="00A60314" w:rsidRPr="004C5271">
        <w:rPr>
          <w:rFonts w:asciiTheme="majorBidi" w:hAnsiTheme="majorBidi" w:cstheme="majorBidi"/>
          <w:lang w:val="en-AU"/>
        </w:rPr>
        <w:t xml:space="preserve"> their e</w:t>
      </w:r>
      <w:r w:rsidR="00AD1F5E" w:rsidRPr="004C5271">
        <w:rPr>
          <w:rFonts w:asciiTheme="majorBidi" w:hAnsiTheme="majorBidi" w:cstheme="majorBidi"/>
          <w:lang w:val="en-AU"/>
        </w:rPr>
        <w:t>state.</w:t>
      </w:r>
      <w:r w:rsidR="00A60314" w:rsidRPr="004C5271">
        <w:rPr>
          <w:rFonts w:asciiTheme="majorBidi" w:hAnsiTheme="majorBidi" w:cstheme="majorBidi"/>
          <w:lang w:val="en-AU"/>
        </w:rPr>
        <w:t xml:space="preserve"> This includes assets </w:t>
      </w:r>
      <w:r w:rsidR="00833960" w:rsidRPr="004C5271">
        <w:rPr>
          <w:rFonts w:asciiTheme="majorBidi" w:hAnsiTheme="majorBidi" w:cstheme="majorBidi"/>
          <w:lang w:val="en-AU"/>
        </w:rPr>
        <w:t>owned</w:t>
      </w:r>
      <w:r w:rsidR="00A60314" w:rsidRPr="004C5271">
        <w:rPr>
          <w:rFonts w:asciiTheme="majorBidi" w:hAnsiTheme="majorBidi" w:cstheme="majorBidi"/>
          <w:lang w:val="en-AU"/>
        </w:rPr>
        <w:t xml:space="preserve"> with </w:t>
      </w:r>
      <w:r w:rsidR="00C0106B" w:rsidRPr="004C5271">
        <w:rPr>
          <w:rFonts w:asciiTheme="majorBidi" w:hAnsiTheme="majorBidi" w:cstheme="majorBidi"/>
          <w:lang w:val="en-AU"/>
        </w:rPr>
        <w:t>others</w:t>
      </w:r>
      <w:r w:rsidR="00A60314" w:rsidRPr="004C5271">
        <w:rPr>
          <w:rFonts w:asciiTheme="majorBidi" w:hAnsiTheme="majorBidi" w:cstheme="majorBidi"/>
          <w:lang w:val="en-AU"/>
        </w:rPr>
        <w:t xml:space="preserve"> as </w:t>
      </w:r>
      <w:r w:rsidR="00F22BE9" w:rsidRPr="004C5271">
        <w:rPr>
          <w:rFonts w:asciiTheme="majorBidi" w:hAnsiTheme="majorBidi" w:cstheme="majorBidi"/>
          <w:lang w:val="en-AU"/>
        </w:rPr>
        <w:t xml:space="preserve">a </w:t>
      </w:r>
      <w:r w:rsidR="00A60314" w:rsidRPr="004C5271">
        <w:rPr>
          <w:rFonts w:asciiTheme="majorBidi" w:hAnsiTheme="majorBidi" w:cstheme="majorBidi"/>
          <w:lang w:val="en-AU"/>
        </w:rPr>
        <w:t xml:space="preserve">joint tenant, </w:t>
      </w:r>
      <w:r w:rsidRPr="004C5271">
        <w:rPr>
          <w:rFonts w:asciiTheme="majorBidi" w:hAnsiTheme="majorBidi" w:cstheme="majorBidi"/>
          <w:lang w:val="en-AU"/>
        </w:rPr>
        <w:t xml:space="preserve">assets held in </w:t>
      </w:r>
      <w:r w:rsidR="00C0106B" w:rsidRPr="004C5271">
        <w:rPr>
          <w:rFonts w:asciiTheme="majorBidi" w:hAnsiTheme="majorBidi" w:cstheme="majorBidi"/>
          <w:lang w:val="en-AU"/>
        </w:rPr>
        <w:t>trust</w:t>
      </w:r>
      <w:r w:rsidRPr="004C5271">
        <w:rPr>
          <w:rFonts w:asciiTheme="majorBidi" w:hAnsiTheme="majorBidi" w:cstheme="majorBidi"/>
          <w:lang w:val="en-AU"/>
        </w:rPr>
        <w:t>s</w:t>
      </w:r>
      <w:r w:rsidR="00C0106B" w:rsidRPr="004C5271">
        <w:rPr>
          <w:rFonts w:asciiTheme="majorBidi" w:hAnsiTheme="majorBidi" w:cstheme="majorBidi"/>
          <w:lang w:val="en-AU"/>
        </w:rPr>
        <w:t xml:space="preserve"> </w:t>
      </w:r>
      <w:r w:rsidR="000A36E8" w:rsidRPr="004C5271">
        <w:rPr>
          <w:rFonts w:asciiTheme="majorBidi" w:hAnsiTheme="majorBidi" w:cstheme="majorBidi"/>
          <w:lang w:val="en-AU"/>
        </w:rPr>
        <w:t>and, in some instances, superannuation</w:t>
      </w:r>
      <w:r w:rsidR="00F22BE9" w:rsidRPr="004C5271">
        <w:rPr>
          <w:rFonts w:asciiTheme="majorBidi" w:hAnsiTheme="majorBidi" w:cstheme="majorBidi"/>
          <w:lang w:val="en-AU"/>
        </w:rPr>
        <w:t xml:space="preserve"> or the proceeds of a life insurance policy</w:t>
      </w:r>
      <w:r w:rsidR="00A60314" w:rsidRPr="004C5271">
        <w:rPr>
          <w:rFonts w:asciiTheme="majorBidi" w:hAnsiTheme="majorBidi" w:cstheme="majorBidi"/>
          <w:lang w:val="en-AU"/>
        </w:rPr>
        <w:t xml:space="preserve">. A person may also </w:t>
      </w:r>
      <w:r w:rsidR="00D53D5C" w:rsidRPr="004C5271">
        <w:rPr>
          <w:rFonts w:asciiTheme="majorBidi" w:hAnsiTheme="majorBidi" w:cstheme="majorBidi"/>
          <w:lang w:val="en-AU"/>
        </w:rPr>
        <w:t xml:space="preserve">validly </w:t>
      </w:r>
      <w:r w:rsidR="00A60314" w:rsidRPr="004C5271">
        <w:rPr>
          <w:rFonts w:asciiTheme="majorBidi" w:hAnsiTheme="majorBidi" w:cstheme="majorBidi"/>
          <w:lang w:val="en-AU"/>
        </w:rPr>
        <w:t>gift</w:t>
      </w:r>
      <w:r w:rsidR="00F22BE9" w:rsidRPr="004C5271">
        <w:rPr>
          <w:rFonts w:asciiTheme="majorBidi" w:hAnsiTheme="majorBidi" w:cstheme="majorBidi"/>
          <w:lang w:val="en-AU"/>
        </w:rPr>
        <w:t xml:space="preserve"> assets prior to death</w:t>
      </w:r>
      <w:r w:rsidR="00D53D5C" w:rsidRPr="004C5271">
        <w:rPr>
          <w:rFonts w:asciiTheme="majorBidi" w:hAnsiTheme="majorBidi" w:cstheme="majorBidi"/>
          <w:lang w:val="en-AU"/>
        </w:rPr>
        <w:t xml:space="preserve"> with the effect that they then cease to form part of their estate</w:t>
      </w:r>
      <w:r w:rsidR="00A60314" w:rsidRPr="004C5271">
        <w:rPr>
          <w:rFonts w:asciiTheme="majorBidi" w:hAnsiTheme="majorBidi" w:cstheme="majorBidi"/>
          <w:lang w:val="en-AU"/>
        </w:rPr>
        <w:t xml:space="preserve">. </w:t>
      </w:r>
      <w:r w:rsidR="00633A71" w:rsidRPr="004C5271">
        <w:rPr>
          <w:rFonts w:asciiTheme="majorBidi" w:hAnsiTheme="majorBidi" w:cstheme="majorBidi"/>
          <w:lang w:val="en-AU"/>
        </w:rPr>
        <w:t xml:space="preserve">It is immaterial </w:t>
      </w:r>
      <w:proofErr w:type="gramStart"/>
      <w:r w:rsidR="00633A71" w:rsidRPr="004C5271">
        <w:rPr>
          <w:rFonts w:asciiTheme="majorBidi" w:hAnsiTheme="majorBidi" w:cstheme="majorBidi"/>
          <w:lang w:val="en-AU"/>
        </w:rPr>
        <w:t>whether or not</w:t>
      </w:r>
      <w:proofErr w:type="gramEnd"/>
      <w:r w:rsidR="00633A71" w:rsidRPr="004C5271">
        <w:rPr>
          <w:rFonts w:asciiTheme="majorBidi" w:hAnsiTheme="majorBidi" w:cstheme="majorBidi"/>
          <w:lang w:val="en-AU"/>
        </w:rPr>
        <w:t xml:space="preserve"> those gifts </w:t>
      </w:r>
      <w:r w:rsidR="0074463E" w:rsidRPr="004C5271">
        <w:rPr>
          <w:rFonts w:asciiTheme="majorBidi" w:hAnsiTheme="majorBidi" w:cstheme="majorBidi"/>
          <w:lang w:val="en-AU"/>
        </w:rPr>
        <w:t xml:space="preserve">or arrangements </w:t>
      </w:r>
      <w:r w:rsidR="00633A71" w:rsidRPr="004C5271">
        <w:rPr>
          <w:rFonts w:asciiTheme="majorBidi" w:hAnsiTheme="majorBidi" w:cstheme="majorBidi"/>
          <w:lang w:val="en-AU"/>
        </w:rPr>
        <w:t>are made prior to death with the intention of defeating a potential family provision claim.</w:t>
      </w:r>
    </w:p>
    <w:p w14:paraId="51293E26" w14:textId="055D13B7" w:rsidR="00D53D5C" w:rsidRPr="004C5271" w:rsidRDefault="00A60314" w:rsidP="00D53D5C">
      <w:pPr>
        <w:pStyle w:val="NormalNumberedTextTLRI"/>
        <w:rPr>
          <w:rFonts w:asciiTheme="majorBidi" w:hAnsiTheme="majorBidi" w:cstheme="majorBidi"/>
          <w:lang w:val="en-AU"/>
        </w:rPr>
      </w:pPr>
      <w:r w:rsidRPr="004C5271">
        <w:rPr>
          <w:rFonts w:asciiTheme="majorBidi" w:hAnsiTheme="majorBidi" w:cstheme="majorBidi"/>
          <w:lang w:val="en-AU"/>
        </w:rPr>
        <w:t xml:space="preserve">Legislation in New South Wales </w:t>
      </w:r>
      <w:r w:rsidR="00AD1F5E" w:rsidRPr="004C5271">
        <w:rPr>
          <w:rFonts w:asciiTheme="majorBidi" w:hAnsiTheme="majorBidi" w:cstheme="majorBidi"/>
          <w:lang w:val="en-AU"/>
        </w:rPr>
        <w:t>enables the court to</w:t>
      </w:r>
      <w:r w:rsidRPr="004C5271">
        <w:rPr>
          <w:rFonts w:asciiTheme="majorBidi" w:hAnsiTheme="majorBidi" w:cstheme="majorBidi"/>
          <w:lang w:val="en-AU"/>
        </w:rPr>
        <w:t xml:space="preserve"> deem assets</w:t>
      </w:r>
      <w:r w:rsidR="00AD1F5E" w:rsidRPr="004C5271">
        <w:rPr>
          <w:rFonts w:asciiTheme="majorBidi" w:hAnsiTheme="majorBidi" w:cstheme="majorBidi"/>
          <w:lang w:val="en-AU"/>
        </w:rPr>
        <w:t xml:space="preserve"> </w:t>
      </w:r>
      <w:r w:rsidR="00E6621B" w:rsidRPr="004C5271">
        <w:rPr>
          <w:rFonts w:asciiTheme="majorBidi" w:hAnsiTheme="majorBidi" w:cstheme="majorBidi"/>
          <w:lang w:val="en-AU"/>
        </w:rPr>
        <w:t>outside</w:t>
      </w:r>
      <w:r w:rsidR="00AD1F5E" w:rsidRPr="004C5271">
        <w:rPr>
          <w:rFonts w:asciiTheme="majorBidi" w:hAnsiTheme="majorBidi" w:cstheme="majorBidi"/>
          <w:lang w:val="en-AU"/>
        </w:rPr>
        <w:t xml:space="preserve"> of </w:t>
      </w:r>
      <w:r w:rsidR="00E6621B" w:rsidRPr="004C5271">
        <w:rPr>
          <w:rFonts w:asciiTheme="majorBidi" w:hAnsiTheme="majorBidi" w:cstheme="majorBidi"/>
          <w:lang w:val="en-AU"/>
        </w:rPr>
        <w:t>an</w:t>
      </w:r>
      <w:r w:rsidR="00AD1F5E" w:rsidRPr="004C5271">
        <w:rPr>
          <w:rFonts w:asciiTheme="majorBidi" w:hAnsiTheme="majorBidi" w:cstheme="majorBidi"/>
          <w:lang w:val="en-AU"/>
        </w:rPr>
        <w:t xml:space="preserve"> estate</w:t>
      </w:r>
      <w:r w:rsidR="00833960" w:rsidRPr="004C5271">
        <w:rPr>
          <w:rFonts w:asciiTheme="majorBidi" w:hAnsiTheme="majorBidi" w:cstheme="majorBidi"/>
          <w:lang w:val="en-AU"/>
        </w:rPr>
        <w:t xml:space="preserve"> </w:t>
      </w:r>
      <w:r w:rsidRPr="004C5271">
        <w:rPr>
          <w:rFonts w:asciiTheme="majorBidi" w:hAnsiTheme="majorBidi" w:cstheme="majorBidi"/>
          <w:lang w:val="en-AU"/>
        </w:rPr>
        <w:t>as ‘notional estate</w:t>
      </w:r>
      <w:r w:rsidR="00AD1F5E" w:rsidRPr="004C5271">
        <w:rPr>
          <w:rFonts w:asciiTheme="majorBidi" w:hAnsiTheme="majorBidi" w:cstheme="majorBidi"/>
          <w:lang w:val="en-AU"/>
        </w:rPr>
        <w:t>.</w:t>
      </w:r>
      <w:r w:rsidRPr="004C5271">
        <w:rPr>
          <w:rFonts w:asciiTheme="majorBidi" w:hAnsiTheme="majorBidi" w:cstheme="majorBidi"/>
          <w:lang w:val="en-AU"/>
        </w:rPr>
        <w:t>’</w:t>
      </w:r>
      <w:r w:rsidR="00AD1F5E" w:rsidRPr="004C5271">
        <w:rPr>
          <w:rStyle w:val="FootnoteReference"/>
          <w:rFonts w:asciiTheme="majorBidi" w:hAnsiTheme="majorBidi" w:cstheme="majorBidi"/>
          <w:lang w:val="en-AU"/>
        </w:rPr>
        <w:footnoteReference w:id="12"/>
      </w:r>
      <w:r w:rsidRPr="004C5271">
        <w:rPr>
          <w:rFonts w:asciiTheme="majorBidi" w:hAnsiTheme="majorBidi" w:cstheme="majorBidi"/>
          <w:lang w:val="en-AU"/>
        </w:rPr>
        <w:t xml:space="preserve"> </w:t>
      </w:r>
      <w:r w:rsidR="00E6621B" w:rsidRPr="004C5271">
        <w:rPr>
          <w:rFonts w:asciiTheme="majorBidi" w:hAnsiTheme="majorBidi" w:cstheme="majorBidi"/>
          <w:lang w:val="en-AU"/>
        </w:rPr>
        <w:t>T</w:t>
      </w:r>
      <w:r w:rsidR="00AD1F5E" w:rsidRPr="004C5271">
        <w:rPr>
          <w:rFonts w:asciiTheme="majorBidi" w:hAnsiTheme="majorBidi" w:cstheme="majorBidi"/>
          <w:lang w:val="en-AU"/>
        </w:rPr>
        <w:t xml:space="preserve">he court </w:t>
      </w:r>
      <w:r w:rsidR="00E6621B" w:rsidRPr="004C5271">
        <w:rPr>
          <w:rFonts w:asciiTheme="majorBidi" w:hAnsiTheme="majorBidi" w:cstheme="majorBidi"/>
          <w:lang w:val="en-AU"/>
        </w:rPr>
        <w:t>may then use this notional estate to</w:t>
      </w:r>
      <w:r w:rsidR="00AD1F5E" w:rsidRPr="004C5271">
        <w:rPr>
          <w:rFonts w:asciiTheme="majorBidi" w:hAnsiTheme="majorBidi" w:cstheme="majorBidi"/>
          <w:lang w:val="en-AU"/>
        </w:rPr>
        <w:t xml:space="preserve"> fund provision for a successful family provision applicant</w:t>
      </w:r>
      <w:r w:rsidR="00833960" w:rsidRPr="004C5271">
        <w:rPr>
          <w:rFonts w:asciiTheme="majorBidi" w:hAnsiTheme="majorBidi" w:cstheme="majorBidi"/>
          <w:lang w:val="en-AU"/>
        </w:rPr>
        <w:t>.</w:t>
      </w:r>
      <w:r w:rsidR="00E6621B" w:rsidRPr="004C5271">
        <w:rPr>
          <w:rFonts w:asciiTheme="majorBidi" w:hAnsiTheme="majorBidi" w:cstheme="majorBidi"/>
          <w:lang w:val="en-AU"/>
        </w:rPr>
        <w:t xml:space="preserve"> Some other countries have similar legislation that enables the court to ‘clawback’ assets so that they may be used to fund awards for successful claimants. </w:t>
      </w:r>
      <w:r w:rsidR="00C47011" w:rsidRPr="004C5271">
        <w:rPr>
          <w:rFonts w:asciiTheme="majorBidi" w:hAnsiTheme="majorBidi" w:cstheme="majorBidi"/>
          <w:lang w:val="en-AU"/>
        </w:rPr>
        <w:t xml:space="preserve">It is in this broad legislative context that the </w:t>
      </w:r>
      <w:r w:rsidR="005A0F43" w:rsidRPr="004C5271">
        <w:rPr>
          <w:rFonts w:asciiTheme="majorBidi" w:hAnsiTheme="majorBidi" w:cstheme="majorBidi"/>
          <w:lang w:val="en-AU"/>
        </w:rPr>
        <w:t>Institute</w:t>
      </w:r>
      <w:r w:rsidR="00C47011" w:rsidRPr="004C5271">
        <w:rPr>
          <w:rFonts w:asciiTheme="majorBidi" w:hAnsiTheme="majorBidi" w:cstheme="majorBidi"/>
          <w:lang w:val="en-AU"/>
        </w:rPr>
        <w:t xml:space="preserve"> conducted the reference provided by the </w:t>
      </w:r>
      <w:r w:rsidR="00E310E5" w:rsidRPr="004C5271">
        <w:rPr>
          <w:rFonts w:asciiTheme="majorBidi" w:hAnsiTheme="majorBidi" w:cstheme="majorBidi"/>
          <w:lang w:val="en-AU"/>
        </w:rPr>
        <w:t>g</w:t>
      </w:r>
      <w:r w:rsidR="00CA19E2" w:rsidRPr="004C5271">
        <w:rPr>
          <w:rFonts w:asciiTheme="majorBidi" w:hAnsiTheme="majorBidi" w:cstheme="majorBidi"/>
          <w:lang w:val="en-AU"/>
        </w:rPr>
        <w:t>overnment.</w:t>
      </w:r>
    </w:p>
    <w:p w14:paraId="5BFFE081" w14:textId="60425554" w:rsidR="00726B43" w:rsidRPr="004C5271" w:rsidRDefault="00F1492B" w:rsidP="00AF564C">
      <w:pPr>
        <w:pStyle w:val="NumberedHeadingTLRI"/>
        <w:rPr>
          <w:rFonts w:asciiTheme="majorBidi" w:hAnsiTheme="majorBidi" w:cstheme="majorBidi"/>
          <w:u w:val="single"/>
          <w:lang w:val="en-AU"/>
        </w:rPr>
      </w:pPr>
      <w:bookmarkStart w:id="29" w:name="_Toc12268931"/>
      <w:r w:rsidRPr="004C5271">
        <w:rPr>
          <w:rFonts w:asciiTheme="majorBidi" w:hAnsiTheme="majorBidi" w:cstheme="majorBidi"/>
          <w:lang w:val="en-AU"/>
        </w:rPr>
        <w:t>Rep</w:t>
      </w:r>
      <w:r w:rsidR="00726B43" w:rsidRPr="004C5271">
        <w:rPr>
          <w:rFonts w:asciiTheme="majorBidi" w:hAnsiTheme="majorBidi" w:cstheme="majorBidi"/>
          <w:lang w:val="en-AU"/>
        </w:rPr>
        <w:t xml:space="preserve">ort </w:t>
      </w:r>
      <w:r w:rsidR="00AC3CCE" w:rsidRPr="004C5271">
        <w:rPr>
          <w:rFonts w:asciiTheme="majorBidi" w:hAnsiTheme="majorBidi" w:cstheme="majorBidi"/>
          <w:lang w:val="en-AU"/>
        </w:rPr>
        <w:t>s</w:t>
      </w:r>
      <w:r w:rsidR="00726B43" w:rsidRPr="004C5271">
        <w:rPr>
          <w:rFonts w:asciiTheme="majorBidi" w:hAnsiTheme="majorBidi" w:cstheme="majorBidi"/>
          <w:lang w:val="en-AU"/>
        </w:rPr>
        <w:t>tructure</w:t>
      </w:r>
      <w:bookmarkEnd w:id="29"/>
    </w:p>
    <w:p w14:paraId="0254985F" w14:textId="5DF2F11B" w:rsidR="00726B43" w:rsidRPr="004C5271" w:rsidRDefault="00726B43" w:rsidP="00AC3CCE">
      <w:pPr>
        <w:pStyle w:val="NormalNumberedTextTLRI"/>
        <w:rPr>
          <w:rFonts w:asciiTheme="majorBidi" w:hAnsiTheme="majorBidi" w:cstheme="majorBidi"/>
          <w:lang w:val="en-AU"/>
        </w:rPr>
      </w:pPr>
      <w:r w:rsidRPr="004C5271">
        <w:rPr>
          <w:rFonts w:asciiTheme="majorBidi" w:hAnsiTheme="majorBidi" w:cstheme="majorBidi"/>
          <w:lang w:val="en-AU"/>
        </w:rPr>
        <w:t xml:space="preserve">The purpose of this </w:t>
      </w:r>
      <w:r w:rsidR="00633A71" w:rsidRPr="004C5271">
        <w:rPr>
          <w:rFonts w:asciiTheme="majorBidi" w:hAnsiTheme="majorBidi" w:cstheme="majorBidi"/>
          <w:lang w:val="en-AU"/>
        </w:rPr>
        <w:t>r</w:t>
      </w:r>
      <w:r w:rsidR="00D53D5C" w:rsidRPr="004C5271">
        <w:rPr>
          <w:rFonts w:asciiTheme="majorBidi" w:hAnsiTheme="majorBidi" w:cstheme="majorBidi"/>
          <w:lang w:val="en-AU"/>
        </w:rPr>
        <w:t>eport</w:t>
      </w:r>
      <w:r w:rsidRPr="004C5271">
        <w:rPr>
          <w:rFonts w:asciiTheme="majorBidi" w:hAnsiTheme="majorBidi" w:cstheme="majorBidi"/>
          <w:lang w:val="en-AU"/>
        </w:rPr>
        <w:t xml:space="preserve"> is to </w:t>
      </w:r>
      <w:r w:rsidR="006D47E7" w:rsidRPr="004C5271">
        <w:rPr>
          <w:rFonts w:asciiTheme="majorBidi" w:hAnsiTheme="majorBidi" w:cstheme="majorBidi"/>
          <w:lang w:val="en-AU"/>
        </w:rPr>
        <w:t xml:space="preserve">evaluate </w:t>
      </w:r>
      <w:r w:rsidRPr="004C5271">
        <w:rPr>
          <w:rFonts w:asciiTheme="majorBidi" w:hAnsiTheme="majorBidi" w:cstheme="majorBidi"/>
          <w:lang w:val="en-AU"/>
        </w:rPr>
        <w:t xml:space="preserve">whether Tasmania should amend the </w:t>
      </w:r>
      <w:r w:rsidR="007A5F48" w:rsidRPr="004C5271">
        <w:rPr>
          <w:rFonts w:asciiTheme="majorBidi" w:hAnsiTheme="majorBidi" w:cstheme="majorBidi"/>
          <w:i/>
          <w:lang w:val="en-AU"/>
        </w:rPr>
        <w:t xml:space="preserve">TFM </w:t>
      </w:r>
      <w:r w:rsidR="00F15E1B" w:rsidRPr="004C5271">
        <w:rPr>
          <w:rFonts w:asciiTheme="majorBidi" w:hAnsiTheme="majorBidi" w:cstheme="majorBidi"/>
          <w:i/>
          <w:lang w:val="en-AU"/>
        </w:rPr>
        <w:t>Act</w:t>
      </w:r>
      <w:r w:rsidRPr="004C5271">
        <w:rPr>
          <w:rFonts w:asciiTheme="majorBidi" w:hAnsiTheme="majorBidi" w:cstheme="majorBidi"/>
          <w:lang w:val="en-AU"/>
        </w:rPr>
        <w:t xml:space="preserve"> to incorporate notional estate provision</w:t>
      </w:r>
      <w:r w:rsidR="004F62D0" w:rsidRPr="004C5271">
        <w:rPr>
          <w:rFonts w:asciiTheme="majorBidi" w:hAnsiTheme="majorBidi" w:cstheme="majorBidi"/>
          <w:lang w:val="en-AU"/>
        </w:rPr>
        <w:t>s</w:t>
      </w:r>
      <w:r w:rsidRPr="004C5271">
        <w:rPr>
          <w:rFonts w:asciiTheme="majorBidi" w:hAnsiTheme="majorBidi" w:cstheme="majorBidi"/>
          <w:lang w:val="en-AU"/>
        </w:rPr>
        <w:t>.</w:t>
      </w:r>
    </w:p>
    <w:p w14:paraId="3F4A0852" w14:textId="008D8BBB" w:rsidR="006D47E7" w:rsidRPr="004C5271" w:rsidRDefault="00726B43" w:rsidP="008D1C74">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DE5BF4" w:rsidRPr="004C5271">
        <w:rPr>
          <w:rFonts w:asciiTheme="majorBidi" w:hAnsiTheme="majorBidi" w:cstheme="majorBidi"/>
          <w:lang w:val="en-AU"/>
        </w:rPr>
        <w:t>r</w:t>
      </w:r>
      <w:r w:rsidR="00D53D5C" w:rsidRPr="004C5271">
        <w:rPr>
          <w:rFonts w:asciiTheme="majorBidi" w:hAnsiTheme="majorBidi" w:cstheme="majorBidi"/>
          <w:lang w:val="en-AU"/>
        </w:rPr>
        <w:t xml:space="preserve">eport </w:t>
      </w:r>
      <w:r w:rsidRPr="004C5271">
        <w:rPr>
          <w:rFonts w:asciiTheme="majorBidi" w:hAnsiTheme="majorBidi" w:cstheme="majorBidi"/>
          <w:lang w:val="en-AU"/>
        </w:rPr>
        <w:t>comprises five parts</w:t>
      </w:r>
      <w:r w:rsidR="00AE10B3" w:rsidRPr="004C5271">
        <w:rPr>
          <w:rFonts w:asciiTheme="majorBidi" w:hAnsiTheme="majorBidi" w:cstheme="majorBidi"/>
          <w:lang w:val="en-AU"/>
        </w:rPr>
        <w:t xml:space="preserve">. Part 1 </w:t>
      </w:r>
      <w:r w:rsidR="006D47E7" w:rsidRPr="004C5271">
        <w:rPr>
          <w:rFonts w:asciiTheme="majorBidi" w:hAnsiTheme="majorBidi" w:cstheme="majorBidi"/>
          <w:lang w:val="en-AU"/>
        </w:rPr>
        <w:t>summarises</w:t>
      </w:r>
      <w:r w:rsidR="00AE10B3" w:rsidRPr="004C5271">
        <w:rPr>
          <w:rFonts w:asciiTheme="majorBidi" w:hAnsiTheme="majorBidi" w:cstheme="majorBidi"/>
          <w:lang w:val="en-AU"/>
        </w:rPr>
        <w:t xml:space="preserve"> the </w:t>
      </w:r>
      <w:r w:rsidR="006D47E7" w:rsidRPr="004C5271">
        <w:rPr>
          <w:rFonts w:asciiTheme="majorBidi" w:hAnsiTheme="majorBidi" w:cstheme="majorBidi"/>
          <w:lang w:val="en-AU"/>
        </w:rPr>
        <w:t>history</w:t>
      </w:r>
      <w:r w:rsidR="00AE10B3" w:rsidRPr="004C5271">
        <w:rPr>
          <w:rFonts w:asciiTheme="majorBidi" w:hAnsiTheme="majorBidi" w:cstheme="majorBidi"/>
          <w:lang w:val="en-AU"/>
        </w:rPr>
        <w:t xml:space="preserve"> of succession laws </w:t>
      </w:r>
      <w:r w:rsidR="006D47E7" w:rsidRPr="004C5271">
        <w:rPr>
          <w:rFonts w:asciiTheme="majorBidi" w:hAnsiTheme="majorBidi" w:cstheme="majorBidi"/>
          <w:lang w:val="en-AU"/>
        </w:rPr>
        <w:t xml:space="preserve">and </w:t>
      </w:r>
      <w:r w:rsidR="00A0093C" w:rsidRPr="004C5271">
        <w:rPr>
          <w:rFonts w:asciiTheme="majorBidi" w:hAnsiTheme="majorBidi" w:cstheme="majorBidi"/>
          <w:lang w:val="en-AU"/>
        </w:rPr>
        <w:t xml:space="preserve">the </w:t>
      </w:r>
      <w:r w:rsidR="00AE10B3" w:rsidRPr="004C5271">
        <w:rPr>
          <w:rFonts w:asciiTheme="majorBidi" w:hAnsiTheme="majorBidi" w:cstheme="majorBidi"/>
          <w:lang w:val="en-AU"/>
        </w:rPr>
        <w:t xml:space="preserve">introduction of family provision legislation. It </w:t>
      </w:r>
      <w:r w:rsidR="006D47E7" w:rsidRPr="004C5271">
        <w:rPr>
          <w:rFonts w:asciiTheme="majorBidi" w:hAnsiTheme="majorBidi" w:cstheme="majorBidi"/>
          <w:lang w:val="en-AU"/>
        </w:rPr>
        <w:t xml:space="preserve">outlines the family provision legislation operating in Tasmania under </w:t>
      </w:r>
      <w:r w:rsidR="00AE10B3" w:rsidRPr="004C5271">
        <w:rPr>
          <w:rFonts w:asciiTheme="majorBidi" w:hAnsiTheme="majorBidi" w:cstheme="majorBidi"/>
          <w:lang w:val="en-AU"/>
        </w:rPr>
        <w:t xml:space="preserve">the </w:t>
      </w:r>
      <w:r w:rsidR="006D47E7" w:rsidRPr="004C5271">
        <w:rPr>
          <w:rFonts w:asciiTheme="majorBidi" w:hAnsiTheme="majorBidi" w:cstheme="majorBidi"/>
          <w:i/>
          <w:iCs/>
          <w:lang w:val="en-AU"/>
        </w:rPr>
        <w:t xml:space="preserve">TFM </w:t>
      </w:r>
      <w:r w:rsidR="00AE10B3" w:rsidRPr="004C5271">
        <w:rPr>
          <w:rFonts w:asciiTheme="majorBidi" w:hAnsiTheme="majorBidi" w:cstheme="majorBidi"/>
          <w:i/>
          <w:iCs/>
          <w:lang w:val="en-AU"/>
        </w:rPr>
        <w:t xml:space="preserve">Act </w:t>
      </w:r>
      <w:r w:rsidR="00AE10B3" w:rsidRPr="004C5271">
        <w:rPr>
          <w:rFonts w:asciiTheme="majorBidi" w:hAnsiTheme="majorBidi" w:cstheme="majorBidi"/>
          <w:lang w:val="en-AU"/>
        </w:rPr>
        <w:t xml:space="preserve">and </w:t>
      </w:r>
      <w:r w:rsidR="006D47E7" w:rsidRPr="004C5271">
        <w:rPr>
          <w:rFonts w:asciiTheme="majorBidi" w:hAnsiTheme="majorBidi" w:cstheme="majorBidi"/>
          <w:lang w:val="en-AU"/>
        </w:rPr>
        <w:t>explains</w:t>
      </w:r>
      <w:r w:rsidR="00AE10B3" w:rsidRPr="004C5271">
        <w:rPr>
          <w:rFonts w:asciiTheme="majorBidi" w:hAnsiTheme="majorBidi" w:cstheme="majorBidi"/>
          <w:lang w:val="en-AU"/>
        </w:rPr>
        <w:t xml:space="preserve"> those assets available for successful applicants. </w:t>
      </w:r>
      <w:r w:rsidR="006D47E7" w:rsidRPr="004C5271">
        <w:rPr>
          <w:rFonts w:asciiTheme="majorBidi" w:hAnsiTheme="majorBidi" w:cstheme="majorBidi"/>
          <w:lang w:val="en-AU"/>
        </w:rPr>
        <w:t>This part continues by highlighting</w:t>
      </w:r>
      <w:r w:rsidR="00AE10B3" w:rsidRPr="004C5271">
        <w:rPr>
          <w:rFonts w:asciiTheme="majorBidi" w:hAnsiTheme="majorBidi" w:cstheme="majorBidi"/>
          <w:lang w:val="en-AU"/>
        </w:rPr>
        <w:t xml:space="preserve"> the interrelationship and differences between claims under the </w:t>
      </w:r>
      <w:r w:rsidR="00446ACA" w:rsidRPr="004C5271">
        <w:rPr>
          <w:rFonts w:asciiTheme="majorBidi" w:hAnsiTheme="majorBidi" w:cstheme="majorBidi"/>
          <w:i/>
          <w:iCs/>
          <w:lang w:val="en-AU"/>
        </w:rPr>
        <w:t xml:space="preserve">TFM </w:t>
      </w:r>
      <w:r w:rsidR="00AE10B3" w:rsidRPr="004C5271">
        <w:rPr>
          <w:rFonts w:asciiTheme="majorBidi" w:hAnsiTheme="majorBidi" w:cstheme="majorBidi"/>
          <w:i/>
          <w:iCs/>
          <w:lang w:val="en-AU"/>
        </w:rPr>
        <w:t xml:space="preserve">Act </w:t>
      </w:r>
      <w:r w:rsidR="00AE10B3" w:rsidRPr="004C5271">
        <w:rPr>
          <w:rFonts w:asciiTheme="majorBidi" w:hAnsiTheme="majorBidi" w:cstheme="majorBidi"/>
          <w:lang w:val="en-AU"/>
        </w:rPr>
        <w:t>and other claims that may be pursued against estate and non-estate assets</w:t>
      </w:r>
      <w:r w:rsidR="006D47E7" w:rsidRPr="004C5271">
        <w:rPr>
          <w:rFonts w:asciiTheme="majorBidi" w:hAnsiTheme="majorBidi" w:cstheme="majorBidi"/>
          <w:lang w:val="en-AU"/>
        </w:rPr>
        <w:t>, particularly claims in equity</w:t>
      </w:r>
      <w:r w:rsidR="00AE10B3" w:rsidRPr="004C5271">
        <w:rPr>
          <w:rFonts w:asciiTheme="majorBidi" w:hAnsiTheme="majorBidi" w:cstheme="majorBidi"/>
          <w:lang w:val="en-AU"/>
        </w:rPr>
        <w:t xml:space="preserve">. </w:t>
      </w:r>
    </w:p>
    <w:p w14:paraId="64DE527F" w14:textId="51363E55" w:rsidR="000373EB" w:rsidRPr="004C5271" w:rsidRDefault="00AE10B3" w:rsidP="008D1C74">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Part 2 </w:t>
      </w:r>
      <w:r w:rsidR="006D47E7" w:rsidRPr="004C5271">
        <w:rPr>
          <w:rFonts w:asciiTheme="majorBidi" w:hAnsiTheme="majorBidi" w:cstheme="majorBidi"/>
          <w:lang w:val="en-AU"/>
        </w:rPr>
        <w:t xml:space="preserve">frames the issue by identifying those </w:t>
      </w:r>
      <w:r w:rsidRPr="004C5271">
        <w:rPr>
          <w:rFonts w:asciiTheme="majorBidi" w:hAnsiTheme="majorBidi" w:cstheme="majorBidi"/>
          <w:lang w:val="en-AU"/>
        </w:rPr>
        <w:t xml:space="preserve">assets </w:t>
      </w:r>
      <w:r w:rsidR="006D47E7" w:rsidRPr="004C5271">
        <w:rPr>
          <w:rFonts w:asciiTheme="majorBidi" w:hAnsiTheme="majorBidi" w:cstheme="majorBidi"/>
          <w:lang w:val="en-AU"/>
        </w:rPr>
        <w:t>unable to be claimed as part</w:t>
      </w:r>
      <w:r w:rsidRPr="004C5271">
        <w:rPr>
          <w:rFonts w:asciiTheme="majorBidi" w:hAnsiTheme="majorBidi" w:cstheme="majorBidi"/>
          <w:lang w:val="en-AU"/>
        </w:rPr>
        <w:t xml:space="preserve"> of a family provision claim under the </w:t>
      </w:r>
      <w:r w:rsidR="00446ACA" w:rsidRPr="004C5271">
        <w:rPr>
          <w:rFonts w:asciiTheme="majorBidi" w:hAnsiTheme="majorBidi" w:cstheme="majorBidi"/>
          <w:i/>
          <w:iCs/>
          <w:lang w:val="en-AU"/>
        </w:rPr>
        <w:t xml:space="preserve">TFM </w:t>
      </w:r>
      <w:r w:rsidRPr="004C5271">
        <w:rPr>
          <w:rFonts w:asciiTheme="majorBidi" w:hAnsiTheme="majorBidi" w:cstheme="majorBidi"/>
          <w:i/>
          <w:iCs/>
          <w:lang w:val="en-AU"/>
        </w:rPr>
        <w:t>Act</w:t>
      </w:r>
      <w:r w:rsidRPr="004C5271">
        <w:rPr>
          <w:rFonts w:asciiTheme="majorBidi" w:hAnsiTheme="majorBidi" w:cstheme="majorBidi"/>
          <w:lang w:val="en-AU"/>
        </w:rPr>
        <w:t xml:space="preserve">. Part 3 </w:t>
      </w:r>
      <w:r w:rsidR="006D47E7" w:rsidRPr="004C5271">
        <w:rPr>
          <w:rFonts w:asciiTheme="majorBidi" w:hAnsiTheme="majorBidi" w:cstheme="majorBidi"/>
          <w:lang w:val="en-AU"/>
        </w:rPr>
        <w:t xml:space="preserve">then </w:t>
      </w:r>
      <w:r w:rsidRPr="004C5271">
        <w:rPr>
          <w:rFonts w:asciiTheme="majorBidi" w:hAnsiTheme="majorBidi" w:cstheme="majorBidi"/>
          <w:lang w:val="en-AU"/>
        </w:rPr>
        <w:t>introduces the concept of a ‘notional estate</w:t>
      </w:r>
      <w:proofErr w:type="gramStart"/>
      <w:r w:rsidRPr="004C5271">
        <w:rPr>
          <w:rFonts w:asciiTheme="majorBidi" w:hAnsiTheme="majorBidi" w:cstheme="majorBidi"/>
          <w:lang w:val="en-AU"/>
        </w:rPr>
        <w:t>’</w:t>
      </w:r>
      <w:r w:rsidR="00066BD1" w:rsidRPr="004C5271">
        <w:rPr>
          <w:rFonts w:asciiTheme="majorBidi" w:hAnsiTheme="majorBidi" w:cstheme="majorBidi"/>
          <w:lang w:val="en-AU"/>
        </w:rPr>
        <w:t>,</w:t>
      </w:r>
      <w:r w:rsidRPr="004C5271">
        <w:rPr>
          <w:rFonts w:asciiTheme="majorBidi" w:hAnsiTheme="majorBidi" w:cstheme="majorBidi"/>
          <w:lang w:val="en-AU"/>
        </w:rPr>
        <w:t xml:space="preserve"> and</w:t>
      </w:r>
      <w:proofErr w:type="gramEnd"/>
      <w:r w:rsidRPr="004C5271">
        <w:rPr>
          <w:rFonts w:asciiTheme="majorBidi" w:hAnsiTheme="majorBidi" w:cstheme="majorBidi"/>
          <w:lang w:val="en-AU"/>
        </w:rPr>
        <w:t xml:space="preserve"> </w:t>
      </w:r>
      <w:r w:rsidR="00570385" w:rsidRPr="004C5271">
        <w:rPr>
          <w:rFonts w:asciiTheme="majorBidi" w:hAnsiTheme="majorBidi" w:cstheme="majorBidi"/>
          <w:lang w:val="en-AU"/>
        </w:rPr>
        <w:t xml:space="preserve">details the </w:t>
      </w:r>
      <w:r w:rsidR="0090069D" w:rsidRPr="004C5271">
        <w:rPr>
          <w:rFonts w:asciiTheme="majorBidi" w:hAnsiTheme="majorBidi" w:cstheme="majorBidi"/>
          <w:lang w:val="en-AU"/>
        </w:rPr>
        <w:t xml:space="preserve">consideration and </w:t>
      </w:r>
      <w:r w:rsidRPr="004C5271">
        <w:rPr>
          <w:rFonts w:asciiTheme="majorBidi" w:hAnsiTheme="majorBidi" w:cstheme="majorBidi"/>
          <w:lang w:val="en-AU"/>
        </w:rPr>
        <w:t>development of notional estate</w:t>
      </w:r>
      <w:r w:rsidR="006D47E7" w:rsidRPr="004C5271">
        <w:rPr>
          <w:rFonts w:asciiTheme="majorBidi" w:hAnsiTheme="majorBidi" w:cstheme="majorBidi"/>
          <w:lang w:val="en-AU"/>
        </w:rPr>
        <w:t>-</w:t>
      </w:r>
      <w:r w:rsidRPr="004C5271">
        <w:rPr>
          <w:rFonts w:asciiTheme="majorBidi" w:hAnsiTheme="majorBidi" w:cstheme="majorBidi"/>
          <w:lang w:val="en-AU"/>
        </w:rPr>
        <w:t>style provisions in some jurisdictions</w:t>
      </w:r>
      <w:r w:rsidR="006D47E7" w:rsidRPr="004C5271">
        <w:rPr>
          <w:rFonts w:asciiTheme="majorBidi" w:hAnsiTheme="majorBidi" w:cstheme="majorBidi"/>
          <w:lang w:val="en-AU"/>
        </w:rPr>
        <w:t xml:space="preserve"> overseas</w:t>
      </w:r>
      <w:r w:rsidRPr="004C5271">
        <w:rPr>
          <w:rFonts w:asciiTheme="majorBidi" w:hAnsiTheme="majorBidi" w:cstheme="majorBidi"/>
          <w:lang w:val="en-AU"/>
        </w:rPr>
        <w:t xml:space="preserve">. </w:t>
      </w:r>
      <w:r w:rsidR="006D47E7" w:rsidRPr="004C5271">
        <w:rPr>
          <w:rFonts w:asciiTheme="majorBidi" w:hAnsiTheme="majorBidi" w:cstheme="majorBidi"/>
          <w:lang w:val="en-AU"/>
        </w:rPr>
        <w:t>This part also outlines</w:t>
      </w:r>
      <w:r w:rsidR="000373EB" w:rsidRPr="004C5271">
        <w:rPr>
          <w:rFonts w:asciiTheme="majorBidi" w:hAnsiTheme="majorBidi" w:cstheme="majorBidi"/>
          <w:lang w:val="en-AU"/>
        </w:rPr>
        <w:t xml:space="preserve"> the outcomes of </w:t>
      </w:r>
      <w:r w:rsidR="006D47E7" w:rsidRPr="004C5271">
        <w:rPr>
          <w:rFonts w:asciiTheme="majorBidi" w:hAnsiTheme="majorBidi" w:cstheme="majorBidi"/>
          <w:lang w:val="en-AU"/>
        </w:rPr>
        <w:t xml:space="preserve">other </w:t>
      </w:r>
      <w:r w:rsidR="000373EB" w:rsidRPr="004C5271">
        <w:rPr>
          <w:rFonts w:asciiTheme="majorBidi" w:hAnsiTheme="majorBidi" w:cstheme="majorBidi"/>
          <w:lang w:val="en-AU"/>
        </w:rPr>
        <w:t>reviews that have evaluated the potential introduction or use of notional estate provisions</w:t>
      </w:r>
      <w:r w:rsidR="0074463E" w:rsidRPr="004C5271">
        <w:rPr>
          <w:rFonts w:asciiTheme="majorBidi" w:hAnsiTheme="majorBidi" w:cstheme="majorBidi"/>
          <w:lang w:val="en-AU"/>
        </w:rPr>
        <w:t xml:space="preserve"> in Australia</w:t>
      </w:r>
      <w:r w:rsidR="000373EB" w:rsidRPr="004C5271">
        <w:rPr>
          <w:rFonts w:asciiTheme="majorBidi" w:hAnsiTheme="majorBidi" w:cstheme="majorBidi"/>
          <w:lang w:val="en-AU"/>
        </w:rPr>
        <w:t xml:space="preserve">. </w:t>
      </w:r>
    </w:p>
    <w:p w14:paraId="77C60C8A" w14:textId="629947CE" w:rsidR="00375D97" w:rsidRPr="004C5271" w:rsidRDefault="000373EB" w:rsidP="008D1C74">
      <w:pPr>
        <w:pStyle w:val="NormalNumberedTextTLRI"/>
        <w:rPr>
          <w:rFonts w:asciiTheme="majorBidi" w:hAnsiTheme="majorBidi" w:cstheme="majorBidi"/>
          <w:lang w:val="en-AU"/>
        </w:rPr>
      </w:pPr>
      <w:r w:rsidRPr="004C5271">
        <w:rPr>
          <w:rFonts w:asciiTheme="majorBidi" w:hAnsiTheme="majorBidi" w:cstheme="majorBidi"/>
          <w:lang w:val="en-AU"/>
        </w:rPr>
        <w:t xml:space="preserve">Part 4 details the </w:t>
      </w:r>
      <w:r w:rsidR="0090069D" w:rsidRPr="004C5271">
        <w:rPr>
          <w:rFonts w:asciiTheme="majorBidi" w:hAnsiTheme="majorBidi" w:cstheme="majorBidi"/>
          <w:lang w:val="en-AU"/>
        </w:rPr>
        <w:t xml:space="preserve">development and scope of </w:t>
      </w:r>
      <w:r w:rsidRPr="004C5271">
        <w:rPr>
          <w:rFonts w:asciiTheme="majorBidi" w:hAnsiTheme="majorBidi" w:cstheme="majorBidi"/>
          <w:lang w:val="en-AU"/>
        </w:rPr>
        <w:t xml:space="preserve">notional estate provisions contained within Part 3.3 of the </w:t>
      </w:r>
      <w:r w:rsidRPr="004C5271">
        <w:rPr>
          <w:rFonts w:asciiTheme="majorBidi" w:hAnsiTheme="majorBidi" w:cstheme="majorBidi"/>
          <w:i/>
          <w:iCs/>
          <w:lang w:val="en-AU"/>
        </w:rPr>
        <w:t>Succession Act 2006</w:t>
      </w:r>
      <w:r w:rsidRPr="004C5271">
        <w:rPr>
          <w:rFonts w:asciiTheme="majorBidi" w:hAnsiTheme="majorBidi" w:cstheme="majorBidi"/>
          <w:lang w:val="en-AU"/>
        </w:rPr>
        <w:t xml:space="preserve"> (NSW)</w:t>
      </w:r>
      <w:r w:rsidR="0074463E" w:rsidRPr="004C5271">
        <w:rPr>
          <w:rFonts w:asciiTheme="majorBidi" w:hAnsiTheme="majorBidi" w:cstheme="majorBidi"/>
          <w:lang w:val="en-AU"/>
        </w:rPr>
        <w:t xml:space="preserve"> (‘NSW </w:t>
      </w:r>
      <w:r w:rsidR="0074463E" w:rsidRPr="004C5271">
        <w:rPr>
          <w:rFonts w:asciiTheme="majorBidi" w:hAnsiTheme="majorBidi" w:cstheme="majorBidi"/>
          <w:i/>
          <w:iCs/>
          <w:lang w:val="en-AU"/>
        </w:rPr>
        <w:t>Succession Act</w:t>
      </w:r>
      <w:r w:rsidR="0074463E" w:rsidRPr="004C5271">
        <w:rPr>
          <w:rFonts w:asciiTheme="majorBidi" w:hAnsiTheme="majorBidi" w:cstheme="majorBidi"/>
          <w:lang w:val="en-AU"/>
        </w:rPr>
        <w:t xml:space="preserve">’). </w:t>
      </w:r>
      <w:r w:rsidRPr="004C5271">
        <w:rPr>
          <w:rFonts w:asciiTheme="majorBidi" w:hAnsiTheme="majorBidi" w:cstheme="majorBidi"/>
          <w:lang w:val="en-AU"/>
        </w:rPr>
        <w:t xml:space="preserve">Part 5 then </w:t>
      </w:r>
      <w:r w:rsidR="00AD0A12" w:rsidRPr="004C5271">
        <w:rPr>
          <w:rFonts w:asciiTheme="majorBidi" w:hAnsiTheme="majorBidi" w:cstheme="majorBidi"/>
          <w:lang w:val="en-AU"/>
        </w:rPr>
        <w:t xml:space="preserve">outlines and </w:t>
      </w:r>
      <w:r w:rsidR="00751EA4" w:rsidRPr="004C5271">
        <w:rPr>
          <w:rFonts w:asciiTheme="majorBidi" w:hAnsiTheme="majorBidi" w:cstheme="majorBidi"/>
          <w:lang w:val="en-AU"/>
        </w:rPr>
        <w:t>considers</w:t>
      </w:r>
      <w:r w:rsidRPr="004C5271">
        <w:rPr>
          <w:rFonts w:asciiTheme="majorBidi" w:hAnsiTheme="majorBidi" w:cstheme="majorBidi"/>
          <w:lang w:val="en-AU"/>
        </w:rPr>
        <w:t xml:space="preserve"> </w:t>
      </w:r>
      <w:r w:rsidR="00EF36AC" w:rsidRPr="004C5271">
        <w:rPr>
          <w:rFonts w:asciiTheme="majorBidi" w:hAnsiTheme="majorBidi" w:cstheme="majorBidi"/>
          <w:lang w:val="en-AU"/>
        </w:rPr>
        <w:t xml:space="preserve">submissions </w:t>
      </w:r>
      <w:r w:rsidR="00AD0A12" w:rsidRPr="004C5271">
        <w:rPr>
          <w:rFonts w:asciiTheme="majorBidi" w:hAnsiTheme="majorBidi" w:cstheme="majorBidi"/>
          <w:lang w:val="en-AU"/>
        </w:rPr>
        <w:t xml:space="preserve">that the Institute </w:t>
      </w:r>
      <w:r w:rsidRPr="004C5271">
        <w:rPr>
          <w:rFonts w:asciiTheme="majorBidi" w:hAnsiTheme="majorBidi" w:cstheme="majorBidi"/>
          <w:lang w:val="en-AU"/>
        </w:rPr>
        <w:t>received in response to the questions</w:t>
      </w:r>
      <w:r w:rsidR="00751EA4" w:rsidRPr="004C5271">
        <w:rPr>
          <w:rFonts w:asciiTheme="majorBidi" w:hAnsiTheme="majorBidi" w:cstheme="majorBidi"/>
          <w:lang w:val="en-AU"/>
        </w:rPr>
        <w:t xml:space="preserve"> </w:t>
      </w:r>
      <w:r w:rsidRPr="004C5271">
        <w:rPr>
          <w:rFonts w:asciiTheme="majorBidi" w:hAnsiTheme="majorBidi" w:cstheme="majorBidi"/>
          <w:lang w:val="en-AU"/>
        </w:rPr>
        <w:t>asked in the Issues Paper</w:t>
      </w:r>
      <w:r w:rsidR="0074463E" w:rsidRPr="004C5271">
        <w:rPr>
          <w:rFonts w:asciiTheme="majorBidi" w:hAnsiTheme="majorBidi" w:cstheme="majorBidi"/>
          <w:lang w:val="en-AU"/>
        </w:rPr>
        <w:t xml:space="preserve"> about the merits of introducing notional estate provisions in Tasmania</w:t>
      </w:r>
      <w:r w:rsidR="00751EA4" w:rsidRPr="004C5271">
        <w:rPr>
          <w:rFonts w:asciiTheme="majorBidi" w:hAnsiTheme="majorBidi" w:cstheme="majorBidi"/>
          <w:lang w:val="en-AU"/>
        </w:rPr>
        <w:t xml:space="preserve">. </w:t>
      </w:r>
      <w:r w:rsidR="00EF36AC" w:rsidRPr="004C5271">
        <w:rPr>
          <w:rFonts w:asciiTheme="majorBidi" w:hAnsiTheme="majorBidi" w:cstheme="majorBidi"/>
          <w:lang w:val="en-AU"/>
        </w:rPr>
        <w:t xml:space="preserve">It concludes by recommending against the introduction of a notional estate scheme in Tasmania </w:t>
      </w:r>
      <w:proofErr w:type="gramStart"/>
      <w:r w:rsidR="00EF36AC" w:rsidRPr="004C5271">
        <w:rPr>
          <w:rFonts w:asciiTheme="majorBidi" w:hAnsiTheme="majorBidi" w:cstheme="majorBidi"/>
          <w:lang w:val="en-AU"/>
        </w:rPr>
        <w:t>at this time</w:t>
      </w:r>
      <w:proofErr w:type="gramEnd"/>
      <w:r w:rsidR="00EF36AC" w:rsidRPr="004C5271">
        <w:rPr>
          <w:rFonts w:asciiTheme="majorBidi" w:hAnsiTheme="majorBidi" w:cstheme="majorBidi"/>
          <w:lang w:val="en-AU"/>
        </w:rPr>
        <w:t xml:space="preserve">. However, it also outlines proposed approaches that could be implemented if legislative reform is progressed, including </w:t>
      </w:r>
      <w:r w:rsidR="006A205F" w:rsidRPr="004C5271">
        <w:rPr>
          <w:rFonts w:asciiTheme="majorBidi" w:hAnsiTheme="majorBidi" w:cstheme="majorBidi"/>
          <w:lang w:val="en-AU"/>
        </w:rPr>
        <w:t xml:space="preserve">through </w:t>
      </w:r>
      <w:r w:rsidR="00EF36AC" w:rsidRPr="004C5271">
        <w:rPr>
          <w:rFonts w:asciiTheme="majorBidi" w:hAnsiTheme="majorBidi" w:cstheme="majorBidi"/>
          <w:lang w:val="en-AU"/>
        </w:rPr>
        <w:t>nationally uniform legislation</w:t>
      </w:r>
      <w:r w:rsidR="00CA19E2" w:rsidRPr="004C5271">
        <w:rPr>
          <w:rFonts w:asciiTheme="majorBidi" w:hAnsiTheme="majorBidi" w:cstheme="majorBidi"/>
          <w:lang w:val="en-AU"/>
        </w:rPr>
        <w:t>.</w:t>
      </w:r>
    </w:p>
    <w:p w14:paraId="03DC046B" w14:textId="6816F2B9" w:rsidR="002857B2" w:rsidRPr="004C5271" w:rsidRDefault="00D53D5C" w:rsidP="008328D6">
      <w:pPr>
        <w:pStyle w:val="NumberedHeadingTLRI"/>
        <w:rPr>
          <w:rFonts w:asciiTheme="majorBidi" w:hAnsiTheme="majorBidi" w:cstheme="majorBidi"/>
          <w:i/>
          <w:lang w:val="en-AU"/>
        </w:rPr>
      </w:pPr>
      <w:bookmarkStart w:id="30" w:name="_Toc12268932"/>
      <w:r w:rsidRPr="004C5271">
        <w:rPr>
          <w:rFonts w:asciiTheme="majorBidi" w:hAnsiTheme="majorBidi" w:cstheme="majorBidi"/>
          <w:lang w:val="en-AU"/>
        </w:rPr>
        <w:t>Freedom of testation and the development of f</w:t>
      </w:r>
      <w:r w:rsidR="00E07FC8" w:rsidRPr="004C5271">
        <w:rPr>
          <w:rFonts w:asciiTheme="majorBidi" w:hAnsiTheme="majorBidi" w:cstheme="majorBidi"/>
          <w:lang w:val="en-AU"/>
        </w:rPr>
        <w:t>amily p</w:t>
      </w:r>
      <w:r w:rsidR="00383473" w:rsidRPr="004C5271">
        <w:rPr>
          <w:rFonts w:asciiTheme="majorBidi" w:hAnsiTheme="majorBidi" w:cstheme="majorBidi"/>
          <w:lang w:val="en-AU"/>
        </w:rPr>
        <w:t>rovision</w:t>
      </w:r>
      <w:r w:rsidR="00E07FC8" w:rsidRPr="004C5271">
        <w:rPr>
          <w:rFonts w:asciiTheme="majorBidi" w:hAnsiTheme="majorBidi" w:cstheme="majorBidi"/>
          <w:lang w:val="en-AU"/>
        </w:rPr>
        <w:t xml:space="preserve"> laws</w:t>
      </w:r>
      <w:bookmarkEnd w:id="30"/>
    </w:p>
    <w:p w14:paraId="493D4619" w14:textId="1690611C" w:rsidR="0055616A" w:rsidRPr="004C5271" w:rsidRDefault="00D53D5C" w:rsidP="00ED30D9">
      <w:pPr>
        <w:pStyle w:val="NormalNumberedTextTLRI"/>
        <w:rPr>
          <w:rFonts w:asciiTheme="majorBidi" w:hAnsiTheme="majorBidi" w:cstheme="majorBidi"/>
          <w:i/>
          <w:iCs/>
          <w:lang w:val="en-AU"/>
        </w:rPr>
      </w:pPr>
      <w:r w:rsidRPr="004C5271">
        <w:rPr>
          <w:rFonts w:asciiTheme="majorBidi" w:hAnsiTheme="majorBidi" w:cstheme="majorBidi"/>
          <w:lang w:val="en-AU"/>
        </w:rPr>
        <w:t>T</w:t>
      </w:r>
      <w:r w:rsidR="002857B2" w:rsidRPr="004C5271">
        <w:rPr>
          <w:rFonts w:asciiTheme="majorBidi" w:hAnsiTheme="majorBidi" w:cstheme="majorBidi"/>
          <w:lang w:val="en-AU"/>
        </w:rPr>
        <w:t xml:space="preserve">he law of succession </w:t>
      </w:r>
      <w:r w:rsidR="0074463E" w:rsidRPr="004C5271">
        <w:rPr>
          <w:rFonts w:asciiTheme="majorBidi" w:hAnsiTheme="majorBidi" w:cstheme="majorBidi"/>
          <w:lang w:val="en-AU"/>
        </w:rPr>
        <w:t xml:space="preserve">in Australia </w:t>
      </w:r>
      <w:r w:rsidR="002857B2" w:rsidRPr="004C5271">
        <w:rPr>
          <w:rFonts w:asciiTheme="majorBidi" w:hAnsiTheme="majorBidi" w:cstheme="majorBidi"/>
          <w:lang w:val="en-AU"/>
        </w:rPr>
        <w:t>i</w:t>
      </w:r>
      <w:r w:rsidR="0059627F" w:rsidRPr="004C5271">
        <w:rPr>
          <w:rFonts w:asciiTheme="majorBidi" w:hAnsiTheme="majorBidi" w:cstheme="majorBidi"/>
          <w:lang w:val="en-AU"/>
        </w:rPr>
        <w:t>s</w:t>
      </w:r>
      <w:r w:rsidR="002857B2" w:rsidRPr="004C5271">
        <w:rPr>
          <w:rFonts w:asciiTheme="majorBidi" w:hAnsiTheme="majorBidi" w:cstheme="majorBidi"/>
          <w:lang w:val="en-AU"/>
        </w:rPr>
        <w:t xml:space="preserve"> based on </w:t>
      </w:r>
      <w:r w:rsidRPr="004C5271">
        <w:rPr>
          <w:rFonts w:asciiTheme="majorBidi" w:hAnsiTheme="majorBidi" w:cstheme="majorBidi"/>
          <w:lang w:val="en-AU"/>
        </w:rPr>
        <w:t xml:space="preserve">liberal views of </w:t>
      </w:r>
      <w:r w:rsidR="002857B2" w:rsidRPr="004C5271">
        <w:rPr>
          <w:rFonts w:asciiTheme="majorBidi" w:hAnsiTheme="majorBidi" w:cstheme="majorBidi"/>
          <w:lang w:val="en-AU"/>
        </w:rPr>
        <w:t>the rights of ownership and possession of private property</w:t>
      </w:r>
      <w:r w:rsidR="0074463E" w:rsidRPr="004C5271">
        <w:rPr>
          <w:rFonts w:asciiTheme="majorBidi" w:hAnsiTheme="majorBidi" w:cstheme="majorBidi"/>
          <w:lang w:val="en-AU"/>
        </w:rPr>
        <w:t xml:space="preserve"> developed in the 19</w:t>
      </w:r>
      <w:r w:rsidR="0074463E" w:rsidRPr="004C5271">
        <w:rPr>
          <w:rFonts w:asciiTheme="majorBidi" w:hAnsiTheme="majorBidi" w:cstheme="majorBidi"/>
          <w:vertAlign w:val="superscript"/>
          <w:lang w:val="en-AU"/>
        </w:rPr>
        <w:t>th</w:t>
      </w:r>
      <w:r w:rsidR="0074463E" w:rsidRPr="004C5271">
        <w:rPr>
          <w:rFonts w:asciiTheme="majorBidi" w:hAnsiTheme="majorBidi" w:cstheme="majorBidi"/>
          <w:lang w:val="en-AU"/>
        </w:rPr>
        <w:t xml:space="preserve"> century</w:t>
      </w:r>
      <w:r w:rsidR="002857B2" w:rsidRPr="004C5271">
        <w:rPr>
          <w:rFonts w:asciiTheme="majorBidi" w:hAnsiTheme="majorBidi" w:cstheme="majorBidi"/>
          <w:lang w:val="en-AU"/>
        </w:rPr>
        <w:t>.</w:t>
      </w:r>
      <w:r w:rsidR="0055616A" w:rsidRPr="004C5271">
        <w:rPr>
          <w:rStyle w:val="FootnoteReference"/>
          <w:rFonts w:asciiTheme="majorBidi" w:hAnsiTheme="majorBidi" w:cstheme="majorBidi"/>
          <w:lang w:val="en-AU"/>
        </w:rPr>
        <w:footnoteReference w:id="13"/>
      </w:r>
      <w:r w:rsidR="002857B2" w:rsidRPr="004C5271">
        <w:rPr>
          <w:rFonts w:asciiTheme="majorBidi" w:hAnsiTheme="majorBidi" w:cstheme="majorBidi"/>
          <w:lang w:val="en-AU"/>
        </w:rPr>
        <w:t xml:space="preserve"> The basic argument</w:t>
      </w:r>
      <w:r w:rsidR="0055616A" w:rsidRPr="004C5271">
        <w:rPr>
          <w:rFonts w:asciiTheme="majorBidi" w:hAnsiTheme="majorBidi" w:cstheme="majorBidi"/>
          <w:lang w:val="en-AU"/>
        </w:rPr>
        <w:t xml:space="preserve"> </w:t>
      </w:r>
      <w:r w:rsidR="002857B2" w:rsidRPr="004C5271">
        <w:rPr>
          <w:rFonts w:asciiTheme="majorBidi" w:hAnsiTheme="majorBidi" w:cstheme="majorBidi"/>
          <w:lang w:val="en-AU"/>
        </w:rPr>
        <w:t>was that testamentary</w:t>
      </w:r>
      <w:r w:rsidR="004D2FD0" w:rsidRPr="004C5271">
        <w:rPr>
          <w:rFonts w:asciiTheme="majorBidi" w:hAnsiTheme="majorBidi" w:cstheme="majorBidi"/>
          <w:lang w:val="en-AU"/>
        </w:rPr>
        <w:t xml:space="preserve"> f</w:t>
      </w:r>
      <w:r w:rsidR="0059627F" w:rsidRPr="004C5271">
        <w:rPr>
          <w:rFonts w:asciiTheme="majorBidi" w:hAnsiTheme="majorBidi" w:cstheme="majorBidi"/>
          <w:lang w:val="en-AU"/>
        </w:rPr>
        <w:t xml:space="preserve">reedom was </w:t>
      </w:r>
      <w:r w:rsidR="004D2FD0" w:rsidRPr="004C5271">
        <w:rPr>
          <w:rFonts w:asciiTheme="majorBidi" w:hAnsiTheme="majorBidi" w:cstheme="majorBidi"/>
          <w:lang w:val="en-AU"/>
        </w:rPr>
        <w:t>a consequence of in</w:t>
      </w:r>
      <w:r w:rsidR="00AC7225" w:rsidRPr="004C5271">
        <w:rPr>
          <w:rFonts w:asciiTheme="majorBidi" w:hAnsiTheme="majorBidi" w:cstheme="majorBidi"/>
          <w:lang w:val="en-AU"/>
        </w:rPr>
        <w:t>dividual</w:t>
      </w:r>
      <w:r w:rsidR="0074463E" w:rsidRPr="004C5271">
        <w:rPr>
          <w:rFonts w:asciiTheme="majorBidi" w:hAnsiTheme="majorBidi" w:cstheme="majorBidi"/>
          <w:lang w:val="en-AU"/>
        </w:rPr>
        <w:t xml:space="preserve"> </w:t>
      </w:r>
      <w:r w:rsidR="00A9043D" w:rsidRPr="004C5271">
        <w:rPr>
          <w:rFonts w:asciiTheme="majorBidi" w:hAnsiTheme="majorBidi" w:cstheme="majorBidi"/>
          <w:lang w:val="en-AU"/>
        </w:rPr>
        <w:t>property rights. I</w:t>
      </w:r>
      <w:r w:rsidR="004D2FD0" w:rsidRPr="004C5271">
        <w:rPr>
          <w:rFonts w:asciiTheme="majorBidi" w:hAnsiTheme="majorBidi" w:cstheme="majorBidi"/>
          <w:lang w:val="en-AU"/>
        </w:rPr>
        <w:t>t followed that there</w:t>
      </w:r>
      <w:r w:rsidR="00A9043D" w:rsidRPr="004C5271">
        <w:rPr>
          <w:rFonts w:asciiTheme="majorBidi" w:hAnsiTheme="majorBidi" w:cstheme="majorBidi"/>
          <w:lang w:val="en-AU"/>
        </w:rPr>
        <w:t xml:space="preserve"> should be no</w:t>
      </w:r>
      <w:r w:rsidR="004D2FD0" w:rsidRPr="004C5271">
        <w:rPr>
          <w:rFonts w:asciiTheme="majorBidi" w:hAnsiTheme="majorBidi" w:cstheme="majorBidi"/>
          <w:lang w:val="en-AU"/>
        </w:rPr>
        <w:t xml:space="preserve"> automatic right </w:t>
      </w:r>
      <w:r w:rsidR="00A9043D" w:rsidRPr="004C5271">
        <w:rPr>
          <w:rFonts w:asciiTheme="majorBidi" w:hAnsiTheme="majorBidi" w:cstheme="majorBidi"/>
          <w:lang w:val="en-AU"/>
        </w:rPr>
        <w:t>for</w:t>
      </w:r>
      <w:r w:rsidR="004D2FD0" w:rsidRPr="004C5271">
        <w:rPr>
          <w:rFonts w:asciiTheme="majorBidi" w:hAnsiTheme="majorBidi" w:cstheme="majorBidi"/>
          <w:lang w:val="en-AU"/>
        </w:rPr>
        <w:t xml:space="preserve"> individuals </w:t>
      </w:r>
      <w:r w:rsidR="00A9043D" w:rsidRPr="004C5271">
        <w:rPr>
          <w:rFonts w:asciiTheme="majorBidi" w:hAnsiTheme="majorBidi" w:cstheme="majorBidi"/>
          <w:lang w:val="en-AU"/>
        </w:rPr>
        <w:t>to inherit.</w:t>
      </w:r>
      <w:r w:rsidR="004D2FD0" w:rsidRPr="004C5271">
        <w:rPr>
          <w:rFonts w:asciiTheme="majorBidi" w:hAnsiTheme="majorBidi" w:cstheme="majorBidi"/>
          <w:lang w:val="en-AU"/>
        </w:rPr>
        <w:t xml:space="preserve"> </w:t>
      </w:r>
      <w:r w:rsidR="0055616A" w:rsidRPr="004C5271">
        <w:rPr>
          <w:rFonts w:asciiTheme="majorBidi" w:hAnsiTheme="majorBidi" w:cstheme="majorBidi"/>
          <w:lang w:val="en-AU"/>
        </w:rPr>
        <w:t>This</w:t>
      </w:r>
      <w:r w:rsidR="004345AB" w:rsidRPr="004C5271">
        <w:rPr>
          <w:rFonts w:asciiTheme="majorBidi" w:hAnsiTheme="majorBidi" w:cstheme="majorBidi"/>
          <w:lang w:val="en-AU"/>
        </w:rPr>
        <w:t xml:space="preserve"> approach</w:t>
      </w:r>
      <w:r w:rsidR="0055616A" w:rsidRPr="004C5271">
        <w:rPr>
          <w:rFonts w:asciiTheme="majorBidi" w:hAnsiTheme="majorBidi" w:cstheme="majorBidi"/>
          <w:lang w:val="en-AU"/>
        </w:rPr>
        <w:t xml:space="preserve"> contrast</w:t>
      </w:r>
      <w:r w:rsidR="0074463E" w:rsidRPr="004C5271">
        <w:rPr>
          <w:rFonts w:asciiTheme="majorBidi" w:hAnsiTheme="majorBidi" w:cstheme="majorBidi"/>
          <w:lang w:val="en-AU"/>
        </w:rPr>
        <w:t>s</w:t>
      </w:r>
      <w:r w:rsidR="0055616A" w:rsidRPr="004C5271">
        <w:rPr>
          <w:rFonts w:asciiTheme="majorBidi" w:hAnsiTheme="majorBidi" w:cstheme="majorBidi"/>
          <w:lang w:val="en-AU"/>
        </w:rPr>
        <w:t xml:space="preserve"> </w:t>
      </w:r>
      <w:r w:rsidR="0074463E" w:rsidRPr="004C5271">
        <w:rPr>
          <w:rFonts w:asciiTheme="majorBidi" w:hAnsiTheme="majorBidi" w:cstheme="majorBidi"/>
          <w:lang w:val="en-AU"/>
        </w:rPr>
        <w:t>with</w:t>
      </w:r>
      <w:r w:rsidR="0055616A" w:rsidRPr="004C5271">
        <w:rPr>
          <w:rFonts w:asciiTheme="majorBidi" w:hAnsiTheme="majorBidi" w:cstheme="majorBidi"/>
          <w:lang w:val="en-AU"/>
        </w:rPr>
        <w:t xml:space="preserve"> most civil law countries which feature partial forced succession laws, where immediate relatives of the deceased are entitled to certain shares of an estate of which they may not be deprived. Freedom of testation then rests only with that part of the estate not subject to the shares.</w:t>
      </w:r>
    </w:p>
    <w:p w14:paraId="66F8AE5D" w14:textId="75477876" w:rsidR="002857B2" w:rsidRPr="004C5271" w:rsidRDefault="00A9043D" w:rsidP="0055616A">
      <w:pPr>
        <w:pStyle w:val="NormalNumberedTextTLRI"/>
        <w:rPr>
          <w:rFonts w:asciiTheme="majorBidi" w:hAnsiTheme="majorBidi" w:cstheme="majorBidi"/>
          <w:lang w:val="en-AU"/>
        </w:rPr>
      </w:pPr>
      <w:r w:rsidRPr="004C5271">
        <w:rPr>
          <w:rFonts w:asciiTheme="majorBidi" w:hAnsiTheme="majorBidi" w:cstheme="majorBidi"/>
          <w:lang w:val="en-AU"/>
        </w:rPr>
        <w:lastRenderedPageBreak/>
        <w:t>T</w:t>
      </w:r>
      <w:r w:rsidR="0059627F" w:rsidRPr="004C5271">
        <w:rPr>
          <w:rFonts w:asciiTheme="majorBidi" w:hAnsiTheme="majorBidi" w:cstheme="majorBidi"/>
          <w:lang w:val="en-AU"/>
        </w:rPr>
        <w:t xml:space="preserve">he ability of </w:t>
      </w:r>
      <w:r w:rsidR="0055616A" w:rsidRPr="004C5271">
        <w:rPr>
          <w:rFonts w:asciiTheme="majorBidi" w:hAnsiTheme="majorBidi" w:cstheme="majorBidi"/>
          <w:lang w:val="en-AU"/>
        </w:rPr>
        <w:t>a will</w:t>
      </w:r>
      <w:r w:rsidR="000B7F3C" w:rsidRPr="004C5271">
        <w:rPr>
          <w:rFonts w:asciiTheme="majorBidi" w:hAnsiTheme="majorBidi" w:cstheme="majorBidi"/>
          <w:lang w:val="en-AU"/>
        </w:rPr>
        <w:t>-</w:t>
      </w:r>
      <w:r w:rsidR="0055616A" w:rsidRPr="004C5271">
        <w:rPr>
          <w:rFonts w:asciiTheme="majorBidi" w:hAnsiTheme="majorBidi" w:cstheme="majorBidi"/>
          <w:lang w:val="en-AU"/>
        </w:rPr>
        <w:t>maker</w:t>
      </w:r>
      <w:r w:rsidR="0059627F" w:rsidRPr="004C5271">
        <w:rPr>
          <w:rFonts w:asciiTheme="majorBidi" w:hAnsiTheme="majorBidi" w:cstheme="majorBidi"/>
          <w:lang w:val="en-AU"/>
        </w:rPr>
        <w:t xml:space="preserve"> to leave his or her property to who</w:t>
      </w:r>
      <w:r w:rsidR="00AC7225" w:rsidRPr="004C5271">
        <w:rPr>
          <w:rFonts w:asciiTheme="majorBidi" w:hAnsiTheme="majorBidi" w:cstheme="majorBidi"/>
          <w:lang w:val="en-AU"/>
        </w:rPr>
        <w:t>m</w:t>
      </w:r>
      <w:r w:rsidR="0059627F" w:rsidRPr="004C5271">
        <w:rPr>
          <w:rFonts w:asciiTheme="majorBidi" w:hAnsiTheme="majorBidi" w:cstheme="majorBidi"/>
          <w:lang w:val="en-AU"/>
        </w:rPr>
        <w:t>ever pleased him or her wa</w:t>
      </w:r>
      <w:r w:rsidRPr="004C5271">
        <w:rPr>
          <w:rFonts w:asciiTheme="majorBidi" w:hAnsiTheme="majorBidi" w:cstheme="majorBidi"/>
          <w:lang w:val="en-AU"/>
        </w:rPr>
        <w:t>s the dominant doctrine in the common l</w:t>
      </w:r>
      <w:r w:rsidR="0059627F" w:rsidRPr="004C5271">
        <w:rPr>
          <w:rFonts w:asciiTheme="majorBidi" w:hAnsiTheme="majorBidi" w:cstheme="majorBidi"/>
          <w:lang w:val="en-AU"/>
        </w:rPr>
        <w:t>aw world for about 200 years before the twentieth century</w:t>
      </w:r>
      <w:r w:rsidR="0059627F" w:rsidRPr="004C5271">
        <w:rPr>
          <w:rFonts w:asciiTheme="majorBidi" w:hAnsiTheme="majorBidi" w:cstheme="majorBidi"/>
          <w:i/>
          <w:iCs/>
          <w:lang w:val="en-AU"/>
        </w:rPr>
        <w:t>.</w:t>
      </w:r>
      <w:r w:rsidRPr="004C5271">
        <w:rPr>
          <w:rStyle w:val="FootnoteReference"/>
          <w:rFonts w:asciiTheme="majorBidi" w:hAnsiTheme="majorBidi" w:cstheme="majorBidi"/>
          <w:lang w:val="en-AU"/>
        </w:rPr>
        <w:footnoteReference w:id="14"/>
      </w:r>
      <w:r w:rsidR="0055616A" w:rsidRPr="004C5271">
        <w:rPr>
          <w:rFonts w:asciiTheme="majorBidi" w:hAnsiTheme="majorBidi" w:cstheme="majorBidi"/>
          <w:i/>
          <w:iCs/>
          <w:lang w:val="en-AU"/>
        </w:rPr>
        <w:t xml:space="preserve"> </w:t>
      </w:r>
      <w:r w:rsidR="0055616A" w:rsidRPr="004C5271">
        <w:rPr>
          <w:rFonts w:asciiTheme="majorBidi" w:hAnsiTheme="majorBidi" w:cstheme="majorBidi"/>
          <w:lang w:val="en-AU"/>
        </w:rPr>
        <w:t>Due to increasing concerns that c</w:t>
      </w:r>
      <w:r w:rsidR="002857B2" w:rsidRPr="004C5271">
        <w:rPr>
          <w:rFonts w:asciiTheme="majorBidi" w:hAnsiTheme="majorBidi" w:cstheme="majorBidi"/>
          <w:lang w:val="en-AU"/>
        </w:rPr>
        <w:t xml:space="preserve">omplete </w:t>
      </w:r>
      <w:r w:rsidR="002A72AC" w:rsidRPr="004C5271">
        <w:rPr>
          <w:rFonts w:asciiTheme="majorBidi" w:hAnsiTheme="majorBidi" w:cstheme="majorBidi"/>
          <w:lang w:val="en-AU"/>
        </w:rPr>
        <w:t xml:space="preserve">testamentary </w:t>
      </w:r>
      <w:r w:rsidR="002857B2" w:rsidRPr="004C5271">
        <w:rPr>
          <w:rFonts w:asciiTheme="majorBidi" w:hAnsiTheme="majorBidi" w:cstheme="majorBidi"/>
          <w:lang w:val="en-AU"/>
        </w:rPr>
        <w:t xml:space="preserve">freedom </w:t>
      </w:r>
      <w:r w:rsidR="0055616A" w:rsidRPr="004C5271">
        <w:rPr>
          <w:rFonts w:asciiTheme="majorBidi" w:hAnsiTheme="majorBidi" w:cstheme="majorBidi"/>
          <w:lang w:val="en-AU"/>
        </w:rPr>
        <w:t>meant</w:t>
      </w:r>
      <w:r w:rsidR="002857B2" w:rsidRPr="004C5271">
        <w:rPr>
          <w:rFonts w:asciiTheme="majorBidi" w:hAnsiTheme="majorBidi" w:cstheme="majorBidi"/>
          <w:lang w:val="en-AU"/>
        </w:rPr>
        <w:t xml:space="preserve"> that </w:t>
      </w:r>
      <w:r w:rsidR="0055616A" w:rsidRPr="004C5271">
        <w:rPr>
          <w:rFonts w:asciiTheme="majorBidi" w:hAnsiTheme="majorBidi" w:cstheme="majorBidi"/>
          <w:lang w:val="en-AU"/>
        </w:rPr>
        <w:t>will</w:t>
      </w:r>
      <w:r w:rsidR="000B7F3C" w:rsidRPr="004C5271">
        <w:rPr>
          <w:rFonts w:asciiTheme="majorBidi" w:hAnsiTheme="majorBidi" w:cstheme="majorBidi"/>
          <w:lang w:val="en-AU"/>
        </w:rPr>
        <w:t>-</w:t>
      </w:r>
      <w:r w:rsidR="0055616A" w:rsidRPr="004C5271">
        <w:rPr>
          <w:rFonts w:asciiTheme="majorBidi" w:hAnsiTheme="majorBidi" w:cstheme="majorBidi"/>
          <w:lang w:val="en-AU"/>
        </w:rPr>
        <w:t>makers</w:t>
      </w:r>
      <w:r w:rsidR="002857B2" w:rsidRPr="004C5271">
        <w:rPr>
          <w:rFonts w:asciiTheme="majorBidi" w:hAnsiTheme="majorBidi" w:cstheme="majorBidi"/>
          <w:lang w:val="en-AU"/>
        </w:rPr>
        <w:t xml:space="preserve"> </w:t>
      </w:r>
      <w:r w:rsidR="0055616A" w:rsidRPr="004C5271">
        <w:rPr>
          <w:rFonts w:asciiTheme="majorBidi" w:hAnsiTheme="majorBidi" w:cstheme="majorBidi"/>
          <w:lang w:val="en-AU"/>
        </w:rPr>
        <w:t>could entirely</w:t>
      </w:r>
      <w:r w:rsidR="002857B2" w:rsidRPr="004C5271">
        <w:rPr>
          <w:rFonts w:asciiTheme="majorBidi" w:hAnsiTheme="majorBidi" w:cstheme="majorBidi"/>
          <w:lang w:val="en-AU"/>
        </w:rPr>
        <w:t xml:space="preserve"> ignore the claims of </w:t>
      </w:r>
      <w:r w:rsidR="00B47249" w:rsidRPr="004C5271">
        <w:rPr>
          <w:rFonts w:asciiTheme="majorBidi" w:hAnsiTheme="majorBidi" w:cstheme="majorBidi"/>
          <w:lang w:val="en-AU"/>
        </w:rPr>
        <w:t>dependants</w:t>
      </w:r>
      <w:r w:rsidR="0055616A" w:rsidRPr="004C5271">
        <w:rPr>
          <w:rFonts w:asciiTheme="majorBidi" w:hAnsiTheme="majorBidi" w:cstheme="majorBidi"/>
          <w:lang w:val="en-AU"/>
        </w:rPr>
        <w:t xml:space="preserve"> (typically wives and minor children), the early twentieth century saw the introduction of </w:t>
      </w:r>
      <w:r w:rsidR="002857B2" w:rsidRPr="004C5271">
        <w:rPr>
          <w:rFonts w:asciiTheme="majorBidi" w:hAnsiTheme="majorBidi" w:cstheme="majorBidi"/>
          <w:lang w:val="en-AU"/>
        </w:rPr>
        <w:t>legislative intervention to protect those dependants</w:t>
      </w:r>
      <w:r w:rsidR="0055616A" w:rsidRPr="004C5271">
        <w:rPr>
          <w:rFonts w:asciiTheme="majorBidi" w:hAnsiTheme="majorBidi" w:cstheme="majorBidi"/>
          <w:lang w:val="en-AU"/>
        </w:rPr>
        <w:t xml:space="preserve">. </w:t>
      </w:r>
      <w:r w:rsidR="00B47249" w:rsidRPr="004C5271">
        <w:rPr>
          <w:rFonts w:asciiTheme="majorBidi" w:hAnsiTheme="majorBidi" w:cstheme="majorBidi"/>
          <w:lang w:val="en-AU"/>
        </w:rPr>
        <w:t>T</w:t>
      </w:r>
      <w:r w:rsidR="002857B2" w:rsidRPr="004C5271">
        <w:rPr>
          <w:rFonts w:asciiTheme="majorBidi" w:hAnsiTheme="majorBidi" w:cstheme="majorBidi"/>
          <w:lang w:val="en-AU"/>
        </w:rPr>
        <w:t xml:space="preserve">he original suggestions for reform were for the adoption of a mixed system of testate and universal succession, with fixed shares devolving on </w:t>
      </w:r>
      <w:r w:rsidR="00633A71" w:rsidRPr="004C5271">
        <w:rPr>
          <w:rFonts w:asciiTheme="majorBidi" w:hAnsiTheme="majorBidi" w:cstheme="majorBidi"/>
          <w:lang w:val="en-AU"/>
        </w:rPr>
        <w:t>a</w:t>
      </w:r>
      <w:r w:rsidR="00717B65" w:rsidRPr="004C5271">
        <w:rPr>
          <w:rFonts w:asciiTheme="majorBidi" w:hAnsiTheme="majorBidi" w:cstheme="majorBidi"/>
          <w:lang w:val="en-AU"/>
        </w:rPr>
        <w:t xml:space="preserve"> will-maker’s</w:t>
      </w:r>
      <w:r w:rsidR="002857B2" w:rsidRPr="004C5271">
        <w:rPr>
          <w:rFonts w:asciiTheme="majorBidi" w:hAnsiTheme="majorBidi" w:cstheme="majorBidi"/>
          <w:lang w:val="en-AU"/>
        </w:rPr>
        <w:t xml:space="preserve"> wife and</w:t>
      </w:r>
      <w:r w:rsidR="00717B65" w:rsidRPr="004C5271">
        <w:rPr>
          <w:rFonts w:asciiTheme="majorBidi" w:hAnsiTheme="majorBidi" w:cstheme="majorBidi"/>
          <w:lang w:val="en-AU"/>
        </w:rPr>
        <w:t>/or</w:t>
      </w:r>
      <w:r w:rsidR="002857B2" w:rsidRPr="004C5271">
        <w:rPr>
          <w:rFonts w:asciiTheme="majorBidi" w:hAnsiTheme="majorBidi" w:cstheme="majorBidi"/>
          <w:lang w:val="en-AU"/>
        </w:rPr>
        <w:t xml:space="preserve"> children.</w:t>
      </w:r>
      <w:r w:rsidR="00B47249" w:rsidRPr="004C5271">
        <w:rPr>
          <w:rStyle w:val="FootnoteReference"/>
          <w:rFonts w:asciiTheme="majorBidi" w:hAnsiTheme="majorBidi" w:cstheme="majorBidi"/>
          <w:lang w:val="en-AU"/>
        </w:rPr>
        <w:footnoteReference w:id="15"/>
      </w:r>
      <w:r w:rsidR="006C5350" w:rsidRPr="004C5271">
        <w:rPr>
          <w:rFonts w:asciiTheme="majorBidi" w:hAnsiTheme="majorBidi" w:cstheme="majorBidi"/>
          <w:lang w:val="en-AU"/>
        </w:rPr>
        <w:t xml:space="preserve"> </w:t>
      </w:r>
      <w:r w:rsidR="000F6BD4" w:rsidRPr="004C5271">
        <w:rPr>
          <w:rFonts w:asciiTheme="majorBidi" w:hAnsiTheme="majorBidi" w:cstheme="majorBidi"/>
          <w:lang w:val="en-AU"/>
        </w:rPr>
        <w:t>E</w:t>
      </w:r>
      <w:r w:rsidR="002857B2" w:rsidRPr="004C5271">
        <w:rPr>
          <w:rFonts w:asciiTheme="majorBidi" w:hAnsiTheme="majorBidi" w:cstheme="majorBidi"/>
          <w:lang w:val="en-AU"/>
        </w:rPr>
        <w:t>ventually</w:t>
      </w:r>
      <w:r w:rsidR="000F6BD4" w:rsidRPr="004C5271">
        <w:rPr>
          <w:rFonts w:asciiTheme="majorBidi" w:hAnsiTheme="majorBidi" w:cstheme="majorBidi"/>
          <w:lang w:val="en-AU"/>
        </w:rPr>
        <w:t>, however,</w:t>
      </w:r>
      <w:r w:rsidR="002857B2" w:rsidRPr="004C5271">
        <w:rPr>
          <w:rFonts w:asciiTheme="majorBidi" w:hAnsiTheme="majorBidi" w:cstheme="majorBidi"/>
          <w:lang w:val="en-AU"/>
        </w:rPr>
        <w:t xml:space="preserve"> that system was </w:t>
      </w:r>
      <w:r w:rsidR="00AC7225" w:rsidRPr="004C5271">
        <w:rPr>
          <w:rFonts w:asciiTheme="majorBidi" w:hAnsiTheme="majorBidi" w:cstheme="majorBidi"/>
          <w:lang w:val="en-AU"/>
        </w:rPr>
        <w:t>considered to be</w:t>
      </w:r>
      <w:r w:rsidR="002857B2" w:rsidRPr="004C5271">
        <w:rPr>
          <w:rFonts w:asciiTheme="majorBidi" w:hAnsiTheme="majorBidi" w:cstheme="majorBidi"/>
          <w:lang w:val="en-AU"/>
        </w:rPr>
        <w:t xml:space="preserve"> too inflexible and rigid and the solution adopted by all Australian jurisdictions was to vest the courts with a discretionary power to </w:t>
      </w:r>
      <w:r w:rsidR="00C54F8E" w:rsidRPr="004C5271">
        <w:rPr>
          <w:rFonts w:asciiTheme="majorBidi" w:hAnsiTheme="majorBidi" w:cstheme="majorBidi"/>
          <w:lang w:val="en-AU"/>
        </w:rPr>
        <w:t>a</w:t>
      </w:r>
      <w:r w:rsidR="00E86B1B" w:rsidRPr="004C5271">
        <w:rPr>
          <w:rFonts w:asciiTheme="majorBidi" w:hAnsiTheme="majorBidi" w:cstheme="majorBidi"/>
          <w:lang w:val="en-AU"/>
        </w:rPr>
        <w:t>wa</w:t>
      </w:r>
      <w:r w:rsidR="00C54F8E" w:rsidRPr="004C5271">
        <w:rPr>
          <w:rFonts w:asciiTheme="majorBidi" w:hAnsiTheme="majorBidi" w:cstheme="majorBidi"/>
          <w:lang w:val="en-AU"/>
        </w:rPr>
        <w:t xml:space="preserve">rd </w:t>
      </w:r>
      <w:r w:rsidR="002857B2" w:rsidRPr="004C5271">
        <w:rPr>
          <w:rFonts w:asciiTheme="majorBidi" w:hAnsiTheme="majorBidi" w:cstheme="majorBidi"/>
          <w:lang w:val="en-AU"/>
        </w:rPr>
        <w:t>provision where the circumstances were appropriate.</w:t>
      </w:r>
    </w:p>
    <w:p w14:paraId="3549424F" w14:textId="0FF51C1E" w:rsidR="002857B2" w:rsidRPr="004C5271" w:rsidRDefault="002857B2" w:rsidP="003A659D">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3874C1" w:rsidRPr="004C5271">
        <w:rPr>
          <w:rFonts w:asciiTheme="majorBidi" w:hAnsiTheme="majorBidi" w:cstheme="majorBidi"/>
          <w:lang w:val="en-AU"/>
        </w:rPr>
        <w:t xml:space="preserve">first legislation </w:t>
      </w:r>
      <w:r w:rsidR="0082251D" w:rsidRPr="004C5271">
        <w:rPr>
          <w:rFonts w:asciiTheme="majorBidi" w:hAnsiTheme="majorBidi" w:cstheme="majorBidi"/>
          <w:lang w:val="en-AU"/>
        </w:rPr>
        <w:t xml:space="preserve">of this type </w:t>
      </w:r>
      <w:r w:rsidRPr="004C5271">
        <w:rPr>
          <w:rFonts w:asciiTheme="majorBidi" w:hAnsiTheme="majorBidi" w:cstheme="majorBidi"/>
          <w:lang w:val="en-AU"/>
        </w:rPr>
        <w:t xml:space="preserve">was enacted in New Zealand with the passing of the </w:t>
      </w:r>
      <w:r w:rsidRPr="004C5271">
        <w:rPr>
          <w:rFonts w:asciiTheme="majorBidi" w:hAnsiTheme="majorBidi" w:cstheme="majorBidi"/>
          <w:i/>
          <w:lang w:val="en-AU"/>
        </w:rPr>
        <w:t>Testator’s Family Maintenance Act</w:t>
      </w:r>
      <w:r w:rsidRPr="004C5271">
        <w:rPr>
          <w:rFonts w:asciiTheme="majorBidi" w:hAnsiTheme="majorBidi" w:cstheme="majorBidi"/>
          <w:lang w:val="en-AU"/>
        </w:rPr>
        <w:t xml:space="preserve"> in 1900.</w:t>
      </w:r>
      <w:r w:rsidR="00546869" w:rsidRPr="004C5271">
        <w:rPr>
          <w:rFonts w:asciiTheme="majorBidi" w:hAnsiTheme="majorBidi" w:cstheme="majorBidi"/>
          <w:lang w:val="en-AU"/>
        </w:rPr>
        <w:t xml:space="preserve"> </w:t>
      </w:r>
      <w:r w:rsidRPr="004C5271">
        <w:rPr>
          <w:rFonts w:asciiTheme="majorBidi" w:hAnsiTheme="majorBidi" w:cstheme="majorBidi"/>
          <w:lang w:val="en-AU"/>
        </w:rPr>
        <w:t xml:space="preserve">All </w:t>
      </w:r>
      <w:r w:rsidR="00633A71" w:rsidRPr="004C5271">
        <w:rPr>
          <w:rFonts w:asciiTheme="majorBidi" w:hAnsiTheme="majorBidi" w:cstheme="majorBidi"/>
          <w:lang w:val="en-AU"/>
        </w:rPr>
        <w:t xml:space="preserve">Australian </w:t>
      </w:r>
      <w:r w:rsidR="003A659D" w:rsidRPr="004C5271">
        <w:rPr>
          <w:rFonts w:asciiTheme="majorBidi" w:hAnsiTheme="majorBidi" w:cstheme="majorBidi"/>
          <w:lang w:val="en-AU"/>
        </w:rPr>
        <w:t>s</w:t>
      </w:r>
      <w:r w:rsidRPr="004C5271">
        <w:rPr>
          <w:rFonts w:asciiTheme="majorBidi" w:hAnsiTheme="majorBidi" w:cstheme="majorBidi"/>
          <w:lang w:val="en-AU"/>
        </w:rPr>
        <w:t>tate</w:t>
      </w:r>
      <w:r w:rsidR="00467D71" w:rsidRPr="004C5271">
        <w:rPr>
          <w:rFonts w:asciiTheme="majorBidi" w:hAnsiTheme="majorBidi" w:cstheme="majorBidi"/>
          <w:lang w:val="en-AU"/>
        </w:rPr>
        <w:t xml:space="preserve"> and </w:t>
      </w:r>
      <w:r w:rsidR="003A659D" w:rsidRPr="004C5271">
        <w:rPr>
          <w:rFonts w:asciiTheme="majorBidi" w:hAnsiTheme="majorBidi" w:cstheme="majorBidi"/>
          <w:lang w:val="en-AU"/>
        </w:rPr>
        <w:t>t</w:t>
      </w:r>
      <w:r w:rsidR="00467D71" w:rsidRPr="004C5271">
        <w:rPr>
          <w:rFonts w:asciiTheme="majorBidi" w:hAnsiTheme="majorBidi" w:cstheme="majorBidi"/>
          <w:lang w:val="en-AU"/>
        </w:rPr>
        <w:t>erritory</w:t>
      </w:r>
      <w:r w:rsidRPr="004C5271">
        <w:rPr>
          <w:rFonts w:asciiTheme="majorBidi" w:hAnsiTheme="majorBidi" w:cstheme="majorBidi"/>
          <w:lang w:val="en-AU"/>
        </w:rPr>
        <w:t xml:space="preserve"> jurisdict</w:t>
      </w:r>
      <w:r w:rsidR="00B47249" w:rsidRPr="004C5271">
        <w:rPr>
          <w:rFonts w:asciiTheme="majorBidi" w:hAnsiTheme="majorBidi" w:cstheme="majorBidi"/>
          <w:lang w:val="en-AU"/>
        </w:rPr>
        <w:t>ions followed suit:</w:t>
      </w:r>
      <w:r w:rsidRPr="004C5271">
        <w:rPr>
          <w:rFonts w:asciiTheme="majorBidi" w:hAnsiTheme="majorBidi" w:cstheme="majorBidi"/>
          <w:lang w:val="en-AU"/>
        </w:rPr>
        <w:t xml:space="preserve"> Victoria in 1906, Tasmania in 1912, Queensland in 191</w:t>
      </w:r>
      <w:r w:rsidR="00953FFC" w:rsidRPr="004C5271">
        <w:rPr>
          <w:rFonts w:asciiTheme="majorBidi" w:hAnsiTheme="majorBidi" w:cstheme="majorBidi"/>
          <w:lang w:val="en-AU"/>
        </w:rPr>
        <w:t>4</w:t>
      </w:r>
      <w:r w:rsidRPr="004C5271">
        <w:rPr>
          <w:rFonts w:asciiTheme="majorBidi" w:hAnsiTheme="majorBidi" w:cstheme="majorBidi"/>
          <w:lang w:val="en-AU"/>
        </w:rPr>
        <w:t xml:space="preserve">, </w:t>
      </w:r>
      <w:r w:rsidR="00953FFC" w:rsidRPr="004C5271">
        <w:rPr>
          <w:rFonts w:asciiTheme="majorBidi" w:hAnsiTheme="majorBidi" w:cstheme="majorBidi"/>
          <w:lang w:val="en-AU"/>
        </w:rPr>
        <w:t xml:space="preserve">New South Wales in 1916, </w:t>
      </w:r>
      <w:r w:rsidRPr="004C5271">
        <w:rPr>
          <w:rFonts w:asciiTheme="majorBidi" w:hAnsiTheme="majorBidi" w:cstheme="majorBidi"/>
          <w:lang w:val="en-AU"/>
        </w:rPr>
        <w:t xml:space="preserve">South Australia in 1918, Western Australia in 1920 and </w:t>
      </w:r>
      <w:r w:rsidR="00467D71" w:rsidRPr="004C5271">
        <w:rPr>
          <w:rFonts w:asciiTheme="majorBidi" w:hAnsiTheme="majorBidi" w:cstheme="majorBidi"/>
          <w:lang w:val="en-AU"/>
        </w:rPr>
        <w:t xml:space="preserve">both </w:t>
      </w:r>
      <w:r w:rsidRPr="004C5271">
        <w:rPr>
          <w:rFonts w:asciiTheme="majorBidi" w:hAnsiTheme="majorBidi" w:cstheme="majorBidi"/>
          <w:lang w:val="en-AU"/>
        </w:rPr>
        <w:t>the Australian Capital Territory and the Northern Territory</w:t>
      </w:r>
      <w:r w:rsidR="00467D71" w:rsidRPr="004C5271">
        <w:rPr>
          <w:rFonts w:asciiTheme="majorBidi" w:hAnsiTheme="majorBidi" w:cstheme="majorBidi"/>
          <w:lang w:val="en-AU"/>
        </w:rPr>
        <w:t xml:space="preserve"> </w:t>
      </w:r>
      <w:r w:rsidRPr="004C5271">
        <w:rPr>
          <w:rFonts w:asciiTheme="majorBidi" w:hAnsiTheme="majorBidi" w:cstheme="majorBidi"/>
          <w:lang w:val="en-AU"/>
        </w:rPr>
        <w:t>in 1929.</w:t>
      </w:r>
      <w:r w:rsidR="00DD7CB8" w:rsidRPr="004C5271">
        <w:rPr>
          <w:rStyle w:val="FootnoteReference"/>
          <w:rFonts w:asciiTheme="majorBidi" w:hAnsiTheme="majorBidi" w:cstheme="majorBidi"/>
          <w:lang w:val="en-AU"/>
        </w:rPr>
        <w:footnoteReference w:id="16"/>
      </w:r>
      <w:r w:rsidRPr="004C5271">
        <w:rPr>
          <w:rFonts w:asciiTheme="majorBidi" w:hAnsiTheme="majorBidi" w:cstheme="majorBidi"/>
          <w:lang w:val="en-AU"/>
        </w:rPr>
        <w:t xml:space="preserve"> Similar legislation was passed in England in 193</w:t>
      </w:r>
      <w:r w:rsidR="00467D71" w:rsidRPr="004C5271">
        <w:rPr>
          <w:rFonts w:asciiTheme="majorBidi" w:hAnsiTheme="majorBidi" w:cstheme="majorBidi"/>
          <w:lang w:val="en-AU"/>
        </w:rPr>
        <w:t>8</w:t>
      </w:r>
      <w:r w:rsidR="00B47249" w:rsidRPr="004C5271">
        <w:rPr>
          <w:rFonts w:asciiTheme="majorBidi" w:hAnsiTheme="majorBidi" w:cstheme="majorBidi"/>
          <w:lang w:val="en-AU"/>
        </w:rPr>
        <w:t>.</w:t>
      </w:r>
      <w:bookmarkStart w:id="31" w:name="_Ref1668849"/>
      <w:r w:rsidR="00176475" w:rsidRPr="004C5271">
        <w:rPr>
          <w:rStyle w:val="FootnoteReference"/>
          <w:rFonts w:asciiTheme="majorBidi" w:hAnsiTheme="majorBidi" w:cstheme="majorBidi"/>
          <w:lang w:val="en-AU"/>
        </w:rPr>
        <w:footnoteReference w:id="17"/>
      </w:r>
      <w:bookmarkEnd w:id="31"/>
      <w:r w:rsidR="00B47249" w:rsidRPr="004C5271">
        <w:rPr>
          <w:rFonts w:asciiTheme="majorBidi" w:hAnsiTheme="majorBidi" w:cstheme="majorBidi"/>
          <w:lang w:val="en-AU"/>
        </w:rPr>
        <w:t xml:space="preserve"> </w:t>
      </w:r>
      <w:r w:rsidRPr="004C5271">
        <w:rPr>
          <w:rFonts w:asciiTheme="majorBidi" w:hAnsiTheme="majorBidi" w:cstheme="majorBidi"/>
          <w:lang w:val="en-AU"/>
        </w:rPr>
        <w:t xml:space="preserve">The </w:t>
      </w:r>
      <w:r w:rsidR="000F6BD4" w:rsidRPr="004C5271">
        <w:rPr>
          <w:rFonts w:asciiTheme="majorBidi" w:hAnsiTheme="majorBidi" w:cstheme="majorBidi"/>
          <w:lang w:val="en-AU"/>
        </w:rPr>
        <w:t xml:space="preserve">focus </w:t>
      </w:r>
      <w:r w:rsidRPr="004C5271">
        <w:rPr>
          <w:rFonts w:asciiTheme="majorBidi" w:hAnsiTheme="majorBidi" w:cstheme="majorBidi"/>
          <w:lang w:val="en-AU"/>
        </w:rPr>
        <w:t>of the earlier law was</w:t>
      </w:r>
      <w:r w:rsidR="00467D71" w:rsidRPr="004C5271">
        <w:rPr>
          <w:rFonts w:asciiTheme="majorBidi" w:hAnsiTheme="majorBidi" w:cstheme="majorBidi"/>
          <w:lang w:val="en-AU"/>
        </w:rPr>
        <w:t xml:space="preserve"> upon</w:t>
      </w:r>
      <w:r w:rsidRPr="004C5271">
        <w:rPr>
          <w:rFonts w:asciiTheme="majorBidi" w:hAnsiTheme="majorBidi" w:cstheme="majorBidi"/>
          <w:lang w:val="en-AU"/>
        </w:rPr>
        <w:t xml:space="preserve"> the protection of widow</w:t>
      </w:r>
      <w:r w:rsidR="008328D6" w:rsidRPr="004C5271">
        <w:rPr>
          <w:rFonts w:asciiTheme="majorBidi" w:hAnsiTheme="majorBidi" w:cstheme="majorBidi"/>
          <w:lang w:val="en-AU"/>
        </w:rPr>
        <w:t>s</w:t>
      </w:r>
      <w:r w:rsidRPr="004C5271">
        <w:rPr>
          <w:rFonts w:asciiTheme="majorBidi" w:hAnsiTheme="majorBidi" w:cstheme="majorBidi"/>
          <w:lang w:val="en-AU"/>
        </w:rPr>
        <w:t>, a</w:t>
      </w:r>
      <w:r w:rsidR="00953FFC" w:rsidRPr="004C5271">
        <w:rPr>
          <w:rFonts w:asciiTheme="majorBidi" w:hAnsiTheme="majorBidi" w:cstheme="majorBidi"/>
          <w:lang w:val="en-AU"/>
        </w:rPr>
        <w:t>s</w:t>
      </w:r>
      <w:r w:rsidRPr="004C5271">
        <w:rPr>
          <w:rFonts w:asciiTheme="majorBidi" w:hAnsiTheme="majorBidi" w:cstheme="majorBidi"/>
          <w:lang w:val="en-AU"/>
        </w:rPr>
        <w:t xml:space="preserve"> </w:t>
      </w:r>
      <w:r w:rsidR="00953FFC" w:rsidRPr="004C5271">
        <w:rPr>
          <w:rFonts w:asciiTheme="majorBidi" w:hAnsiTheme="majorBidi" w:cstheme="majorBidi"/>
          <w:lang w:val="en-AU"/>
        </w:rPr>
        <w:t xml:space="preserve">exemplified </w:t>
      </w:r>
      <w:r w:rsidRPr="004C5271">
        <w:rPr>
          <w:rFonts w:asciiTheme="majorBidi" w:hAnsiTheme="majorBidi" w:cstheme="majorBidi"/>
          <w:lang w:val="en-AU"/>
        </w:rPr>
        <w:t xml:space="preserve">by the parliamentary remarks </w:t>
      </w:r>
      <w:r w:rsidR="008A02E9" w:rsidRPr="004C5271">
        <w:rPr>
          <w:rFonts w:asciiTheme="majorBidi" w:hAnsiTheme="majorBidi" w:cstheme="majorBidi"/>
          <w:lang w:val="en-AU"/>
        </w:rPr>
        <w:t>of</w:t>
      </w:r>
      <w:r w:rsidRPr="004C5271">
        <w:rPr>
          <w:rFonts w:asciiTheme="majorBidi" w:hAnsiTheme="majorBidi" w:cstheme="majorBidi"/>
          <w:lang w:val="en-AU"/>
        </w:rPr>
        <w:t xml:space="preserve"> the Attorney-General of New </w:t>
      </w:r>
      <w:r w:rsidRPr="004C5271">
        <w:rPr>
          <w:rFonts w:asciiTheme="majorBidi" w:hAnsiTheme="majorBidi" w:cstheme="majorBidi"/>
          <w:lang w:val="en-AU"/>
        </w:rPr>
        <w:lastRenderedPageBreak/>
        <w:t>South Wales preceding the introduction of the original New South Wales Act of 1916</w:t>
      </w:r>
      <w:r w:rsidR="008A02E9" w:rsidRPr="004C5271">
        <w:rPr>
          <w:rFonts w:asciiTheme="majorBidi" w:hAnsiTheme="majorBidi" w:cstheme="majorBidi"/>
          <w:lang w:val="en-AU"/>
        </w:rPr>
        <w:t>:</w:t>
      </w:r>
      <w:r w:rsidR="00953FFC" w:rsidRPr="004C5271">
        <w:rPr>
          <w:rFonts w:asciiTheme="majorBidi" w:hAnsiTheme="majorBidi" w:cstheme="majorBidi"/>
          <w:lang w:val="en-AU"/>
        </w:rPr>
        <w:t xml:space="preserve"> </w:t>
      </w:r>
    </w:p>
    <w:p w14:paraId="5681AC09" w14:textId="4F17A9EA" w:rsidR="002857B2" w:rsidRPr="004C5271" w:rsidRDefault="002857B2" w:rsidP="00C47D98">
      <w:pPr>
        <w:pStyle w:val="QuoteTLRI"/>
        <w:rPr>
          <w:rFonts w:asciiTheme="majorBidi" w:hAnsiTheme="majorBidi" w:cstheme="majorBidi"/>
        </w:rPr>
      </w:pPr>
      <w:r w:rsidRPr="004C5271">
        <w:rPr>
          <w:rFonts w:asciiTheme="majorBidi" w:hAnsiTheme="majorBidi" w:cstheme="majorBidi"/>
        </w:rPr>
        <w:t>It is remarkable that in Australia, where the rights of women have developed as rapidly as the matter of property, we have wiped out whatever right a woman has in the estate of her husband.</w:t>
      </w:r>
      <w:r w:rsidR="00956543" w:rsidRPr="004C5271">
        <w:rPr>
          <w:rFonts w:asciiTheme="majorBidi" w:hAnsiTheme="majorBidi" w:cstheme="majorBidi"/>
        </w:rPr>
        <w:t xml:space="preserve"> </w:t>
      </w:r>
      <w:r w:rsidRPr="004C5271">
        <w:rPr>
          <w:rFonts w:asciiTheme="majorBidi" w:hAnsiTheme="majorBidi" w:cstheme="majorBidi"/>
        </w:rPr>
        <w:t>The dower which existed here for many years exists no longer. It was abolished in the year 1890 and today a man may</w:t>
      </w:r>
      <w:r w:rsidR="00A552B3" w:rsidRPr="004C5271">
        <w:rPr>
          <w:rFonts w:asciiTheme="majorBidi" w:hAnsiTheme="majorBidi" w:cstheme="majorBidi"/>
        </w:rPr>
        <w:t xml:space="preserve"> leave the whole of his property</w:t>
      </w:r>
      <w:r w:rsidRPr="004C5271">
        <w:rPr>
          <w:rFonts w:asciiTheme="majorBidi" w:hAnsiTheme="majorBidi" w:cstheme="majorBidi"/>
        </w:rPr>
        <w:t xml:space="preserve"> both real and personal, to any stranger to whom he chooses to leave it.</w:t>
      </w:r>
      <w:r w:rsidR="00956543" w:rsidRPr="004C5271">
        <w:rPr>
          <w:rFonts w:asciiTheme="majorBidi" w:hAnsiTheme="majorBidi" w:cstheme="majorBidi"/>
        </w:rPr>
        <w:t xml:space="preserve"> </w:t>
      </w:r>
      <w:r w:rsidRPr="004C5271">
        <w:rPr>
          <w:rFonts w:asciiTheme="majorBidi" w:hAnsiTheme="majorBidi" w:cstheme="majorBidi"/>
        </w:rPr>
        <w:t>The wife may have been with him a partner for forty or fifty years. She may have assisted him in acquiring whatever wealth he possesses, yet he, dying, may</w:t>
      </w:r>
      <w:r w:rsidR="00942020" w:rsidRPr="004C5271">
        <w:rPr>
          <w:rFonts w:asciiTheme="majorBidi" w:hAnsiTheme="majorBidi" w:cstheme="majorBidi"/>
        </w:rPr>
        <w:t xml:space="preserve"> will the</w:t>
      </w:r>
      <w:r w:rsidRPr="004C5271">
        <w:rPr>
          <w:rFonts w:asciiTheme="majorBidi" w:hAnsiTheme="majorBidi" w:cstheme="majorBidi"/>
        </w:rPr>
        <w:t xml:space="preserve"> property away and leave her depend</w:t>
      </w:r>
      <w:r w:rsidR="006C5350" w:rsidRPr="004C5271">
        <w:rPr>
          <w:rFonts w:asciiTheme="majorBidi" w:hAnsiTheme="majorBidi" w:cstheme="majorBidi"/>
        </w:rPr>
        <w:t>e</w:t>
      </w:r>
      <w:r w:rsidRPr="004C5271">
        <w:rPr>
          <w:rFonts w:asciiTheme="majorBidi" w:hAnsiTheme="majorBidi" w:cstheme="majorBidi"/>
        </w:rPr>
        <w:t xml:space="preserve">nt on the kindness of friends or the </w:t>
      </w:r>
      <w:r w:rsidR="00942020" w:rsidRPr="004C5271">
        <w:rPr>
          <w:rFonts w:asciiTheme="majorBidi" w:hAnsiTheme="majorBidi" w:cstheme="majorBidi"/>
        </w:rPr>
        <w:t>charity of the state</w:t>
      </w:r>
      <w:r w:rsidRPr="004C5271">
        <w:rPr>
          <w:rFonts w:asciiTheme="majorBidi" w:hAnsiTheme="majorBidi" w:cstheme="majorBidi"/>
        </w:rPr>
        <w:t>.</w:t>
      </w:r>
      <w:r w:rsidR="00956543" w:rsidRPr="004C5271">
        <w:rPr>
          <w:rFonts w:asciiTheme="majorBidi" w:hAnsiTheme="majorBidi" w:cstheme="majorBidi"/>
        </w:rPr>
        <w:t xml:space="preserve"> </w:t>
      </w:r>
      <w:r w:rsidRPr="004C5271">
        <w:rPr>
          <w:rFonts w:asciiTheme="majorBidi" w:hAnsiTheme="majorBidi" w:cstheme="majorBidi"/>
        </w:rPr>
        <w:t>During his lifetime he cannot do that, for it is incumbent on him to maintain his wife. Th</w:t>
      </w:r>
      <w:r w:rsidR="00942020" w:rsidRPr="004C5271">
        <w:rPr>
          <w:rFonts w:asciiTheme="majorBidi" w:hAnsiTheme="majorBidi" w:cstheme="majorBidi"/>
        </w:rPr>
        <w:t xml:space="preserve">e object of </w:t>
      </w:r>
      <w:r w:rsidRPr="004C5271">
        <w:rPr>
          <w:rFonts w:asciiTheme="majorBidi" w:hAnsiTheme="majorBidi" w:cstheme="majorBidi"/>
        </w:rPr>
        <w:t xml:space="preserve">the Bill is to secure that after her husband’s death the right of the wife to get </w:t>
      </w:r>
      <w:proofErr w:type="gramStart"/>
      <w:r w:rsidRPr="004C5271">
        <w:rPr>
          <w:rFonts w:asciiTheme="majorBidi" w:hAnsiTheme="majorBidi" w:cstheme="majorBidi"/>
        </w:rPr>
        <w:t>sufficient</w:t>
      </w:r>
      <w:proofErr w:type="gramEnd"/>
      <w:r w:rsidRPr="004C5271">
        <w:rPr>
          <w:rFonts w:asciiTheme="majorBidi" w:hAnsiTheme="majorBidi" w:cstheme="majorBidi"/>
        </w:rPr>
        <w:t xml:space="preserve"> </w:t>
      </w:r>
      <w:r w:rsidR="00942020" w:rsidRPr="004C5271">
        <w:rPr>
          <w:rFonts w:asciiTheme="majorBidi" w:hAnsiTheme="majorBidi" w:cstheme="majorBidi"/>
        </w:rPr>
        <w:t>from h</w:t>
      </w:r>
      <w:r w:rsidRPr="004C5271">
        <w:rPr>
          <w:rFonts w:asciiTheme="majorBidi" w:hAnsiTheme="majorBidi" w:cstheme="majorBidi"/>
        </w:rPr>
        <w:t>is estate to maintain her shall continue, and the right of his children shall be equally preserved.</w:t>
      </w:r>
      <w:r w:rsidR="00176475" w:rsidRPr="004C5271">
        <w:rPr>
          <w:rStyle w:val="FootnoteReference"/>
          <w:rFonts w:asciiTheme="majorBidi" w:hAnsiTheme="majorBidi" w:cstheme="majorBidi"/>
        </w:rPr>
        <w:footnoteReference w:id="18"/>
      </w:r>
    </w:p>
    <w:p w14:paraId="1975F568" w14:textId="77777777" w:rsidR="00142BE2" w:rsidRPr="004C5271" w:rsidRDefault="00383473" w:rsidP="00142BE2">
      <w:pPr>
        <w:pStyle w:val="NormalNumberedTextTLRI"/>
        <w:rPr>
          <w:rFonts w:asciiTheme="majorBidi" w:hAnsiTheme="majorBidi" w:cstheme="majorBidi"/>
          <w:lang w:val="en-AU"/>
        </w:rPr>
      </w:pPr>
      <w:r w:rsidRPr="004C5271">
        <w:rPr>
          <w:rFonts w:asciiTheme="majorBidi" w:hAnsiTheme="majorBidi" w:cstheme="majorBidi"/>
          <w:lang w:val="en-AU"/>
        </w:rPr>
        <w:tab/>
      </w:r>
      <w:bookmarkStart w:id="32" w:name="_Ref13504489"/>
      <w:r w:rsidR="000F3664" w:rsidRPr="004C5271">
        <w:rPr>
          <w:rFonts w:asciiTheme="majorBidi" w:hAnsiTheme="majorBidi" w:cstheme="majorBidi"/>
          <w:lang w:val="en-AU"/>
        </w:rPr>
        <w:t>As is evident in this</w:t>
      </w:r>
      <w:r w:rsidR="002857B2" w:rsidRPr="004C5271">
        <w:rPr>
          <w:rFonts w:asciiTheme="majorBidi" w:hAnsiTheme="majorBidi" w:cstheme="majorBidi"/>
          <w:lang w:val="en-AU"/>
        </w:rPr>
        <w:t xml:space="preserve"> statement</w:t>
      </w:r>
      <w:r w:rsidR="00937403" w:rsidRPr="004C5271">
        <w:rPr>
          <w:rFonts w:asciiTheme="majorBidi" w:hAnsiTheme="majorBidi" w:cstheme="majorBidi"/>
          <w:lang w:val="en-AU"/>
        </w:rPr>
        <w:t>,</w:t>
      </w:r>
      <w:r w:rsidR="002857B2" w:rsidRPr="004C5271">
        <w:rPr>
          <w:rFonts w:asciiTheme="majorBidi" w:hAnsiTheme="majorBidi" w:cstheme="majorBidi"/>
          <w:lang w:val="en-AU"/>
        </w:rPr>
        <w:t xml:space="preserve"> the original legislation was directed at the protection of women, </w:t>
      </w:r>
      <w:r w:rsidR="0082251D" w:rsidRPr="004C5271">
        <w:rPr>
          <w:rFonts w:asciiTheme="majorBidi" w:hAnsiTheme="majorBidi" w:cstheme="majorBidi"/>
          <w:lang w:val="en-AU"/>
        </w:rPr>
        <w:t>along with</w:t>
      </w:r>
      <w:r w:rsidR="002857B2" w:rsidRPr="004C5271">
        <w:rPr>
          <w:rFonts w:asciiTheme="majorBidi" w:hAnsiTheme="majorBidi" w:cstheme="majorBidi"/>
          <w:lang w:val="en-AU"/>
        </w:rPr>
        <w:t xml:space="preserve"> the children of </w:t>
      </w:r>
      <w:r w:rsidR="0082251D" w:rsidRPr="004C5271">
        <w:rPr>
          <w:rFonts w:asciiTheme="majorBidi" w:hAnsiTheme="majorBidi" w:cstheme="majorBidi"/>
          <w:lang w:val="en-AU"/>
        </w:rPr>
        <w:t>a</w:t>
      </w:r>
      <w:r w:rsidR="002857B2" w:rsidRPr="004C5271">
        <w:rPr>
          <w:rFonts w:asciiTheme="majorBidi" w:hAnsiTheme="majorBidi" w:cstheme="majorBidi"/>
          <w:lang w:val="en-AU"/>
        </w:rPr>
        <w:t xml:space="preserve"> marriage.</w:t>
      </w:r>
      <w:r w:rsidR="0086438D" w:rsidRPr="004C5271">
        <w:rPr>
          <w:rStyle w:val="FootnoteReference"/>
          <w:rFonts w:asciiTheme="majorBidi" w:hAnsiTheme="majorBidi" w:cstheme="majorBidi"/>
          <w:lang w:val="en-AU"/>
        </w:rPr>
        <w:footnoteReference w:id="19"/>
      </w:r>
      <w:r w:rsidR="002857B2" w:rsidRPr="004C5271">
        <w:rPr>
          <w:rFonts w:asciiTheme="majorBidi" w:hAnsiTheme="majorBidi" w:cstheme="majorBidi"/>
          <w:lang w:val="en-AU"/>
        </w:rPr>
        <w:t xml:space="preserve"> </w:t>
      </w:r>
      <w:r w:rsidR="00A301B8" w:rsidRPr="004C5271">
        <w:rPr>
          <w:rFonts w:asciiTheme="majorBidi" w:hAnsiTheme="majorBidi" w:cstheme="majorBidi"/>
          <w:lang w:val="en-AU"/>
        </w:rPr>
        <w:t xml:space="preserve">Those individuals were </w:t>
      </w:r>
      <w:r w:rsidR="00633A71" w:rsidRPr="004C5271">
        <w:rPr>
          <w:rFonts w:asciiTheme="majorBidi" w:hAnsiTheme="majorBidi" w:cstheme="majorBidi"/>
          <w:lang w:val="en-AU"/>
        </w:rPr>
        <w:t>likely to be financially dependent on their husbands and</w:t>
      </w:r>
      <w:r w:rsidR="00A301B8" w:rsidRPr="004C5271">
        <w:rPr>
          <w:rFonts w:asciiTheme="majorBidi" w:hAnsiTheme="majorBidi" w:cstheme="majorBidi"/>
          <w:lang w:val="en-AU"/>
        </w:rPr>
        <w:t xml:space="preserve"> have </w:t>
      </w:r>
      <w:r w:rsidR="00A301B8" w:rsidRPr="004C5271">
        <w:rPr>
          <w:rFonts w:asciiTheme="majorBidi" w:hAnsiTheme="majorBidi" w:cstheme="majorBidi"/>
          <w:lang w:val="en-AU"/>
        </w:rPr>
        <w:lastRenderedPageBreak/>
        <w:t>limited prospects to earn an income.</w:t>
      </w:r>
      <w:r w:rsidR="00A301B8" w:rsidRPr="004C5271">
        <w:rPr>
          <w:rStyle w:val="FootnoteReference"/>
          <w:rFonts w:asciiTheme="majorBidi" w:eastAsia="Times New Roman" w:hAnsiTheme="majorBidi" w:cstheme="majorBidi"/>
          <w:color w:val="333333"/>
          <w:lang w:val="en-AU"/>
        </w:rPr>
        <w:footnoteReference w:id="20"/>
      </w:r>
      <w:r w:rsidR="00A301B8" w:rsidRPr="004C5271">
        <w:rPr>
          <w:rFonts w:asciiTheme="majorBidi" w:hAnsiTheme="majorBidi" w:cstheme="majorBidi"/>
          <w:sz w:val="20"/>
          <w:lang w:val="en-AU"/>
        </w:rPr>
        <w:t xml:space="preserve"> </w:t>
      </w:r>
      <w:r w:rsidR="002857B2" w:rsidRPr="004C5271">
        <w:rPr>
          <w:rFonts w:asciiTheme="majorBidi" w:hAnsiTheme="majorBidi" w:cstheme="majorBidi"/>
          <w:lang w:val="en-AU"/>
        </w:rPr>
        <w:t>Over time, however</w:t>
      </w:r>
      <w:r w:rsidR="00AC59C1" w:rsidRPr="004C5271">
        <w:rPr>
          <w:rFonts w:asciiTheme="majorBidi" w:hAnsiTheme="majorBidi" w:cstheme="majorBidi"/>
          <w:lang w:val="en-AU"/>
        </w:rPr>
        <w:t>,</w:t>
      </w:r>
      <w:r w:rsidR="002857B2" w:rsidRPr="004C5271">
        <w:rPr>
          <w:rFonts w:asciiTheme="majorBidi" w:hAnsiTheme="majorBidi" w:cstheme="majorBidi"/>
          <w:lang w:val="en-AU"/>
        </w:rPr>
        <w:t xml:space="preserve"> </w:t>
      </w:r>
      <w:r w:rsidR="00D41D62" w:rsidRPr="004C5271">
        <w:rPr>
          <w:rFonts w:asciiTheme="majorBidi" w:hAnsiTheme="majorBidi" w:cstheme="majorBidi"/>
          <w:lang w:val="en-AU"/>
        </w:rPr>
        <w:t xml:space="preserve">the categories </w:t>
      </w:r>
      <w:r w:rsidR="00953FFC" w:rsidRPr="004C5271">
        <w:rPr>
          <w:rFonts w:asciiTheme="majorBidi" w:hAnsiTheme="majorBidi" w:cstheme="majorBidi"/>
          <w:lang w:val="en-AU"/>
        </w:rPr>
        <w:t xml:space="preserve">of </w:t>
      </w:r>
      <w:r w:rsidR="002857B2" w:rsidRPr="004C5271">
        <w:rPr>
          <w:rFonts w:asciiTheme="majorBidi" w:hAnsiTheme="majorBidi" w:cstheme="majorBidi"/>
          <w:lang w:val="en-AU"/>
        </w:rPr>
        <w:t xml:space="preserve">eligible applicants </w:t>
      </w:r>
      <w:r w:rsidR="00D41D62" w:rsidRPr="004C5271">
        <w:rPr>
          <w:rFonts w:asciiTheme="majorBidi" w:hAnsiTheme="majorBidi" w:cstheme="majorBidi"/>
          <w:lang w:val="en-AU"/>
        </w:rPr>
        <w:t>have been</w:t>
      </w:r>
      <w:r w:rsidR="00953FFC" w:rsidRPr="004C5271">
        <w:rPr>
          <w:rFonts w:asciiTheme="majorBidi" w:hAnsiTheme="majorBidi" w:cstheme="majorBidi"/>
          <w:lang w:val="en-AU"/>
        </w:rPr>
        <w:t xml:space="preserve"> </w:t>
      </w:r>
      <w:r w:rsidR="000F3664" w:rsidRPr="004C5271">
        <w:rPr>
          <w:rFonts w:asciiTheme="majorBidi" w:hAnsiTheme="majorBidi" w:cstheme="majorBidi"/>
          <w:lang w:val="en-AU"/>
        </w:rPr>
        <w:t xml:space="preserve">expanded. </w:t>
      </w:r>
      <w:r w:rsidR="00142BE2" w:rsidRPr="004C5271">
        <w:rPr>
          <w:rFonts w:asciiTheme="majorBidi" w:hAnsiTheme="majorBidi" w:cstheme="majorBidi"/>
          <w:lang w:val="en-AU"/>
        </w:rPr>
        <w:t xml:space="preserve">Justice Callinan in </w:t>
      </w:r>
      <w:r w:rsidR="00142BE2" w:rsidRPr="004C5271">
        <w:rPr>
          <w:rFonts w:asciiTheme="majorBidi" w:hAnsiTheme="majorBidi" w:cstheme="majorBidi"/>
          <w:i/>
          <w:lang w:val="en-AU"/>
        </w:rPr>
        <w:t>Barns v Barns</w:t>
      </w:r>
      <w:r w:rsidR="00142BE2" w:rsidRPr="004C5271">
        <w:rPr>
          <w:rStyle w:val="FootnoteReference"/>
          <w:rFonts w:asciiTheme="majorBidi" w:hAnsiTheme="majorBidi" w:cstheme="majorBidi"/>
          <w:lang w:val="en-AU"/>
        </w:rPr>
        <w:footnoteReference w:id="21"/>
      </w:r>
      <w:r w:rsidR="00142BE2" w:rsidRPr="004C5271">
        <w:rPr>
          <w:rFonts w:asciiTheme="majorBidi" w:hAnsiTheme="majorBidi" w:cstheme="majorBidi"/>
          <w:lang w:val="en-AU"/>
        </w:rPr>
        <w:t xml:space="preserve"> commented upon the widening of family provision legislation since its inception, quoting the following passage from </w:t>
      </w:r>
      <w:r w:rsidR="00142BE2" w:rsidRPr="004C5271">
        <w:rPr>
          <w:rFonts w:asciiTheme="majorBidi" w:hAnsiTheme="majorBidi" w:cstheme="majorBidi"/>
          <w:i/>
          <w:lang w:val="en-AU"/>
        </w:rPr>
        <w:t>White v Barron</w:t>
      </w:r>
      <w:r w:rsidR="00142BE2" w:rsidRPr="004C5271">
        <w:rPr>
          <w:rFonts w:asciiTheme="majorBidi" w:hAnsiTheme="majorBidi" w:cstheme="majorBidi"/>
          <w:lang w:val="en-AU"/>
        </w:rPr>
        <w:t>:</w:t>
      </w:r>
      <w:r w:rsidR="00142BE2" w:rsidRPr="004C5271">
        <w:rPr>
          <w:rStyle w:val="FootnoteReference"/>
          <w:rFonts w:asciiTheme="majorBidi" w:hAnsiTheme="majorBidi" w:cstheme="majorBidi"/>
          <w:lang w:val="en-AU"/>
        </w:rPr>
        <w:footnoteReference w:id="22"/>
      </w:r>
      <w:bookmarkEnd w:id="32"/>
      <w:r w:rsidR="00142BE2" w:rsidRPr="004C5271">
        <w:rPr>
          <w:rFonts w:asciiTheme="majorBidi" w:hAnsiTheme="majorBidi" w:cstheme="majorBidi"/>
          <w:lang w:val="en-AU"/>
        </w:rPr>
        <w:t xml:space="preserve"> </w:t>
      </w:r>
    </w:p>
    <w:p w14:paraId="5D5467C7" w14:textId="77777777" w:rsidR="00142BE2" w:rsidRPr="004C5271" w:rsidRDefault="00142BE2" w:rsidP="00BA0B29">
      <w:pPr>
        <w:pStyle w:val="QuoteTLRI"/>
        <w:rPr>
          <w:rFonts w:asciiTheme="majorBidi" w:hAnsiTheme="majorBidi" w:cstheme="majorBidi"/>
        </w:rPr>
      </w:pPr>
      <w:r w:rsidRPr="004C5271">
        <w:rPr>
          <w:rFonts w:asciiTheme="majorBidi" w:hAnsiTheme="majorBidi" w:cstheme="majorBidi"/>
        </w:rPr>
        <w:t>From time to time the enactments have been amended, almost always in the direction of wider access to the relief which the legislation affords. This has no doubt occurred in response to the pressures created by social change.</w:t>
      </w:r>
      <w:r w:rsidRPr="004C5271">
        <w:rPr>
          <w:rStyle w:val="FootnoteReference"/>
          <w:rFonts w:asciiTheme="majorBidi" w:hAnsiTheme="majorBidi" w:cstheme="majorBidi"/>
        </w:rPr>
        <w:footnoteReference w:id="23"/>
      </w:r>
    </w:p>
    <w:p w14:paraId="0A1E24B3" w14:textId="0105AD8D" w:rsidR="00142BE2" w:rsidRPr="004C5271" w:rsidRDefault="00142BE2" w:rsidP="00142BE2">
      <w:pPr>
        <w:pStyle w:val="NormalNumberedTextTLRI"/>
        <w:rPr>
          <w:rFonts w:asciiTheme="majorBidi" w:hAnsiTheme="majorBidi" w:cstheme="majorBidi"/>
          <w:lang w:val="en-AU"/>
        </w:rPr>
      </w:pPr>
      <w:r w:rsidRPr="004C5271">
        <w:rPr>
          <w:rFonts w:asciiTheme="majorBidi" w:hAnsiTheme="majorBidi" w:cstheme="majorBidi"/>
          <w:lang w:val="en-AU"/>
        </w:rPr>
        <w:t xml:space="preserve">Any future reform to family provision legislation should consider </w:t>
      </w:r>
      <w:r w:rsidR="009C2012" w:rsidRPr="004C5271">
        <w:rPr>
          <w:rFonts w:asciiTheme="majorBidi" w:hAnsiTheme="majorBidi" w:cstheme="majorBidi"/>
          <w:lang w:val="en-AU"/>
        </w:rPr>
        <w:t xml:space="preserve">its </w:t>
      </w:r>
      <w:r w:rsidRPr="004C5271">
        <w:rPr>
          <w:rFonts w:asciiTheme="majorBidi" w:hAnsiTheme="majorBidi" w:cstheme="majorBidi"/>
          <w:lang w:val="en-AU"/>
        </w:rPr>
        <w:t>purpose and intent within contemporary society.</w:t>
      </w:r>
      <w:bookmarkStart w:id="33" w:name="_Ref13410292"/>
      <w:r w:rsidRPr="004C5271">
        <w:rPr>
          <w:rStyle w:val="FootnoteReference"/>
          <w:rFonts w:asciiTheme="majorBidi" w:hAnsiTheme="majorBidi" w:cstheme="majorBidi"/>
          <w:lang w:val="en-AU"/>
        </w:rPr>
        <w:footnoteReference w:id="24"/>
      </w:r>
      <w:bookmarkEnd w:id="33"/>
      <w:r w:rsidRPr="004C5271">
        <w:rPr>
          <w:rFonts w:asciiTheme="majorBidi" w:hAnsiTheme="majorBidi" w:cstheme="majorBidi"/>
          <w:lang w:val="en-AU"/>
        </w:rPr>
        <w:t xml:space="preserve"> Former Queensland Supreme Court Judge, Justice Atkinson, has said the following about the policy behind family provision legislation and its relevance to future law reform:</w:t>
      </w:r>
    </w:p>
    <w:p w14:paraId="41728D9E" w14:textId="77777777" w:rsidR="00142BE2" w:rsidRPr="004C5271" w:rsidRDefault="00142BE2" w:rsidP="00BA0B29">
      <w:pPr>
        <w:pStyle w:val="QuoteTLRI"/>
        <w:rPr>
          <w:rFonts w:asciiTheme="majorBidi" w:hAnsiTheme="majorBidi" w:cstheme="majorBidi"/>
        </w:rPr>
      </w:pPr>
      <w:r w:rsidRPr="004C5271">
        <w:rPr>
          <w:rFonts w:asciiTheme="majorBidi" w:hAnsiTheme="majorBidi" w:cstheme="majorBidi"/>
        </w:rPr>
        <w:t xml:space="preserve">The law of family provision has two broad objectives: to allow substantial testamentary freedom in the disposition of property and to ensure that those with a legitimate moral claim on the estate are adequately provided for. Law reform must seek to find an appropriate balance between these two often competing objectives, </w:t>
      </w:r>
      <w:proofErr w:type="gramStart"/>
      <w:r w:rsidRPr="004C5271">
        <w:rPr>
          <w:rFonts w:asciiTheme="majorBidi" w:hAnsiTheme="majorBidi" w:cstheme="majorBidi"/>
        </w:rPr>
        <w:t>in light of</w:t>
      </w:r>
      <w:proofErr w:type="gramEnd"/>
      <w:r w:rsidRPr="004C5271">
        <w:rPr>
          <w:rFonts w:asciiTheme="majorBidi" w:hAnsiTheme="majorBidi" w:cstheme="majorBidi"/>
        </w:rPr>
        <w:t xml:space="preserve"> changing societal circumstances. In addition, law reform should seek to reduce the number of opportunistic claims, while ensuring that those with legitimate claims are not improperly excluded and to reduce the complexity created by the different regimes in the various states and territories.</w:t>
      </w:r>
      <w:bookmarkStart w:id="34" w:name="_Ref13493324"/>
      <w:r w:rsidRPr="004C5271">
        <w:rPr>
          <w:rStyle w:val="FootnoteReference"/>
          <w:rFonts w:asciiTheme="majorBidi" w:eastAsia="Times New Roman" w:hAnsiTheme="majorBidi" w:cstheme="majorBidi"/>
          <w:color w:val="333333"/>
        </w:rPr>
        <w:footnoteReference w:id="25"/>
      </w:r>
      <w:bookmarkEnd w:id="34"/>
    </w:p>
    <w:p w14:paraId="09019B0B" w14:textId="7023D00F" w:rsidR="00AC59C1" w:rsidRPr="004C5271" w:rsidRDefault="00B47249" w:rsidP="00D41D62">
      <w:pPr>
        <w:pStyle w:val="NumberedHeadingTLRI"/>
        <w:rPr>
          <w:rFonts w:asciiTheme="majorBidi" w:hAnsiTheme="majorBidi" w:cstheme="majorBidi"/>
          <w:lang w:val="en-AU"/>
        </w:rPr>
      </w:pPr>
      <w:bookmarkStart w:id="35" w:name="_Toc12268933"/>
      <w:r w:rsidRPr="004C5271">
        <w:rPr>
          <w:rFonts w:asciiTheme="majorBidi" w:hAnsiTheme="majorBidi" w:cstheme="majorBidi"/>
          <w:lang w:val="en-AU"/>
        </w:rPr>
        <w:lastRenderedPageBreak/>
        <w:t>T</w:t>
      </w:r>
      <w:r w:rsidR="00AC59C1" w:rsidRPr="004C5271">
        <w:rPr>
          <w:rFonts w:asciiTheme="majorBidi" w:hAnsiTheme="majorBidi" w:cstheme="majorBidi"/>
          <w:lang w:val="en-AU"/>
        </w:rPr>
        <w:t xml:space="preserve">he </w:t>
      </w:r>
      <w:r w:rsidR="00AC59C1" w:rsidRPr="004C5271">
        <w:rPr>
          <w:rFonts w:asciiTheme="majorBidi" w:hAnsiTheme="majorBidi" w:cstheme="majorBidi"/>
          <w:i/>
          <w:iCs/>
          <w:lang w:val="en-AU"/>
        </w:rPr>
        <w:t>Testator’s Family Maintenance Act 1912</w:t>
      </w:r>
      <w:r w:rsidR="00AC59C1" w:rsidRPr="004C5271">
        <w:rPr>
          <w:rFonts w:asciiTheme="majorBidi" w:hAnsiTheme="majorBidi" w:cstheme="majorBidi"/>
          <w:lang w:val="en-AU"/>
        </w:rPr>
        <w:t xml:space="preserve"> (Tas)</w:t>
      </w:r>
      <w:bookmarkEnd w:id="35"/>
    </w:p>
    <w:p w14:paraId="102E46B4" w14:textId="255134A0" w:rsidR="0082251D" w:rsidRPr="004C5271" w:rsidRDefault="007C2048" w:rsidP="00E908E6">
      <w:pPr>
        <w:pStyle w:val="NormalNumberedTextTLRI"/>
        <w:rPr>
          <w:rFonts w:asciiTheme="majorBidi" w:hAnsiTheme="majorBidi" w:cstheme="majorBidi"/>
          <w:lang w:val="en-AU"/>
        </w:rPr>
      </w:pPr>
      <w:r w:rsidRPr="004C5271">
        <w:rPr>
          <w:rFonts w:asciiTheme="majorBidi" w:hAnsiTheme="majorBidi" w:cstheme="majorBidi"/>
          <w:lang w:val="en-AU"/>
        </w:rPr>
        <w:t>Legislative provisions enabling certain family members</w:t>
      </w:r>
      <w:r w:rsidR="001D799A" w:rsidRPr="004C5271">
        <w:rPr>
          <w:rFonts w:asciiTheme="majorBidi" w:hAnsiTheme="majorBidi" w:cstheme="majorBidi"/>
          <w:lang w:val="en-AU"/>
        </w:rPr>
        <w:t xml:space="preserve"> to </w:t>
      </w:r>
      <w:r w:rsidRPr="004C5271">
        <w:rPr>
          <w:rFonts w:asciiTheme="majorBidi" w:hAnsiTheme="majorBidi" w:cstheme="majorBidi"/>
          <w:lang w:val="en-AU"/>
        </w:rPr>
        <w:t>claim further provision from an estate</w:t>
      </w:r>
      <w:r w:rsidR="001D799A" w:rsidRPr="004C5271">
        <w:rPr>
          <w:rFonts w:asciiTheme="majorBidi" w:hAnsiTheme="majorBidi" w:cstheme="majorBidi"/>
          <w:lang w:val="en-AU"/>
        </w:rPr>
        <w:t xml:space="preserve"> in Tasmania </w:t>
      </w:r>
      <w:r w:rsidRPr="004C5271">
        <w:rPr>
          <w:rFonts w:asciiTheme="majorBidi" w:hAnsiTheme="majorBidi" w:cstheme="majorBidi"/>
          <w:lang w:val="en-AU"/>
        </w:rPr>
        <w:t>are contained within</w:t>
      </w:r>
      <w:r w:rsidR="001D799A" w:rsidRPr="004C5271">
        <w:rPr>
          <w:rFonts w:asciiTheme="majorBidi" w:hAnsiTheme="majorBidi" w:cstheme="majorBidi"/>
          <w:lang w:val="en-AU"/>
        </w:rPr>
        <w:t xml:space="preserve"> the </w:t>
      </w:r>
      <w:r w:rsidR="00D902B1" w:rsidRPr="004C5271">
        <w:rPr>
          <w:rFonts w:asciiTheme="majorBidi" w:hAnsiTheme="majorBidi" w:cstheme="majorBidi"/>
          <w:i/>
          <w:lang w:val="en-AU"/>
        </w:rPr>
        <w:t xml:space="preserve">TFM </w:t>
      </w:r>
      <w:r w:rsidR="00A825A2" w:rsidRPr="004C5271">
        <w:rPr>
          <w:rFonts w:asciiTheme="majorBidi" w:hAnsiTheme="majorBidi" w:cstheme="majorBidi"/>
          <w:i/>
          <w:lang w:val="en-AU"/>
        </w:rPr>
        <w:t>Act</w:t>
      </w:r>
      <w:r w:rsidR="00763109" w:rsidRPr="004C5271">
        <w:rPr>
          <w:rFonts w:asciiTheme="majorBidi" w:hAnsiTheme="majorBidi" w:cstheme="majorBidi"/>
          <w:lang w:val="en-AU"/>
        </w:rPr>
        <w:t>.</w:t>
      </w:r>
      <w:r w:rsidR="00763109" w:rsidRPr="004C5271">
        <w:rPr>
          <w:rStyle w:val="FootnoteReference"/>
          <w:rFonts w:asciiTheme="majorBidi" w:hAnsiTheme="majorBidi" w:cstheme="majorBidi"/>
          <w:lang w:val="en-AU"/>
        </w:rPr>
        <w:footnoteReference w:id="26"/>
      </w:r>
      <w:r w:rsidR="00A825A2" w:rsidRPr="004C5271">
        <w:rPr>
          <w:rFonts w:asciiTheme="majorBidi" w:hAnsiTheme="majorBidi" w:cstheme="majorBidi"/>
          <w:lang w:val="en-AU"/>
        </w:rPr>
        <w:t xml:space="preserve"> It is the Supreme Court of Tasmania that has jurisdiction to hear </w:t>
      </w:r>
      <w:r w:rsidR="00F15E1B" w:rsidRPr="004C5271">
        <w:rPr>
          <w:rFonts w:asciiTheme="majorBidi" w:hAnsiTheme="majorBidi" w:cstheme="majorBidi"/>
          <w:lang w:val="en-AU"/>
        </w:rPr>
        <w:t xml:space="preserve">and determine </w:t>
      </w:r>
      <w:r w:rsidR="00A825A2" w:rsidRPr="004C5271">
        <w:rPr>
          <w:rFonts w:asciiTheme="majorBidi" w:hAnsiTheme="majorBidi" w:cstheme="majorBidi"/>
          <w:lang w:val="en-AU"/>
        </w:rPr>
        <w:t xml:space="preserve">claims under the </w:t>
      </w:r>
      <w:r w:rsidR="00446ACA" w:rsidRPr="004C5271">
        <w:rPr>
          <w:rFonts w:asciiTheme="majorBidi" w:hAnsiTheme="majorBidi" w:cstheme="majorBidi"/>
          <w:i/>
          <w:iCs/>
          <w:lang w:val="en-AU"/>
        </w:rPr>
        <w:t xml:space="preserve">TFM </w:t>
      </w:r>
      <w:r w:rsidR="00A825A2" w:rsidRPr="004C5271">
        <w:rPr>
          <w:rFonts w:asciiTheme="majorBidi" w:hAnsiTheme="majorBidi" w:cstheme="majorBidi"/>
          <w:i/>
          <w:iCs/>
          <w:lang w:val="en-AU"/>
        </w:rPr>
        <w:t>Act</w:t>
      </w:r>
      <w:r w:rsidR="00A825A2" w:rsidRPr="004C5271">
        <w:rPr>
          <w:rFonts w:asciiTheme="majorBidi" w:hAnsiTheme="majorBidi" w:cstheme="majorBidi"/>
          <w:lang w:val="en-AU"/>
        </w:rPr>
        <w:t>.</w:t>
      </w:r>
    </w:p>
    <w:p w14:paraId="009650ED" w14:textId="6A274D2A" w:rsidR="001D799A" w:rsidRPr="004C5271" w:rsidRDefault="001D799A" w:rsidP="001D799A">
      <w:pPr>
        <w:pStyle w:val="NormalNumberedTextTLRI"/>
        <w:rPr>
          <w:rFonts w:asciiTheme="majorBidi" w:hAnsiTheme="majorBidi" w:cstheme="majorBidi"/>
          <w:lang w:val="en-AU"/>
        </w:rPr>
      </w:pPr>
      <w:r w:rsidRPr="004C5271">
        <w:rPr>
          <w:rFonts w:asciiTheme="majorBidi" w:hAnsiTheme="majorBidi" w:cstheme="majorBidi"/>
          <w:lang w:val="en-AU"/>
        </w:rPr>
        <w:t>The following classes of people are eligible to make a claim:</w:t>
      </w:r>
    </w:p>
    <w:p w14:paraId="21AB5776" w14:textId="77777777" w:rsidR="001D799A" w:rsidRPr="004C5271" w:rsidRDefault="001D799A" w:rsidP="001D799A">
      <w:pPr>
        <w:pStyle w:val="DotPointTLRI"/>
        <w:rPr>
          <w:rFonts w:asciiTheme="majorBidi" w:hAnsiTheme="majorBidi" w:cstheme="majorBidi"/>
          <w:lang w:val="en-AU"/>
        </w:rPr>
      </w:pPr>
      <w:r w:rsidRPr="004C5271">
        <w:rPr>
          <w:rFonts w:asciiTheme="majorBidi" w:hAnsiTheme="majorBidi" w:cstheme="majorBidi"/>
          <w:lang w:val="en-AU"/>
        </w:rPr>
        <w:t xml:space="preserve">a spouse (defined to include a person in a significant relationship with the deceased at the date of their death within the meaning of the </w:t>
      </w:r>
      <w:r w:rsidRPr="004C5271">
        <w:rPr>
          <w:rFonts w:asciiTheme="majorBidi" w:hAnsiTheme="majorBidi" w:cstheme="majorBidi"/>
          <w:i/>
          <w:iCs/>
          <w:lang w:val="en-AU"/>
        </w:rPr>
        <w:t>Relationships Act 2003</w:t>
      </w:r>
      <w:r w:rsidRPr="004C5271">
        <w:rPr>
          <w:rFonts w:asciiTheme="majorBidi" w:hAnsiTheme="majorBidi" w:cstheme="majorBidi"/>
          <w:lang w:val="en-AU"/>
        </w:rPr>
        <w:t xml:space="preserve"> (Tas));</w:t>
      </w:r>
      <w:r w:rsidRPr="004C5271">
        <w:rPr>
          <w:rStyle w:val="FootnoteReference"/>
          <w:rFonts w:asciiTheme="majorBidi" w:hAnsiTheme="majorBidi" w:cstheme="majorBidi"/>
          <w:lang w:val="en-AU"/>
        </w:rPr>
        <w:footnoteReference w:id="27"/>
      </w:r>
    </w:p>
    <w:p w14:paraId="454708A9" w14:textId="77777777" w:rsidR="001D799A" w:rsidRPr="004C5271" w:rsidRDefault="001D799A" w:rsidP="001D799A">
      <w:pPr>
        <w:pStyle w:val="DotPointTLRI"/>
        <w:rPr>
          <w:rFonts w:asciiTheme="majorBidi" w:hAnsiTheme="majorBidi" w:cstheme="majorBidi"/>
          <w:lang w:val="en-AU"/>
        </w:rPr>
      </w:pPr>
      <w:r w:rsidRPr="004C5271">
        <w:rPr>
          <w:rFonts w:asciiTheme="majorBidi" w:hAnsiTheme="majorBidi" w:cstheme="majorBidi"/>
          <w:lang w:val="en-AU"/>
        </w:rPr>
        <w:t>children, including an adopted child, step-child</w:t>
      </w:r>
      <w:r w:rsidRPr="004C5271">
        <w:rPr>
          <w:rStyle w:val="FootnoteReference"/>
          <w:rFonts w:asciiTheme="majorBidi" w:hAnsiTheme="majorBidi" w:cstheme="majorBidi"/>
          <w:lang w:val="en-AU"/>
        </w:rPr>
        <w:footnoteReference w:id="28"/>
      </w:r>
      <w:r w:rsidRPr="004C5271">
        <w:rPr>
          <w:rFonts w:asciiTheme="majorBidi" w:hAnsiTheme="majorBidi" w:cstheme="majorBidi"/>
          <w:lang w:val="en-AU"/>
        </w:rPr>
        <w:t xml:space="preserve"> and surrogate child;</w:t>
      </w:r>
      <w:r w:rsidRPr="004C5271">
        <w:rPr>
          <w:rStyle w:val="FootnoteReference"/>
          <w:rFonts w:asciiTheme="majorBidi" w:hAnsiTheme="majorBidi" w:cstheme="majorBidi"/>
          <w:lang w:val="en-AU"/>
        </w:rPr>
        <w:footnoteReference w:id="29"/>
      </w:r>
    </w:p>
    <w:p w14:paraId="5124029D" w14:textId="2C2F1D01" w:rsidR="001D799A" w:rsidRPr="004C5271" w:rsidRDefault="001D799A" w:rsidP="001D799A">
      <w:pPr>
        <w:pStyle w:val="DotPointTLRI"/>
        <w:rPr>
          <w:rFonts w:asciiTheme="majorBidi" w:hAnsiTheme="majorBidi" w:cstheme="majorBidi"/>
          <w:lang w:val="en-AU"/>
        </w:rPr>
      </w:pPr>
      <w:r w:rsidRPr="004C5271">
        <w:rPr>
          <w:rFonts w:asciiTheme="majorBidi" w:hAnsiTheme="majorBidi" w:cstheme="majorBidi"/>
          <w:lang w:val="en-AU"/>
        </w:rPr>
        <w:t xml:space="preserve">parents, where </w:t>
      </w:r>
      <w:r w:rsidR="00584BB6" w:rsidRPr="004C5271">
        <w:rPr>
          <w:rFonts w:asciiTheme="majorBidi" w:hAnsiTheme="majorBidi" w:cstheme="majorBidi"/>
          <w:lang w:val="en-AU"/>
        </w:rPr>
        <w:t xml:space="preserve">the person </w:t>
      </w:r>
      <w:r w:rsidRPr="004C5271">
        <w:rPr>
          <w:rFonts w:asciiTheme="majorBidi" w:hAnsiTheme="majorBidi" w:cstheme="majorBidi"/>
          <w:lang w:val="en-AU"/>
        </w:rPr>
        <w:t>dies without a spouse or children; and</w:t>
      </w:r>
    </w:p>
    <w:p w14:paraId="6D8520A4" w14:textId="6A1406A9" w:rsidR="001D799A" w:rsidRPr="004C5271" w:rsidRDefault="001D799A" w:rsidP="001D799A">
      <w:pPr>
        <w:pStyle w:val="DotPointTLRI"/>
        <w:rPr>
          <w:rFonts w:asciiTheme="majorBidi" w:hAnsiTheme="majorBidi" w:cstheme="majorBidi"/>
          <w:lang w:val="en-AU"/>
        </w:rPr>
      </w:pPr>
      <w:r w:rsidRPr="004C5271">
        <w:rPr>
          <w:rFonts w:asciiTheme="majorBidi" w:hAnsiTheme="majorBidi" w:cstheme="majorBidi"/>
          <w:lang w:val="en-AU"/>
        </w:rPr>
        <w:t>a former spouse if they were receiving, or entitled to receive, maintenance from the deceased at their death.</w:t>
      </w:r>
      <w:r w:rsidRPr="004C5271">
        <w:rPr>
          <w:rStyle w:val="FootnoteReference"/>
          <w:rFonts w:asciiTheme="majorBidi" w:hAnsiTheme="majorBidi" w:cstheme="majorBidi"/>
          <w:lang w:val="en-AU"/>
        </w:rPr>
        <w:footnoteReference w:id="30"/>
      </w:r>
    </w:p>
    <w:p w14:paraId="686833C1" w14:textId="5A52F6B4" w:rsidR="001D799A" w:rsidRPr="004C5271" w:rsidRDefault="001D799A" w:rsidP="001D799A">
      <w:pPr>
        <w:pStyle w:val="NormalNumberedTextTLRI"/>
        <w:spacing w:after="120"/>
        <w:rPr>
          <w:rFonts w:asciiTheme="majorBidi" w:hAnsiTheme="majorBidi" w:cstheme="majorBidi"/>
          <w:lang w:val="en-AU"/>
        </w:rPr>
      </w:pPr>
      <w:r w:rsidRPr="004C5271">
        <w:rPr>
          <w:rFonts w:asciiTheme="majorBidi" w:hAnsiTheme="majorBidi" w:cstheme="majorBidi"/>
          <w:lang w:val="en-AU"/>
        </w:rPr>
        <w:t xml:space="preserve">In some jurisdictions, the classes of those eligible to apply for provision </w:t>
      </w:r>
      <w:r w:rsidR="00EF36AC" w:rsidRPr="004C5271">
        <w:rPr>
          <w:rFonts w:asciiTheme="majorBidi" w:hAnsiTheme="majorBidi" w:cstheme="majorBidi"/>
          <w:lang w:val="en-AU"/>
        </w:rPr>
        <w:t xml:space="preserve">are </w:t>
      </w:r>
      <w:r w:rsidRPr="004C5271">
        <w:rPr>
          <w:rFonts w:asciiTheme="majorBidi" w:hAnsiTheme="majorBidi" w:cstheme="majorBidi"/>
          <w:lang w:val="en-AU"/>
        </w:rPr>
        <w:t xml:space="preserve">more expansive and </w:t>
      </w:r>
      <w:r w:rsidR="00390EF0" w:rsidRPr="004C5271">
        <w:rPr>
          <w:rFonts w:asciiTheme="majorBidi" w:hAnsiTheme="majorBidi" w:cstheme="majorBidi"/>
          <w:lang w:val="en-AU"/>
        </w:rPr>
        <w:t>can</w:t>
      </w:r>
      <w:r w:rsidRPr="004C5271">
        <w:rPr>
          <w:rFonts w:asciiTheme="majorBidi" w:hAnsiTheme="majorBidi" w:cstheme="majorBidi"/>
          <w:lang w:val="en-AU"/>
        </w:rPr>
        <w:t xml:space="preserve"> include a person partly or wholly dependent on the deceased,</w:t>
      </w:r>
      <w:r w:rsidRPr="004C5271">
        <w:rPr>
          <w:rStyle w:val="FootnoteReference"/>
          <w:rFonts w:asciiTheme="majorBidi" w:eastAsia="Times New Roman" w:hAnsiTheme="majorBidi" w:cstheme="majorBidi"/>
          <w:szCs w:val="24"/>
          <w:lang w:val="en-AU"/>
        </w:rPr>
        <w:footnoteReference w:id="31"/>
      </w:r>
      <w:r w:rsidRPr="004C5271">
        <w:rPr>
          <w:rFonts w:asciiTheme="majorBidi" w:hAnsiTheme="majorBidi" w:cstheme="majorBidi"/>
          <w:lang w:val="en-AU"/>
        </w:rPr>
        <w:t xml:space="preserve"> a person living in a close personal relationship</w:t>
      </w:r>
      <w:r w:rsidRPr="004C5271">
        <w:rPr>
          <w:rStyle w:val="FootnoteReference"/>
          <w:rFonts w:asciiTheme="majorBidi" w:eastAsia="Times New Roman" w:hAnsiTheme="majorBidi" w:cstheme="majorBidi"/>
          <w:szCs w:val="24"/>
          <w:lang w:val="en-AU"/>
        </w:rPr>
        <w:footnoteReference w:id="32"/>
      </w:r>
      <w:r w:rsidRPr="004C5271">
        <w:rPr>
          <w:rFonts w:asciiTheme="majorBidi" w:hAnsiTheme="majorBidi" w:cstheme="majorBidi"/>
          <w:lang w:val="en-AU"/>
        </w:rPr>
        <w:t xml:space="preserve"> </w:t>
      </w:r>
      <w:r w:rsidRPr="004C5271">
        <w:rPr>
          <w:rFonts w:asciiTheme="majorBidi" w:hAnsiTheme="majorBidi" w:cstheme="majorBidi"/>
          <w:lang w:val="en-AU"/>
        </w:rPr>
        <w:lastRenderedPageBreak/>
        <w:t>with the deceased at their death,</w:t>
      </w:r>
      <w:r w:rsidRPr="004C5271">
        <w:rPr>
          <w:rStyle w:val="FootnoteReference"/>
          <w:rFonts w:asciiTheme="majorBidi" w:eastAsia="Times New Roman" w:hAnsiTheme="majorBidi" w:cstheme="majorBidi"/>
          <w:szCs w:val="24"/>
          <w:lang w:val="en-AU"/>
        </w:rPr>
        <w:footnoteReference w:id="33"/>
      </w:r>
      <w:r w:rsidRPr="004C5271">
        <w:rPr>
          <w:rFonts w:asciiTheme="majorBidi" w:hAnsiTheme="majorBidi" w:cstheme="majorBidi"/>
          <w:lang w:val="en-AU"/>
        </w:rPr>
        <w:t xml:space="preserve"> and grandchildren</w:t>
      </w:r>
      <w:r w:rsidRPr="004C5271">
        <w:rPr>
          <w:rStyle w:val="FootnoteReference"/>
          <w:rFonts w:asciiTheme="majorBidi" w:eastAsia="Times New Roman" w:hAnsiTheme="majorBidi" w:cstheme="majorBidi"/>
          <w:szCs w:val="24"/>
          <w:lang w:val="en-AU"/>
        </w:rPr>
        <w:footnoteReference w:id="34"/>
      </w:r>
      <w:r w:rsidRPr="004C5271">
        <w:rPr>
          <w:rFonts w:asciiTheme="majorBidi" w:hAnsiTheme="majorBidi" w:cstheme="majorBidi"/>
          <w:lang w:val="en-AU"/>
        </w:rPr>
        <w:t xml:space="preserve"> and siblings</w:t>
      </w:r>
      <w:r w:rsidRPr="004C5271">
        <w:rPr>
          <w:rStyle w:val="FootnoteReference"/>
          <w:rFonts w:asciiTheme="majorBidi" w:eastAsia="Times New Roman" w:hAnsiTheme="majorBidi" w:cstheme="majorBidi"/>
          <w:szCs w:val="24"/>
          <w:lang w:val="en-AU"/>
        </w:rPr>
        <w:footnoteReference w:id="35"/>
      </w:r>
      <w:r w:rsidRPr="004C5271">
        <w:rPr>
          <w:rFonts w:asciiTheme="majorBidi" w:hAnsiTheme="majorBidi" w:cstheme="majorBidi"/>
          <w:lang w:val="en-AU"/>
        </w:rPr>
        <w:t xml:space="preserve"> in limited circumstances.</w:t>
      </w:r>
    </w:p>
    <w:p w14:paraId="3084D2CC" w14:textId="4FE30552" w:rsidR="007C7C5A" w:rsidRPr="004C5271" w:rsidRDefault="007C7C5A" w:rsidP="007C7C5A">
      <w:pPr>
        <w:pStyle w:val="NormalNumberedTextTLRI"/>
        <w:rPr>
          <w:rFonts w:asciiTheme="majorBidi" w:hAnsiTheme="majorBidi" w:cstheme="majorBidi"/>
          <w:lang w:val="en-AU"/>
        </w:rPr>
      </w:pPr>
      <w:r w:rsidRPr="004C5271">
        <w:rPr>
          <w:rFonts w:asciiTheme="majorBidi" w:hAnsiTheme="majorBidi" w:cstheme="majorBidi"/>
          <w:lang w:val="en-AU"/>
        </w:rPr>
        <w:t xml:space="preserve">An application must be filed with the Court within three months of the date of a grant of administration being made in the estate, although the Court may grant an extension </w:t>
      </w:r>
      <w:r w:rsidR="00584BB6" w:rsidRPr="004C5271">
        <w:rPr>
          <w:rFonts w:asciiTheme="majorBidi" w:hAnsiTheme="majorBidi" w:cstheme="majorBidi"/>
          <w:lang w:val="en-AU"/>
        </w:rPr>
        <w:t xml:space="preserve">of this time </w:t>
      </w:r>
      <w:r w:rsidRPr="004C5271">
        <w:rPr>
          <w:rFonts w:asciiTheme="majorBidi" w:hAnsiTheme="majorBidi" w:cstheme="majorBidi"/>
          <w:lang w:val="en-AU"/>
        </w:rPr>
        <w:t>in its discretion.</w:t>
      </w:r>
      <w:r w:rsidRPr="004C5271">
        <w:rPr>
          <w:rStyle w:val="FootnoteReference"/>
          <w:rFonts w:asciiTheme="majorBidi" w:hAnsiTheme="majorBidi" w:cstheme="majorBidi"/>
          <w:lang w:val="en-AU"/>
        </w:rPr>
        <w:footnoteReference w:id="36"/>
      </w:r>
      <w:r w:rsidRPr="004C5271">
        <w:rPr>
          <w:rFonts w:asciiTheme="majorBidi" w:hAnsiTheme="majorBidi" w:cstheme="majorBidi"/>
          <w:lang w:val="en-AU"/>
        </w:rPr>
        <w:t xml:space="preserve"> </w:t>
      </w:r>
    </w:p>
    <w:p w14:paraId="674802F4" w14:textId="491D4994" w:rsidR="00B640CD" w:rsidRPr="004C5271" w:rsidRDefault="000F6BD4" w:rsidP="00044426">
      <w:pPr>
        <w:pStyle w:val="NormalNumberedTextTLRI"/>
        <w:rPr>
          <w:rFonts w:asciiTheme="majorBidi" w:hAnsiTheme="majorBidi" w:cstheme="majorBidi"/>
          <w:lang w:val="en-AU"/>
        </w:rPr>
      </w:pPr>
      <w:r w:rsidRPr="004C5271">
        <w:rPr>
          <w:rFonts w:asciiTheme="majorBidi" w:hAnsiTheme="majorBidi" w:cstheme="majorBidi"/>
          <w:lang w:val="en-AU"/>
        </w:rPr>
        <w:t>S</w:t>
      </w:r>
      <w:r w:rsidR="00A825A2" w:rsidRPr="004C5271">
        <w:rPr>
          <w:rFonts w:asciiTheme="majorBidi" w:hAnsiTheme="majorBidi" w:cstheme="majorBidi"/>
          <w:lang w:val="en-AU"/>
        </w:rPr>
        <w:t>ection</w:t>
      </w:r>
      <w:r w:rsidRPr="004C5271">
        <w:rPr>
          <w:rFonts w:asciiTheme="majorBidi" w:hAnsiTheme="majorBidi" w:cstheme="majorBidi"/>
          <w:lang w:val="en-AU"/>
        </w:rPr>
        <w:t xml:space="preserve"> 3 </w:t>
      </w:r>
      <w:r w:rsidR="00A825A2" w:rsidRPr="004C5271">
        <w:rPr>
          <w:rFonts w:asciiTheme="majorBidi" w:hAnsiTheme="majorBidi" w:cstheme="majorBidi"/>
          <w:lang w:val="en-AU"/>
        </w:rPr>
        <w:t>outlines the test that the Court must apply when determining the merits of a claim.</w:t>
      </w:r>
      <w:r w:rsidR="00791AC7" w:rsidRPr="004C5271">
        <w:rPr>
          <w:rFonts w:asciiTheme="majorBidi" w:hAnsiTheme="majorBidi" w:cstheme="majorBidi"/>
          <w:lang w:val="en-AU"/>
        </w:rPr>
        <w:t xml:space="preserve"> </w:t>
      </w:r>
      <w:r w:rsidR="00A825A2" w:rsidRPr="004C5271">
        <w:rPr>
          <w:rFonts w:asciiTheme="majorBidi" w:hAnsiTheme="majorBidi" w:cstheme="majorBidi"/>
          <w:lang w:val="en-AU"/>
        </w:rPr>
        <w:t>The section</w:t>
      </w:r>
      <w:r w:rsidR="002857B2" w:rsidRPr="004C5271">
        <w:rPr>
          <w:rFonts w:asciiTheme="majorBidi" w:hAnsiTheme="majorBidi" w:cstheme="majorBidi"/>
          <w:lang w:val="en-AU"/>
        </w:rPr>
        <w:t xml:space="preserve"> provides a threshold </w:t>
      </w:r>
      <w:r w:rsidR="009577C2" w:rsidRPr="004C5271">
        <w:rPr>
          <w:rFonts w:asciiTheme="majorBidi" w:hAnsiTheme="majorBidi" w:cstheme="majorBidi"/>
          <w:lang w:val="en-AU"/>
        </w:rPr>
        <w:t xml:space="preserve">jurisdictional </w:t>
      </w:r>
      <w:r w:rsidR="002857B2" w:rsidRPr="004C5271">
        <w:rPr>
          <w:rFonts w:asciiTheme="majorBidi" w:hAnsiTheme="majorBidi" w:cstheme="majorBidi"/>
          <w:lang w:val="en-AU"/>
        </w:rPr>
        <w:t xml:space="preserve">question </w:t>
      </w:r>
      <w:r w:rsidR="00E255B5" w:rsidRPr="004C5271">
        <w:rPr>
          <w:rFonts w:asciiTheme="majorBidi" w:hAnsiTheme="majorBidi" w:cstheme="majorBidi"/>
          <w:lang w:val="en-AU"/>
        </w:rPr>
        <w:t>requiring</w:t>
      </w:r>
      <w:r w:rsidR="002857B2" w:rsidRPr="004C5271">
        <w:rPr>
          <w:rFonts w:asciiTheme="majorBidi" w:hAnsiTheme="majorBidi" w:cstheme="majorBidi"/>
          <w:lang w:val="en-AU"/>
        </w:rPr>
        <w:t xml:space="preserve"> the </w:t>
      </w:r>
      <w:r w:rsidR="00A825A2" w:rsidRPr="004C5271">
        <w:rPr>
          <w:rFonts w:asciiTheme="majorBidi" w:hAnsiTheme="majorBidi" w:cstheme="majorBidi"/>
          <w:lang w:val="en-AU"/>
        </w:rPr>
        <w:t>C</w:t>
      </w:r>
      <w:r w:rsidR="002857B2" w:rsidRPr="004C5271">
        <w:rPr>
          <w:rFonts w:asciiTheme="majorBidi" w:hAnsiTheme="majorBidi" w:cstheme="majorBidi"/>
          <w:lang w:val="en-AU"/>
        </w:rPr>
        <w:t xml:space="preserve">ourt </w:t>
      </w:r>
      <w:r w:rsidR="00E255B5" w:rsidRPr="004C5271">
        <w:rPr>
          <w:rFonts w:asciiTheme="majorBidi" w:hAnsiTheme="majorBidi" w:cstheme="majorBidi"/>
          <w:lang w:val="en-AU"/>
        </w:rPr>
        <w:t>to</w:t>
      </w:r>
      <w:r w:rsidR="002857B2" w:rsidRPr="004C5271">
        <w:rPr>
          <w:rFonts w:asciiTheme="majorBidi" w:hAnsiTheme="majorBidi" w:cstheme="majorBidi"/>
          <w:lang w:val="en-AU"/>
        </w:rPr>
        <w:t xml:space="preserve"> be satisfied that </w:t>
      </w:r>
      <w:r w:rsidR="00A825A2" w:rsidRPr="004C5271">
        <w:rPr>
          <w:rFonts w:asciiTheme="majorBidi" w:hAnsiTheme="majorBidi" w:cstheme="majorBidi"/>
          <w:lang w:val="en-AU"/>
        </w:rPr>
        <w:t>a</w:t>
      </w:r>
      <w:r w:rsidR="002857B2" w:rsidRPr="004C5271">
        <w:rPr>
          <w:rFonts w:asciiTheme="majorBidi" w:hAnsiTheme="majorBidi" w:cstheme="majorBidi"/>
          <w:lang w:val="en-AU"/>
        </w:rPr>
        <w:t xml:space="preserve"> deceased</w:t>
      </w:r>
      <w:r w:rsidR="00252C48" w:rsidRPr="004C5271">
        <w:rPr>
          <w:rFonts w:asciiTheme="majorBidi" w:hAnsiTheme="majorBidi" w:cstheme="majorBidi"/>
          <w:lang w:val="en-AU"/>
        </w:rPr>
        <w:t>’s</w:t>
      </w:r>
      <w:r w:rsidR="002857B2" w:rsidRPr="004C5271">
        <w:rPr>
          <w:rFonts w:asciiTheme="majorBidi" w:hAnsiTheme="majorBidi" w:cstheme="majorBidi"/>
          <w:lang w:val="en-AU"/>
        </w:rPr>
        <w:t xml:space="preserve"> will or intestacy provisions ha</w:t>
      </w:r>
      <w:r w:rsidR="007C7C5A" w:rsidRPr="004C5271">
        <w:rPr>
          <w:rFonts w:asciiTheme="majorBidi" w:hAnsiTheme="majorBidi" w:cstheme="majorBidi"/>
          <w:lang w:val="en-AU"/>
        </w:rPr>
        <w:t xml:space="preserve">ve </w:t>
      </w:r>
      <w:r w:rsidR="002857B2" w:rsidRPr="004C5271">
        <w:rPr>
          <w:rFonts w:asciiTheme="majorBidi" w:hAnsiTheme="majorBidi" w:cstheme="majorBidi"/>
          <w:lang w:val="en-AU"/>
        </w:rPr>
        <w:t xml:space="preserve">left </w:t>
      </w:r>
      <w:r w:rsidR="00A825A2" w:rsidRPr="004C5271">
        <w:rPr>
          <w:rFonts w:asciiTheme="majorBidi" w:hAnsiTheme="majorBidi" w:cstheme="majorBidi"/>
          <w:lang w:val="en-AU"/>
        </w:rPr>
        <w:t>an</w:t>
      </w:r>
      <w:r w:rsidR="002857B2" w:rsidRPr="004C5271">
        <w:rPr>
          <w:rFonts w:asciiTheme="majorBidi" w:hAnsiTheme="majorBidi" w:cstheme="majorBidi"/>
          <w:lang w:val="en-AU"/>
        </w:rPr>
        <w:t xml:space="preserve"> applicant </w:t>
      </w:r>
      <w:r w:rsidR="00F135E5" w:rsidRPr="004C5271">
        <w:rPr>
          <w:rFonts w:asciiTheme="majorBidi" w:hAnsiTheme="majorBidi" w:cstheme="majorBidi"/>
          <w:lang w:val="en-AU"/>
        </w:rPr>
        <w:t>‘</w:t>
      </w:r>
      <w:r w:rsidR="002857B2" w:rsidRPr="004C5271">
        <w:rPr>
          <w:rFonts w:asciiTheme="majorBidi" w:hAnsiTheme="majorBidi" w:cstheme="majorBidi"/>
          <w:lang w:val="en-AU"/>
        </w:rPr>
        <w:t>without adequate provision for his proper maintenance and support</w:t>
      </w:r>
      <w:r w:rsidR="00F135E5" w:rsidRPr="004C5271">
        <w:rPr>
          <w:rFonts w:asciiTheme="majorBidi" w:hAnsiTheme="majorBidi" w:cstheme="majorBidi"/>
          <w:lang w:val="en-AU"/>
        </w:rPr>
        <w:t>’</w:t>
      </w:r>
      <w:r w:rsidR="002857B2" w:rsidRPr="004C5271">
        <w:rPr>
          <w:rFonts w:asciiTheme="majorBidi" w:hAnsiTheme="majorBidi" w:cstheme="majorBidi"/>
          <w:lang w:val="en-AU"/>
        </w:rPr>
        <w:t>.</w:t>
      </w:r>
      <w:r w:rsidR="008328D6" w:rsidRPr="004C5271">
        <w:rPr>
          <w:rStyle w:val="FootnoteReference"/>
          <w:rFonts w:asciiTheme="majorBidi" w:hAnsiTheme="majorBidi" w:cstheme="majorBidi"/>
          <w:lang w:val="en-AU"/>
        </w:rPr>
        <w:footnoteReference w:id="37"/>
      </w:r>
      <w:r w:rsidR="002857B2" w:rsidRPr="004C5271">
        <w:rPr>
          <w:rFonts w:asciiTheme="majorBidi" w:hAnsiTheme="majorBidi" w:cstheme="majorBidi"/>
          <w:lang w:val="en-AU"/>
        </w:rPr>
        <w:t xml:space="preserve"> If, and only if, that condition is satisfied may the </w:t>
      </w:r>
      <w:r w:rsidRPr="004C5271">
        <w:rPr>
          <w:rFonts w:asciiTheme="majorBidi" w:hAnsiTheme="majorBidi" w:cstheme="majorBidi"/>
          <w:lang w:val="en-AU"/>
        </w:rPr>
        <w:t>C</w:t>
      </w:r>
      <w:r w:rsidR="002857B2" w:rsidRPr="004C5271">
        <w:rPr>
          <w:rFonts w:asciiTheme="majorBidi" w:hAnsiTheme="majorBidi" w:cstheme="majorBidi"/>
          <w:lang w:val="en-AU"/>
        </w:rPr>
        <w:t>ourt embark on the discretionary question as to whether provision should be made</w:t>
      </w:r>
      <w:r w:rsidR="00AE24E5" w:rsidRPr="004C5271">
        <w:rPr>
          <w:rFonts w:asciiTheme="majorBidi" w:hAnsiTheme="majorBidi" w:cstheme="majorBidi"/>
          <w:lang w:val="en-AU"/>
        </w:rPr>
        <w:t>,</w:t>
      </w:r>
      <w:r w:rsidR="002857B2" w:rsidRPr="004C5271">
        <w:rPr>
          <w:rFonts w:asciiTheme="majorBidi" w:hAnsiTheme="majorBidi" w:cstheme="majorBidi"/>
          <w:lang w:val="en-AU"/>
        </w:rPr>
        <w:t xml:space="preserve"> and if so, to what extent.</w:t>
      </w:r>
      <w:r w:rsidR="00AD3157" w:rsidRPr="004C5271">
        <w:rPr>
          <w:rStyle w:val="FootnoteReference"/>
          <w:rFonts w:asciiTheme="majorBidi" w:hAnsiTheme="majorBidi" w:cstheme="majorBidi"/>
          <w:lang w:val="en-AU"/>
        </w:rPr>
        <w:footnoteReference w:id="38"/>
      </w:r>
    </w:p>
    <w:p w14:paraId="5F466A88" w14:textId="787252BC" w:rsidR="0070387D" w:rsidRPr="004C5271" w:rsidRDefault="00A825A2" w:rsidP="00651C3B">
      <w:pPr>
        <w:pStyle w:val="NormalNumberedTextTLRI"/>
        <w:spacing w:after="120"/>
        <w:rPr>
          <w:rFonts w:asciiTheme="majorBidi" w:hAnsiTheme="majorBidi" w:cstheme="majorBidi"/>
          <w:lang w:val="en-AU"/>
        </w:rPr>
      </w:pPr>
      <w:r w:rsidRPr="004C5271">
        <w:rPr>
          <w:rFonts w:asciiTheme="majorBidi" w:hAnsiTheme="majorBidi" w:cstheme="majorBidi"/>
          <w:lang w:val="en-AU"/>
        </w:rPr>
        <w:t>C</w:t>
      </w:r>
      <w:r w:rsidR="002857B2" w:rsidRPr="004C5271">
        <w:rPr>
          <w:rFonts w:asciiTheme="majorBidi" w:hAnsiTheme="majorBidi" w:cstheme="majorBidi"/>
          <w:lang w:val="en-AU"/>
        </w:rPr>
        <w:t>ourt</w:t>
      </w:r>
      <w:r w:rsidRPr="004C5271">
        <w:rPr>
          <w:rFonts w:asciiTheme="majorBidi" w:hAnsiTheme="majorBidi" w:cstheme="majorBidi"/>
          <w:lang w:val="en-AU"/>
        </w:rPr>
        <w:t>s</w:t>
      </w:r>
      <w:r w:rsidR="002857B2" w:rsidRPr="004C5271">
        <w:rPr>
          <w:rFonts w:asciiTheme="majorBidi" w:hAnsiTheme="majorBidi" w:cstheme="majorBidi"/>
          <w:lang w:val="en-AU"/>
        </w:rPr>
        <w:t xml:space="preserve"> ha</w:t>
      </w:r>
      <w:r w:rsidRPr="004C5271">
        <w:rPr>
          <w:rFonts w:asciiTheme="majorBidi" w:hAnsiTheme="majorBidi" w:cstheme="majorBidi"/>
          <w:lang w:val="en-AU"/>
        </w:rPr>
        <w:t>ve</w:t>
      </w:r>
      <w:r w:rsidR="002857B2" w:rsidRPr="004C5271">
        <w:rPr>
          <w:rFonts w:asciiTheme="majorBidi" w:hAnsiTheme="majorBidi" w:cstheme="majorBidi"/>
          <w:lang w:val="en-AU"/>
        </w:rPr>
        <w:t xml:space="preserve"> made it clear that the words ‘adequate’ and ‘proper</w:t>
      </w:r>
      <w:r w:rsidR="00AD3157" w:rsidRPr="004C5271">
        <w:rPr>
          <w:rFonts w:asciiTheme="majorBidi" w:hAnsiTheme="majorBidi" w:cstheme="majorBidi"/>
          <w:lang w:val="en-AU"/>
        </w:rPr>
        <w:t xml:space="preserve">’ establish independent tests as to </w:t>
      </w:r>
      <w:r w:rsidR="002857B2" w:rsidRPr="004C5271">
        <w:rPr>
          <w:rFonts w:asciiTheme="majorBidi" w:hAnsiTheme="majorBidi" w:cstheme="majorBidi"/>
          <w:lang w:val="en-AU"/>
        </w:rPr>
        <w:t>eligibility. ‘Adequate’ relates to the actual needs of the applicant, but ‘proper’ is a matter that can only be determined having regard to all the circumstances of the ca</w:t>
      </w:r>
      <w:r w:rsidR="00AD3157" w:rsidRPr="004C5271">
        <w:rPr>
          <w:rFonts w:asciiTheme="majorBidi" w:hAnsiTheme="majorBidi" w:cstheme="majorBidi"/>
          <w:lang w:val="en-AU"/>
        </w:rPr>
        <w:t>s</w:t>
      </w:r>
      <w:r w:rsidR="002857B2" w:rsidRPr="004C5271">
        <w:rPr>
          <w:rFonts w:asciiTheme="majorBidi" w:hAnsiTheme="majorBidi" w:cstheme="majorBidi"/>
          <w:lang w:val="en-AU"/>
        </w:rPr>
        <w:t>e.</w:t>
      </w:r>
      <w:r w:rsidR="0060396D" w:rsidRPr="004C5271">
        <w:rPr>
          <w:rStyle w:val="FootnoteReference"/>
          <w:rFonts w:asciiTheme="majorBidi" w:hAnsiTheme="majorBidi" w:cstheme="majorBidi"/>
          <w:lang w:val="en-AU"/>
        </w:rPr>
        <w:footnoteReference w:id="39"/>
      </w:r>
      <w:r w:rsidR="002857B2" w:rsidRPr="004C5271">
        <w:rPr>
          <w:rFonts w:asciiTheme="majorBidi" w:hAnsiTheme="majorBidi" w:cstheme="majorBidi"/>
          <w:lang w:val="en-AU"/>
        </w:rPr>
        <w:t xml:space="preserve"> </w:t>
      </w:r>
      <w:r w:rsidR="00B16C3B" w:rsidRPr="004C5271">
        <w:rPr>
          <w:rFonts w:asciiTheme="majorBidi" w:hAnsiTheme="majorBidi" w:cstheme="majorBidi"/>
          <w:lang w:val="en-AU"/>
        </w:rPr>
        <w:t xml:space="preserve">The </w:t>
      </w:r>
      <w:r w:rsidR="002D5E02" w:rsidRPr="004C5271">
        <w:rPr>
          <w:rFonts w:asciiTheme="majorBidi" w:hAnsiTheme="majorBidi" w:cstheme="majorBidi"/>
          <w:i/>
          <w:lang w:val="en-AU"/>
        </w:rPr>
        <w:t xml:space="preserve">TFM </w:t>
      </w:r>
      <w:r w:rsidR="00B16C3B" w:rsidRPr="004C5271">
        <w:rPr>
          <w:rFonts w:asciiTheme="majorBidi" w:hAnsiTheme="majorBidi" w:cstheme="majorBidi"/>
          <w:i/>
          <w:lang w:val="en-AU"/>
        </w:rPr>
        <w:t>Act</w:t>
      </w:r>
      <w:r w:rsidR="00B16C3B" w:rsidRPr="004C5271">
        <w:rPr>
          <w:rFonts w:asciiTheme="majorBidi" w:hAnsiTheme="majorBidi" w:cstheme="majorBidi"/>
          <w:lang w:val="en-AU"/>
        </w:rPr>
        <w:t xml:space="preserve"> provides that</w:t>
      </w:r>
      <w:r w:rsidR="008F53E1" w:rsidRPr="004C5271">
        <w:rPr>
          <w:rFonts w:asciiTheme="majorBidi" w:hAnsiTheme="majorBidi" w:cstheme="majorBidi"/>
          <w:lang w:val="en-AU"/>
        </w:rPr>
        <w:t>, when assessing the merits of a claim,</w:t>
      </w:r>
      <w:r w:rsidR="00B16C3B" w:rsidRPr="004C5271">
        <w:rPr>
          <w:rFonts w:asciiTheme="majorBidi" w:hAnsiTheme="majorBidi" w:cstheme="majorBidi"/>
          <w:lang w:val="en-AU"/>
        </w:rPr>
        <w:t xml:space="preserve"> a judge may </w:t>
      </w:r>
      <w:r w:rsidR="00B16C3B" w:rsidRPr="004C5271">
        <w:rPr>
          <w:rFonts w:asciiTheme="majorBidi" w:hAnsiTheme="majorBidi" w:cstheme="majorBidi"/>
          <w:color w:val="000000"/>
          <w:lang w:val="en-AU"/>
        </w:rPr>
        <w:t>have regard to</w:t>
      </w:r>
      <w:r w:rsidR="0070387D" w:rsidRPr="004C5271">
        <w:rPr>
          <w:rFonts w:asciiTheme="majorBidi" w:hAnsiTheme="majorBidi" w:cstheme="majorBidi"/>
          <w:color w:val="000000"/>
          <w:lang w:val="en-AU"/>
        </w:rPr>
        <w:t>:</w:t>
      </w:r>
    </w:p>
    <w:p w14:paraId="4CFEB8D9" w14:textId="631E8431" w:rsidR="0070387D" w:rsidRPr="004C5271" w:rsidRDefault="0070387D" w:rsidP="00CF09A0">
      <w:pPr>
        <w:pStyle w:val="DotPointTLRI"/>
        <w:rPr>
          <w:rFonts w:asciiTheme="majorBidi" w:hAnsiTheme="majorBidi" w:cstheme="majorBidi"/>
          <w:lang w:val="en-AU"/>
        </w:rPr>
      </w:pPr>
      <w:r w:rsidRPr="004C5271">
        <w:rPr>
          <w:rFonts w:asciiTheme="majorBidi" w:hAnsiTheme="majorBidi" w:cstheme="majorBidi"/>
          <w:lang w:val="en-AU"/>
        </w:rPr>
        <w:t>the net value of the estate;</w:t>
      </w:r>
      <w:r w:rsidRPr="004C5271">
        <w:rPr>
          <w:rStyle w:val="FootnoteReference"/>
          <w:rFonts w:asciiTheme="majorBidi" w:hAnsiTheme="majorBidi" w:cstheme="majorBidi"/>
          <w:lang w:val="en-AU"/>
        </w:rPr>
        <w:footnoteReference w:id="40"/>
      </w:r>
    </w:p>
    <w:p w14:paraId="08FB6654" w14:textId="01D3C4C6" w:rsidR="0070387D" w:rsidRPr="004C5271" w:rsidRDefault="0070387D" w:rsidP="00CF09A0">
      <w:pPr>
        <w:pStyle w:val="DotPointTLRI"/>
        <w:rPr>
          <w:rFonts w:asciiTheme="majorBidi" w:hAnsiTheme="majorBidi" w:cstheme="majorBidi"/>
          <w:lang w:val="en-AU"/>
        </w:rPr>
      </w:pPr>
      <w:r w:rsidRPr="004C5271">
        <w:rPr>
          <w:rFonts w:asciiTheme="majorBidi" w:hAnsiTheme="majorBidi" w:cstheme="majorBidi"/>
          <w:lang w:val="en-AU"/>
        </w:rPr>
        <w:t>the financial resources of the applicant;</w:t>
      </w:r>
      <w:r w:rsidRPr="004C5271">
        <w:rPr>
          <w:rStyle w:val="FootnoteReference"/>
          <w:rFonts w:asciiTheme="majorBidi" w:hAnsiTheme="majorBidi" w:cstheme="majorBidi"/>
          <w:lang w:val="en-AU"/>
        </w:rPr>
        <w:footnoteReference w:id="41"/>
      </w:r>
      <w:r w:rsidRPr="004C5271">
        <w:rPr>
          <w:rStyle w:val="FootnoteReference"/>
          <w:rFonts w:asciiTheme="majorBidi" w:hAnsiTheme="majorBidi" w:cstheme="majorBidi"/>
          <w:lang w:val="en-AU"/>
        </w:rPr>
        <w:t xml:space="preserve"> </w:t>
      </w:r>
      <w:r w:rsidRPr="004C5271">
        <w:rPr>
          <w:rFonts w:asciiTheme="majorBidi" w:hAnsiTheme="majorBidi" w:cstheme="majorBidi"/>
          <w:lang w:val="en-AU"/>
        </w:rPr>
        <w:t>and</w:t>
      </w:r>
    </w:p>
    <w:p w14:paraId="3080A37A" w14:textId="5370B4DE" w:rsidR="0070387D" w:rsidRPr="004C5271" w:rsidRDefault="0070387D" w:rsidP="00CF09A0">
      <w:pPr>
        <w:pStyle w:val="DotPointTLRI"/>
        <w:rPr>
          <w:rFonts w:asciiTheme="majorBidi" w:hAnsiTheme="majorBidi" w:cstheme="majorBidi"/>
          <w:lang w:val="en-AU"/>
        </w:rPr>
      </w:pPr>
      <w:r w:rsidRPr="004C5271">
        <w:rPr>
          <w:rFonts w:asciiTheme="majorBidi" w:hAnsiTheme="majorBidi" w:cstheme="majorBidi"/>
          <w:lang w:val="en-AU"/>
        </w:rPr>
        <w:lastRenderedPageBreak/>
        <w:t>the deceased’s reasons, so far as they are ascertainable, for making the dispositions in their will, or for not making any provision or further provision.</w:t>
      </w:r>
      <w:r w:rsidRPr="004C5271">
        <w:rPr>
          <w:rStyle w:val="FootnoteReference"/>
          <w:rFonts w:asciiTheme="majorBidi" w:hAnsiTheme="majorBidi" w:cstheme="majorBidi"/>
          <w:lang w:val="en-AU"/>
        </w:rPr>
        <w:footnoteReference w:id="42"/>
      </w:r>
    </w:p>
    <w:p w14:paraId="46140472" w14:textId="1A0EB833" w:rsidR="0070387D" w:rsidRPr="004C5271" w:rsidRDefault="0070387D" w:rsidP="00C062DE">
      <w:pPr>
        <w:pStyle w:val="NormalNumberedTextTLRI"/>
        <w:rPr>
          <w:rFonts w:asciiTheme="majorBidi" w:hAnsiTheme="majorBidi" w:cstheme="majorBidi"/>
          <w:lang w:val="en-AU"/>
        </w:rPr>
      </w:pPr>
      <w:r w:rsidRPr="004C5271">
        <w:rPr>
          <w:rFonts w:asciiTheme="majorBidi" w:hAnsiTheme="majorBidi" w:cstheme="majorBidi"/>
          <w:lang w:val="en-AU"/>
        </w:rPr>
        <w:t>The</w:t>
      </w:r>
      <w:r w:rsidR="00B56067" w:rsidRPr="004C5271">
        <w:rPr>
          <w:rFonts w:asciiTheme="majorBidi" w:hAnsiTheme="majorBidi" w:cstheme="majorBidi"/>
          <w:lang w:val="en-AU"/>
        </w:rPr>
        <w:t xml:space="preserve"> </w:t>
      </w:r>
      <w:r w:rsidRPr="004C5271">
        <w:rPr>
          <w:rFonts w:asciiTheme="majorBidi" w:hAnsiTheme="majorBidi" w:cstheme="majorBidi"/>
          <w:lang w:val="en-AU"/>
        </w:rPr>
        <w:t>Court may refuse to make an order where the character or conduct of the applicant disentitles him or her to the benefits of an order.</w:t>
      </w:r>
      <w:r w:rsidRPr="004C5271">
        <w:rPr>
          <w:rStyle w:val="FootnoteReference"/>
          <w:rFonts w:asciiTheme="majorBidi" w:hAnsiTheme="majorBidi" w:cstheme="majorBidi"/>
          <w:lang w:val="en-AU"/>
        </w:rPr>
        <w:footnoteReference w:id="43"/>
      </w:r>
    </w:p>
    <w:p w14:paraId="420C770E" w14:textId="456A8183" w:rsidR="002857B2" w:rsidRPr="004C5271" w:rsidRDefault="00545032" w:rsidP="009F2095">
      <w:pPr>
        <w:pStyle w:val="NormalNumberedTextTLRI"/>
        <w:rPr>
          <w:rFonts w:asciiTheme="majorBidi" w:hAnsiTheme="majorBidi" w:cstheme="majorBidi"/>
          <w:lang w:val="en-AU"/>
        </w:rPr>
      </w:pPr>
      <w:r w:rsidRPr="004C5271">
        <w:rPr>
          <w:rFonts w:asciiTheme="majorBidi" w:hAnsiTheme="majorBidi" w:cstheme="majorBidi"/>
          <w:lang w:val="en-AU"/>
        </w:rPr>
        <w:t xml:space="preserve">Whilst the </w:t>
      </w:r>
      <w:r w:rsidR="001D799A" w:rsidRPr="004C5271">
        <w:rPr>
          <w:rFonts w:asciiTheme="majorBidi" w:hAnsiTheme="majorBidi" w:cstheme="majorBidi"/>
          <w:i/>
          <w:iCs/>
          <w:lang w:val="en-AU"/>
        </w:rPr>
        <w:t xml:space="preserve">TFM </w:t>
      </w:r>
      <w:r w:rsidRPr="004C5271">
        <w:rPr>
          <w:rFonts w:asciiTheme="majorBidi" w:hAnsiTheme="majorBidi" w:cstheme="majorBidi"/>
          <w:i/>
          <w:iCs/>
          <w:lang w:val="en-AU"/>
        </w:rPr>
        <w:t>Act</w:t>
      </w:r>
      <w:r w:rsidRPr="004C5271">
        <w:rPr>
          <w:rFonts w:asciiTheme="majorBidi" w:hAnsiTheme="majorBidi" w:cstheme="majorBidi"/>
          <w:lang w:val="en-AU"/>
        </w:rPr>
        <w:t xml:space="preserve"> does not </w:t>
      </w:r>
      <w:r w:rsidR="00584BB6" w:rsidRPr="004C5271">
        <w:rPr>
          <w:rFonts w:asciiTheme="majorBidi" w:hAnsiTheme="majorBidi" w:cstheme="majorBidi"/>
          <w:lang w:val="en-AU"/>
        </w:rPr>
        <w:t>list</w:t>
      </w:r>
      <w:r w:rsidRPr="004C5271">
        <w:rPr>
          <w:rFonts w:asciiTheme="majorBidi" w:hAnsiTheme="majorBidi" w:cstheme="majorBidi"/>
          <w:lang w:val="en-AU"/>
        </w:rPr>
        <w:t xml:space="preserve"> </w:t>
      </w:r>
      <w:r w:rsidR="00B16C3B" w:rsidRPr="004C5271">
        <w:rPr>
          <w:rFonts w:asciiTheme="majorBidi" w:hAnsiTheme="majorBidi" w:cstheme="majorBidi"/>
          <w:lang w:val="en-AU"/>
        </w:rPr>
        <w:t xml:space="preserve">other </w:t>
      </w:r>
      <w:r w:rsidRPr="004C5271">
        <w:rPr>
          <w:rFonts w:asciiTheme="majorBidi" w:hAnsiTheme="majorBidi" w:cstheme="majorBidi"/>
          <w:lang w:val="en-AU"/>
        </w:rPr>
        <w:t xml:space="preserve">factors, </w:t>
      </w:r>
      <w:r w:rsidR="002857B2" w:rsidRPr="004C5271">
        <w:rPr>
          <w:rFonts w:asciiTheme="majorBidi" w:hAnsiTheme="majorBidi" w:cstheme="majorBidi"/>
          <w:lang w:val="en-AU"/>
        </w:rPr>
        <w:t>the following</w:t>
      </w:r>
      <w:r w:rsidRPr="004C5271">
        <w:rPr>
          <w:rFonts w:asciiTheme="majorBidi" w:hAnsiTheme="majorBidi" w:cstheme="majorBidi"/>
          <w:lang w:val="en-AU"/>
        </w:rPr>
        <w:t xml:space="preserve"> </w:t>
      </w:r>
      <w:r w:rsidR="00B16C3B" w:rsidRPr="004C5271">
        <w:rPr>
          <w:rFonts w:asciiTheme="majorBidi" w:hAnsiTheme="majorBidi" w:cstheme="majorBidi"/>
          <w:lang w:val="en-AU"/>
        </w:rPr>
        <w:t>matters</w:t>
      </w:r>
      <w:r w:rsidR="002857B2" w:rsidRPr="004C5271">
        <w:rPr>
          <w:rFonts w:asciiTheme="majorBidi" w:hAnsiTheme="majorBidi" w:cstheme="majorBidi"/>
          <w:lang w:val="en-AU"/>
        </w:rPr>
        <w:t xml:space="preserve"> </w:t>
      </w:r>
      <w:r w:rsidR="001D799A" w:rsidRPr="004C5271">
        <w:rPr>
          <w:rFonts w:asciiTheme="majorBidi" w:hAnsiTheme="majorBidi" w:cstheme="majorBidi"/>
          <w:lang w:val="en-AU"/>
        </w:rPr>
        <w:t>may be</w:t>
      </w:r>
      <w:r w:rsidRPr="004C5271">
        <w:rPr>
          <w:rFonts w:asciiTheme="majorBidi" w:hAnsiTheme="majorBidi" w:cstheme="majorBidi"/>
          <w:lang w:val="en-AU"/>
        </w:rPr>
        <w:t xml:space="preserve"> considered</w:t>
      </w:r>
      <w:r w:rsidR="002857B2" w:rsidRPr="004C5271">
        <w:rPr>
          <w:rFonts w:asciiTheme="majorBidi" w:hAnsiTheme="majorBidi" w:cstheme="majorBidi"/>
          <w:lang w:val="en-AU"/>
        </w:rPr>
        <w:t xml:space="preserve"> </w:t>
      </w:r>
      <w:r w:rsidR="00B16C3B" w:rsidRPr="004C5271">
        <w:rPr>
          <w:rFonts w:asciiTheme="majorBidi" w:hAnsiTheme="majorBidi" w:cstheme="majorBidi"/>
          <w:lang w:val="en-AU"/>
        </w:rPr>
        <w:t>when</w:t>
      </w:r>
      <w:r w:rsidRPr="004C5271">
        <w:rPr>
          <w:rFonts w:asciiTheme="majorBidi" w:hAnsiTheme="majorBidi" w:cstheme="majorBidi"/>
          <w:lang w:val="en-AU"/>
        </w:rPr>
        <w:t xml:space="preserve"> assessing the merits of </w:t>
      </w:r>
      <w:r w:rsidR="001D799A" w:rsidRPr="004C5271">
        <w:rPr>
          <w:rFonts w:asciiTheme="majorBidi" w:hAnsiTheme="majorBidi" w:cstheme="majorBidi"/>
          <w:lang w:val="en-AU"/>
        </w:rPr>
        <w:t>a</w:t>
      </w:r>
      <w:r w:rsidRPr="004C5271">
        <w:rPr>
          <w:rFonts w:asciiTheme="majorBidi" w:hAnsiTheme="majorBidi" w:cstheme="majorBidi"/>
          <w:lang w:val="en-AU"/>
        </w:rPr>
        <w:t xml:space="preserve"> claim</w:t>
      </w:r>
      <w:r w:rsidR="002857B2" w:rsidRPr="004C5271">
        <w:rPr>
          <w:rFonts w:asciiTheme="majorBidi" w:hAnsiTheme="majorBidi" w:cstheme="majorBidi"/>
          <w:lang w:val="en-AU"/>
        </w:rPr>
        <w:t>:</w:t>
      </w:r>
    </w:p>
    <w:p w14:paraId="00654C51" w14:textId="20FE47FA" w:rsidR="002857B2" w:rsidRPr="004C5271" w:rsidRDefault="00B16C3B" w:rsidP="00CF09A0">
      <w:pPr>
        <w:pStyle w:val="DotPointTLRI"/>
        <w:rPr>
          <w:rFonts w:asciiTheme="majorBidi" w:hAnsiTheme="majorBidi" w:cstheme="majorBidi"/>
          <w:lang w:val="en-AU"/>
        </w:rPr>
      </w:pPr>
      <w:r w:rsidRPr="004C5271">
        <w:rPr>
          <w:rFonts w:asciiTheme="majorBidi" w:hAnsiTheme="majorBidi" w:cstheme="majorBidi"/>
          <w:lang w:val="en-AU"/>
        </w:rPr>
        <w:t xml:space="preserve">the </w:t>
      </w:r>
      <w:r w:rsidR="002857B2" w:rsidRPr="004C5271">
        <w:rPr>
          <w:rFonts w:asciiTheme="majorBidi" w:hAnsiTheme="majorBidi" w:cstheme="majorBidi"/>
          <w:lang w:val="en-AU"/>
        </w:rPr>
        <w:t>financial responsibilities of</w:t>
      </w:r>
      <w:r w:rsidRPr="004C5271">
        <w:rPr>
          <w:rFonts w:asciiTheme="majorBidi" w:hAnsiTheme="majorBidi" w:cstheme="majorBidi"/>
          <w:lang w:val="en-AU"/>
        </w:rPr>
        <w:t xml:space="preserve"> the</w:t>
      </w:r>
      <w:r w:rsidR="002857B2" w:rsidRPr="004C5271">
        <w:rPr>
          <w:rFonts w:asciiTheme="majorBidi" w:hAnsiTheme="majorBidi" w:cstheme="majorBidi"/>
          <w:lang w:val="en-AU"/>
        </w:rPr>
        <w:t xml:space="preserve"> applicant</w:t>
      </w:r>
      <w:r w:rsidR="00891CE5" w:rsidRPr="004C5271">
        <w:rPr>
          <w:rFonts w:asciiTheme="majorBidi" w:hAnsiTheme="majorBidi" w:cstheme="majorBidi"/>
          <w:lang w:val="en-AU"/>
        </w:rPr>
        <w:t>;</w:t>
      </w:r>
    </w:p>
    <w:p w14:paraId="561C03E8" w14:textId="2CC60F17" w:rsidR="0070387D" w:rsidRPr="004C5271" w:rsidRDefault="0070387D" w:rsidP="00CF09A0">
      <w:pPr>
        <w:pStyle w:val="DotPointTLRI"/>
        <w:rPr>
          <w:rFonts w:asciiTheme="majorBidi" w:hAnsiTheme="majorBidi" w:cstheme="majorBidi"/>
          <w:lang w:val="en-AU"/>
        </w:rPr>
      </w:pPr>
      <w:r w:rsidRPr="004C5271">
        <w:rPr>
          <w:rFonts w:asciiTheme="majorBidi" w:hAnsiTheme="majorBidi" w:cstheme="majorBidi"/>
          <w:lang w:val="en-AU"/>
        </w:rPr>
        <w:t xml:space="preserve">the </w:t>
      </w:r>
      <w:r w:rsidR="00584BB6" w:rsidRPr="004C5271">
        <w:rPr>
          <w:rFonts w:asciiTheme="majorBidi" w:hAnsiTheme="majorBidi" w:cstheme="majorBidi"/>
          <w:lang w:val="en-AU"/>
        </w:rPr>
        <w:t xml:space="preserve">applicant’s </w:t>
      </w:r>
      <w:r w:rsidRPr="004C5271">
        <w:rPr>
          <w:rFonts w:asciiTheme="majorBidi" w:hAnsiTheme="majorBidi" w:cstheme="majorBidi"/>
          <w:lang w:val="en-AU"/>
        </w:rPr>
        <w:t>age and health;</w:t>
      </w:r>
    </w:p>
    <w:p w14:paraId="492D70F4" w14:textId="4D71CB4E" w:rsidR="002857B2" w:rsidRPr="004C5271" w:rsidRDefault="00B16C3B" w:rsidP="00CF09A0">
      <w:pPr>
        <w:pStyle w:val="DotPointTLRI"/>
        <w:rPr>
          <w:rFonts w:asciiTheme="majorBidi" w:hAnsiTheme="majorBidi" w:cstheme="majorBidi"/>
          <w:lang w:val="en-AU"/>
        </w:rPr>
      </w:pPr>
      <w:r w:rsidRPr="004C5271">
        <w:rPr>
          <w:rFonts w:asciiTheme="majorBidi" w:hAnsiTheme="majorBidi" w:cstheme="majorBidi"/>
          <w:lang w:val="en-AU"/>
        </w:rPr>
        <w:t xml:space="preserve">the </w:t>
      </w:r>
      <w:r w:rsidR="0070387D" w:rsidRPr="004C5271">
        <w:rPr>
          <w:rFonts w:asciiTheme="majorBidi" w:hAnsiTheme="majorBidi" w:cstheme="majorBidi"/>
          <w:lang w:val="en-AU"/>
        </w:rPr>
        <w:t xml:space="preserve">nature and quality of the </w:t>
      </w:r>
      <w:r w:rsidR="009F71A8" w:rsidRPr="004C5271">
        <w:rPr>
          <w:rFonts w:asciiTheme="majorBidi" w:hAnsiTheme="majorBidi" w:cstheme="majorBidi"/>
          <w:lang w:val="en-AU"/>
        </w:rPr>
        <w:t>r</w:t>
      </w:r>
      <w:r w:rsidR="002857B2" w:rsidRPr="004C5271">
        <w:rPr>
          <w:rFonts w:asciiTheme="majorBidi" w:hAnsiTheme="majorBidi" w:cstheme="majorBidi"/>
          <w:lang w:val="en-AU"/>
        </w:rPr>
        <w:t xml:space="preserve">elationship </w:t>
      </w:r>
      <w:r w:rsidR="0070387D" w:rsidRPr="004C5271">
        <w:rPr>
          <w:rFonts w:asciiTheme="majorBidi" w:hAnsiTheme="majorBidi" w:cstheme="majorBidi"/>
          <w:lang w:val="en-AU"/>
        </w:rPr>
        <w:t>between</w:t>
      </w:r>
      <w:r w:rsidR="002857B2" w:rsidRPr="004C5271">
        <w:rPr>
          <w:rFonts w:asciiTheme="majorBidi" w:hAnsiTheme="majorBidi" w:cstheme="majorBidi"/>
          <w:lang w:val="en-AU"/>
        </w:rPr>
        <w:t xml:space="preserve"> </w:t>
      </w:r>
      <w:r w:rsidRPr="004C5271">
        <w:rPr>
          <w:rFonts w:asciiTheme="majorBidi" w:hAnsiTheme="majorBidi" w:cstheme="majorBidi"/>
          <w:lang w:val="en-AU"/>
        </w:rPr>
        <w:t xml:space="preserve">the </w:t>
      </w:r>
      <w:r w:rsidR="002857B2" w:rsidRPr="004C5271">
        <w:rPr>
          <w:rFonts w:asciiTheme="majorBidi" w:hAnsiTheme="majorBidi" w:cstheme="majorBidi"/>
          <w:lang w:val="en-AU"/>
        </w:rPr>
        <w:t xml:space="preserve">applicant </w:t>
      </w:r>
      <w:r w:rsidR="00F230CD" w:rsidRPr="004C5271">
        <w:rPr>
          <w:rFonts w:asciiTheme="majorBidi" w:hAnsiTheme="majorBidi" w:cstheme="majorBidi"/>
          <w:lang w:val="en-AU"/>
        </w:rPr>
        <w:t>and</w:t>
      </w:r>
      <w:r w:rsidR="002857B2" w:rsidRPr="004C5271">
        <w:rPr>
          <w:rFonts w:asciiTheme="majorBidi" w:hAnsiTheme="majorBidi" w:cstheme="majorBidi"/>
          <w:lang w:val="en-AU"/>
        </w:rPr>
        <w:t xml:space="preserve"> the deceased</w:t>
      </w:r>
      <w:r w:rsidR="00891CE5" w:rsidRPr="004C5271">
        <w:rPr>
          <w:rFonts w:asciiTheme="majorBidi" w:hAnsiTheme="majorBidi" w:cstheme="majorBidi"/>
          <w:lang w:val="en-AU"/>
        </w:rPr>
        <w:t>;</w:t>
      </w:r>
    </w:p>
    <w:p w14:paraId="628A9C79" w14:textId="77777777" w:rsidR="002857B2" w:rsidRPr="004C5271" w:rsidRDefault="009F71A8" w:rsidP="00CF09A0">
      <w:pPr>
        <w:pStyle w:val="DotPointTLRI"/>
        <w:rPr>
          <w:rFonts w:asciiTheme="majorBidi" w:hAnsiTheme="majorBidi" w:cstheme="majorBidi"/>
          <w:lang w:val="en-AU"/>
        </w:rPr>
      </w:pPr>
      <w:r w:rsidRPr="004C5271">
        <w:rPr>
          <w:rFonts w:asciiTheme="majorBidi" w:hAnsiTheme="majorBidi" w:cstheme="majorBidi"/>
          <w:lang w:val="en-AU"/>
        </w:rPr>
        <w:t>s</w:t>
      </w:r>
      <w:r w:rsidR="002857B2" w:rsidRPr="004C5271">
        <w:rPr>
          <w:rFonts w:asciiTheme="majorBidi" w:hAnsiTheme="majorBidi" w:cstheme="majorBidi"/>
          <w:lang w:val="en-AU"/>
        </w:rPr>
        <w:t>ervices rendered to the applicant by the deceased</w:t>
      </w:r>
      <w:r w:rsidR="00891CE5" w:rsidRPr="004C5271">
        <w:rPr>
          <w:rFonts w:asciiTheme="majorBidi" w:hAnsiTheme="majorBidi" w:cstheme="majorBidi"/>
          <w:lang w:val="en-AU"/>
        </w:rPr>
        <w:t>;</w:t>
      </w:r>
    </w:p>
    <w:p w14:paraId="28867993" w14:textId="732B71AA" w:rsidR="002857B2" w:rsidRPr="004C5271" w:rsidRDefault="00584BB6" w:rsidP="00CF09A0">
      <w:pPr>
        <w:pStyle w:val="DotPointTLRI"/>
        <w:rPr>
          <w:rFonts w:asciiTheme="majorBidi" w:hAnsiTheme="majorBidi" w:cstheme="majorBidi"/>
          <w:lang w:val="en-AU"/>
        </w:rPr>
      </w:pPr>
      <w:r w:rsidRPr="004C5271">
        <w:rPr>
          <w:rFonts w:asciiTheme="majorBidi" w:hAnsiTheme="majorBidi" w:cstheme="majorBidi"/>
          <w:lang w:val="en-AU"/>
        </w:rPr>
        <w:t>any</w:t>
      </w:r>
      <w:r w:rsidR="002857B2" w:rsidRPr="004C5271">
        <w:rPr>
          <w:rFonts w:asciiTheme="majorBidi" w:hAnsiTheme="majorBidi" w:cstheme="majorBidi"/>
          <w:lang w:val="en-AU"/>
        </w:rPr>
        <w:t xml:space="preserve"> benefit</w:t>
      </w:r>
      <w:r w:rsidR="00BB267D" w:rsidRPr="004C5271">
        <w:rPr>
          <w:rFonts w:asciiTheme="majorBidi" w:hAnsiTheme="majorBidi" w:cstheme="majorBidi"/>
          <w:lang w:val="en-AU"/>
        </w:rPr>
        <w:t>s</w:t>
      </w:r>
      <w:r w:rsidR="002857B2" w:rsidRPr="004C5271">
        <w:rPr>
          <w:rFonts w:asciiTheme="majorBidi" w:hAnsiTheme="majorBidi" w:cstheme="majorBidi"/>
          <w:lang w:val="en-AU"/>
        </w:rPr>
        <w:t xml:space="preserve"> </w:t>
      </w:r>
      <w:r w:rsidRPr="004C5271">
        <w:rPr>
          <w:rFonts w:asciiTheme="majorBidi" w:hAnsiTheme="majorBidi" w:cstheme="majorBidi"/>
          <w:lang w:val="en-AU"/>
        </w:rPr>
        <w:t>that the applicant or beneficiaries received from the deceased during his or her life</w:t>
      </w:r>
      <w:r w:rsidR="00891CE5" w:rsidRPr="004C5271">
        <w:rPr>
          <w:rFonts w:asciiTheme="majorBidi" w:hAnsiTheme="majorBidi" w:cstheme="majorBidi"/>
          <w:lang w:val="en-AU"/>
        </w:rPr>
        <w:t>;</w:t>
      </w:r>
      <w:r w:rsidR="008F53E1" w:rsidRPr="004C5271">
        <w:rPr>
          <w:rFonts w:asciiTheme="majorBidi" w:hAnsiTheme="majorBidi" w:cstheme="majorBidi"/>
          <w:lang w:val="en-AU"/>
        </w:rPr>
        <w:t xml:space="preserve"> and</w:t>
      </w:r>
    </w:p>
    <w:p w14:paraId="007A0395" w14:textId="36C61385" w:rsidR="002857B2" w:rsidRPr="004C5271" w:rsidRDefault="00F15E1B" w:rsidP="00CF09A0">
      <w:pPr>
        <w:pStyle w:val="DotPointTLRI"/>
        <w:rPr>
          <w:rFonts w:asciiTheme="majorBidi" w:hAnsiTheme="majorBidi" w:cstheme="majorBidi"/>
          <w:lang w:val="en-AU"/>
        </w:rPr>
      </w:pPr>
      <w:r w:rsidRPr="004C5271">
        <w:rPr>
          <w:rFonts w:asciiTheme="majorBidi" w:hAnsiTheme="majorBidi" w:cstheme="majorBidi"/>
          <w:lang w:val="en-AU"/>
        </w:rPr>
        <w:t xml:space="preserve">the competing moral and financial claims of the beneficiaries, including </w:t>
      </w:r>
      <w:r w:rsidR="00633161" w:rsidRPr="004C5271">
        <w:rPr>
          <w:rFonts w:asciiTheme="majorBidi" w:hAnsiTheme="majorBidi" w:cstheme="majorBidi"/>
          <w:lang w:val="en-AU"/>
        </w:rPr>
        <w:t xml:space="preserve">the </w:t>
      </w:r>
      <w:r w:rsidR="009F71A8" w:rsidRPr="004C5271">
        <w:rPr>
          <w:rFonts w:asciiTheme="majorBidi" w:hAnsiTheme="majorBidi" w:cstheme="majorBidi"/>
          <w:lang w:val="en-AU"/>
        </w:rPr>
        <w:t>d</w:t>
      </w:r>
      <w:r w:rsidR="002857B2" w:rsidRPr="004C5271">
        <w:rPr>
          <w:rFonts w:asciiTheme="majorBidi" w:hAnsiTheme="majorBidi" w:cstheme="majorBidi"/>
          <w:lang w:val="en-AU"/>
        </w:rPr>
        <w:t>uty of the deceased to provide for other members of the family</w:t>
      </w:r>
      <w:r w:rsidR="00891CE5" w:rsidRPr="004C5271">
        <w:rPr>
          <w:rFonts w:asciiTheme="majorBidi" w:hAnsiTheme="majorBidi" w:cstheme="majorBidi"/>
          <w:lang w:val="en-AU"/>
        </w:rPr>
        <w:t>.</w:t>
      </w:r>
    </w:p>
    <w:p w14:paraId="25FAA3D3" w14:textId="6D760BDF" w:rsidR="00865745" w:rsidRPr="004C5271" w:rsidRDefault="00865745" w:rsidP="00AE2B8C">
      <w:pPr>
        <w:pStyle w:val="Sub-HeadingTLRI"/>
      </w:pPr>
      <w:bookmarkStart w:id="36" w:name="_Toc2256853"/>
      <w:bookmarkEnd w:id="36"/>
      <w:r w:rsidRPr="004C5271">
        <w:t xml:space="preserve">Property available to satisfy a family </w:t>
      </w:r>
      <w:r w:rsidRPr="00AE2B8C">
        <w:t>provision</w:t>
      </w:r>
      <w:r w:rsidRPr="004C5271">
        <w:t xml:space="preserve"> claim</w:t>
      </w:r>
    </w:p>
    <w:p w14:paraId="0BE44E32" w14:textId="00072BC6" w:rsidR="00CF1AA3" w:rsidRPr="004C5271" w:rsidRDefault="00290D81" w:rsidP="00015D9B">
      <w:pPr>
        <w:pStyle w:val="NormalNumberedTextTLRI"/>
        <w:rPr>
          <w:rFonts w:asciiTheme="majorBidi" w:hAnsiTheme="majorBidi" w:cstheme="majorBidi"/>
          <w:lang w:val="en-AU"/>
        </w:rPr>
      </w:pPr>
      <w:r w:rsidRPr="004C5271">
        <w:rPr>
          <w:rFonts w:asciiTheme="majorBidi" w:hAnsiTheme="majorBidi" w:cstheme="majorBidi"/>
          <w:lang w:val="en-AU"/>
        </w:rPr>
        <w:tab/>
      </w:r>
      <w:r w:rsidR="002857B2" w:rsidRPr="004C5271">
        <w:rPr>
          <w:rFonts w:asciiTheme="majorBidi" w:hAnsiTheme="majorBidi" w:cstheme="majorBidi"/>
          <w:lang w:val="en-AU"/>
        </w:rPr>
        <w:t>Section 3</w:t>
      </w:r>
      <w:r w:rsidR="001B13AB" w:rsidRPr="004C5271">
        <w:rPr>
          <w:rFonts w:asciiTheme="majorBidi" w:hAnsiTheme="majorBidi" w:cstheme="majorBidi"/>
          <w:lang w:val="en-AU"/>
        </w:rPr>
        <w:t>(</w:t>
      </w:r>
      <w:r w:rsidR="002857B2" w:rsidRPr="004C5271">
        <w:rPr>
          <w:rFonts w:asciiTheme="majorBidi" w:hAnsiTheme="majorBidi" w:cstheme="majorBidi"/>
          <w:lang w:val="en-AU"/>
        </w:rPr>
        <w:t>1</w:t>
      </w:r>
      <w:r w:rsidR="001B13AB" w:rsidRPr="004C5271">
        <w:rPr>
          <w:rFonts w:asciiTheme="majorBidi" w:hAnsiTheme="majorBidi" w:cstheme="majorBidi"/>
          <w:lang w:val="en-AU"/>
        </w:rPr>
        <w:t>)</w:t>
      </w:r>
      <w:r w:rsidR="002857B2" w:rsidRPr="004C5271">
        <w:rPr>
          <w:rFonts w:asciiTheme="majorBidi" w:hAnsiTheme="majorBidi" w:cstheme="majorBidi"/>
          <w:lang w:val="en-AU"/>
        </w:rPr>
        <w:t xml:space="preserve"> of the </w:t>
      </w:r>
      <w:r w:rsidR="000C1E64" w:rsidRPr="004C5271">
        <w:rPr>
          <w:rFonts w:asciiTheme="majorBidi" w:hAnsiTheme="majorBidi" w:cstheme="majorBidi"/>
          <w:i/>
          <w:lang w:val="en-AU"/>
        </w:rPr>
        <w:t xml:space="preserve">TFM </w:t>
      </w:r>
      <w:r w:rsidR="002857B2" w:rsidRPr="004C5271">
        <w:rPr>
          <w:rFonts w:asciiTheme="majorBidi" w:hAnsiTheme="majorBidi" w:cstheme="majorBidi"/>
          <w:i/>
          <w:lang w:val="en-AU"/>
        </w:rPr>
        <w:t>Act</w:t>
      </w:r>
      <w:r w:rsidR="002857B2" w:rsidRPr="004C5271">
        <w:rPr>
          <w:rFonts w:asciiTheme="majorBidi" w:hAnsiTheme="majorBidi" w:cstheme="majorBidi"/>
          <w:lang w:val="en-AU"/>
        </w:rPr>
        <w:t xml:space="preserve"> provides that any order of the Court is restricted to the estate of the deceased. </w:t>
      </w:r>
      <w:r w:rsidR="00797946" w:rsidRPr="004C5271">
        <w:rPr>
          <w:rFonts w:asciiTheme="majorBidi" w:hAnsiTheme="majorBidi" w:cstheme="majorBidi"/>
          <w:lang w:val="en-AU"/>
        </w:rPr>
        <w:t>As Dal Pont and Mackie state</w:t>
      </w:r>
      <w:r w:rsidR="00977786" w:rsidRPr="004C5271">
        <w:rPr>
          <w:rFonts w:asciiTheme="majorBidi" w:hAnsiTheme="majorBidi" w:cstheme="majorBidi"/>
          <w:lang w:val="en-AU"/>
        </w:rPr>
        <w:t>:</w:t>
      </w:r>
      <w:r w:rsidR="00797946" w:rsidRPr="004C5271">
        <w:rPr>
          <w:rFonts w:asciiTheme="majorBidi" w:hAnsiTheme="majorBidi" w:cstheme="majorBidi"/>
          <w:lang w:val="en-AU"/>
        </w:rPr>
        <w:t xml:space="preserve"> ‘Provision can therefore be made only out of the property that the deceased beneficially owned at the time of death and that passes to the deceased’s personal representative, less the liabilities of the estate’</w:t>
      </w:r>
      <w:r w:rsidR="00000703" w:rsidRPr="004C5271">
        <w:rPr>
          <w:rFonts w:asciiTheme="majorBidi" w:hAnsiTheme="majorBidi" w:cstheme="majorBidi"/>
          <w:lang w:val="en-AU"/>
        </w:rPr>
        <w:t>.</w:t>
      </w:r>
      <w:r w:rsidR="003D3DD8" w:rsidRPr="004C5271">
        <w:rPr>
          <w:rStyle w:val="FootnoteReference"/>
          <w:rFonts w:asciiTheme="majorBidi" w:hAnsiTheme="majorBidi" w:cstheme="majorBidi"/>
          <w:lang w:val="en-AU"/>
        </w:rPr>
        <w:footnoteReference w:id="44"/>
      </w:r>
      <w:r w:rsidR="00865745" w:rsidRPr="004C5271">
        <w:rPr>
          <w:rFonts w:asciiTheme="majorBidi" w:hAnsiTheme="majorBidi" w:cstheme="majorBidi"/>
          <w:lang w:val="en-AU"/>
        </w:rPr>
        <w:t xml:space="preserve"> </w:t>
      </w:r>
      <w:r w:rsidR="009E71F8" w:rsidRPr="004C5271">
        <w:rPr>
          <w:rFonts w:asciiTheme="majorBidi" w:hAnsiTheme="majorBidi" w:cstheme="majorBidi"/>
          <w:lang w:val="en-AU"/>
        </w:rPr>
        <w:t xml:space="preserve">The High Court </w:t>
      </w:r>
      <w:r w:rsidR="00E11AC6" w:rsidRPr="004C5271">
        <w:rPr>
          <w:rFonts w:asciiTheme="majorBidi" w:hAnsiTheme="majorBidi" w:cstheme="majorBidi"/>
          <w:lang w:val="en-AU"/>
        </w:rPr>
        <w:t xml:space="preserve">has </w:t>
      </w:r>
      <w:r w:rsidR="004D18AC" w:rsidRPr="004C5271">
        <w:rPr>
          <w:rFonts w:asciiTheme="majorBidi" w:hAnsiTheme="majorBidi" w:cstheme="majorBidi"/>
          <w:lang w:val="en-AU"/>
        </w:rPr>
        <w:t>defined</w:t>
      </w:r>
      <w:r w:rsidR="009E71F8" w:rsidRPr="004C5271">
        <w:rPr>
          <w:rFonts w:asciiTheme="majorBidi" w:hAnsiTheme="majorBidi" w:cstheme="majorBidi"/>
          <w:lang w:val="en-AU"/>
        </w:rPr>
        <w:t xml:space="preserve"> the concept of an </w:t>
      </w:r>
      <w:r w:rsidR="009E321A" w:rsidRPr="004C5271">
        <w:rPr>
          <w:rFonts w:asciiTheme="majorBidi" w:hAnsiTheme="majorBidi" w:cstheme="majorBidi"/>
          <w:lang w:val="en-AU"/>
        </w:rPr>
        <w:t>‘</w:t>
      </w:r>
      <w:r w:rsidR="009E71F8" w:rsidRPr="004C5271">
        <w:rPr>
          <w:rFonts w:asciiTheme="majorBidi" w:hAnsiTheme="majorBidi" w:cstheme="majorBidi"/>
          <w:lang w:val="en-AU"/>
        </w:rPr>
        <w:t>estate</w:t>
      </w:r>
      <w:r w:rsidR="009E321A" w:rsidRPr="004C5271">
        <w:rPr>
          <w:rFonts w:asciiTheme="majorBidi" w:hAnsiTheme="majorBidi" w:cstheme="majorBidi"/>
          <w:lang w:val="en-AU"/>
        </w:rPr>
        <w:t>’</w:t>
      </w:r>
      <w:r w:rsidR="009E71F8" w:rsidRPr="004C5271">
        <w:rPr>
          <w:rFonts w:asciiTheme="majorBidi" w:hAnsiTheme="majorBidi" w:cstheme="majorBidi"/>
          <w:lang w:val="en-AU"/>
        </w:rPr>
        <w:t xml:space="preserve"> as follows:</w:t>
      </w:r>
    </w:p>
    <w:p w14:paraId="64E2EDE9" w14:textId="2E270680" w:rsidR="009E71F8" w:rsidRPr="004C5271" w:rsidRDefault="009E71F8" w:rsidP="00EB04F7">
      <w:pPr>
        <w:pStyle w:val="QuoteTLRI"/>
        <w:rPr>
          <w:rFonts w:asciiTheme="majorBidi" w:hAnsiTheme="majorBidi" w:cstheme="majorBidi"/>
        </w:rPr>
      </w:pPr>
      <w:r w:rsidRPr="004C5271">
        <w:rPr>
          <w:rFonts w:asciiTheme="majorBidi" w:hAnsiTheme="majorBidi" w:cstheme="majorBidi"/>
        </w:rPr>
        <w:lastRenderedPageBreak/>
        <w:t>assets of which the testator might at his death dispose and which have come or could come to the hands of the personal representative by reason of the grant of probate or letters of administration.</w:t>
      </w:r>
      <w:r w:rsidRPr="004C5271">
        <w:rPr>
          <w:rStyle w:val="FootnoteReference"/>
          <w:rFonts w:asciiTheme="majorBidi" w:hAnsiTheme="majorBidi" w:cstheme="majorBidi"/>
        </w:rPr>
        <w:footnoteReference w:id="45"/>
      </w:r>
    </w:p>
    <w:p w14:paraId="13CC1CFC" w14:textId="01008469" w:rsidR="00290D81" w:rsidRPr="004C5271" w:rsidRDefault="00865745" w:rsidP="00015D9B">
      <w:pPr>
        <w:pStyle w:val="NormalNumberedTextTLRI"/>
        <w:rPr>
          <w:rFonts w:asciiTheme="majorBidi" w:hAnsiTheme="majorBidi" w:cstheme="majorBidi"/>
          <w:lang w:val="en-AU"/>
        </w:rPr>
      </w:pPr>
      <w:r w:rsidRPr="004C5271">
        <w:rPr>
          <w:rFonts w:asciiTheme="majorBidi" w:hAnsiTheme="majorBidi" w:cstheme="majorBidi"/>
          <w:lang w:val="en-AU"/>
        </w:rPr>
        <w:t>Assets within a person’s estate might include:</w:t>
      </w:r>
    </w:p>
    <w:p w14:paraId="1D6A27F7" w14:textId="3AF72680" w:rsidR="00CF1AA3" w:rsidRPr="004C5271" w:rsidRDefault="00CF1AA3" w:rsidP="00865745">
      <w:pPr>
        <w:pStyle w:val="DotPointTLRI"/>
        <w:rPr>
          <w:rFonts w:asciiTheme="majorBidi" w:hAnsiTheme="majorBidi" w:cstheme="majorBidi"/>
          <w:lang w:val="en-AU"/>
        </w:rPr>
      </w:pPr>
      <w:r w:rsidRPr="004C5271">
        <w:rPr>
          <w:rFonts w:asciiTheme="majorBidi" w:hAnsiTheme="majorBidi" w:cstheme="majorBidi"/>
          <w:lang w:val="en-AU"/>
        </w:rPr>
        <w:t>real property or other assets owned solely or owned with others as a tenant in common;</w:t>
      </w:r>
    </w:p>
    <w:p w14:paraId="4B556503" w14:textId="61FC07E6" w:rsidR="00CF1AA3" w:rsidRPr="004C5271" w:rsidRDefault="00CF1AA3" w:rsidP="00CF1AA3">
      <w:pPr>
        <w:pStyle w:val="DotPointTLRI"/>
        <w:rPr>
          <w:rFonts w:asciiTheme="majorBidi" w:hAnsiTheme="majorBidi" w:cstheme="majorBidi"/>
          <w:lang w:val="en-AU"/>
        </w:rPr>
      </w:pPr>
      <w:r w:rsidRPr="004C5271">
        <w:rPr>
          <w:rFonts w:asciiTheme="majorBidi" w:hAnsiTheme="majorBidi" w:cstheme="majorBidi"/>
          <w:lang w:val="en-AU"/>
        </w:rPr>
        <w:t>cash or investments held in sole accounts;</w:t>
      </w:r>
    </w:p>
    <w:p w14:paraId="1CC7EF21" w14:textId="43297610" w:rsidR="00CF1AA3" w:rsidRPr="004C5271" w:rsidRDefault="00CF1AA3" w:rsidP="00CF1AA3">
      <w:pPr>
        <w:pStyle w:val="DotPointTLRI"/>
        <w:rPr>
          <w:rFonts w:asciiTheme="majorBidi" w:hAnsiTheme="majorBidi" w:cstheme="majorBidi"/>
          <w:lang w:val="en-AU"/>
        </w:rPr>
      </w:pPr>
      <w:r w:rsidRPr="004C5271">
        <w:rPr>
          <w:rFonts w:asciiTheme="majorBidi" w:hAnsiTheme="majorBidi" w:cstheme="majorBidi"/>
          <w:lang w:val="en-AU"/>
        </w:rPr>
        <w:t>chattels or personal items owned solely, for example jewellery, art or antiques;</w:t>
      </w:r>
    </w:p>
    <w:p w14:paraId="73C81231" w14:textId="32AC4903" w:rsidR="00CF1AA3" w:rsidRPr="004C5271" w:rsidRDefault="00CF1AA3" w:rsidP="00CF1AA3">
      <w:pPr>
        <w:pStyle w:val="DotPointTLRI"/>
        <w:rPr>
          <w:rFonts w:asciiTheme="majorBidi" w:hAnsiTheme="majorBidi" w:cstheme="majorBidi"/>
          <w:lang w:val="en-AU"/>
        </w:rPr>
      </w:pPr>
      <w:r w:rsidRPr="004C5271">
        <w:rPr>
          <w:rFonts w:asciiTheme="majorBidi" w:hAnsiTheme="majorBidi" w:cstheme="majorBidi"/>
          <w:lang w:val="en-AU"/>
        </w:rPr>
        <w:t>shares owned by the deceased</w:t>
      </w:r>
      <w:r w:rsidR="008347B7" w:rsidRPr="004C5271">
        <w:rPr>
          <w:rFonts w:asciiTheme="majorBidi" w:hAnsiTheme="majorBidi" w:cstheme="majorBidi"/>
          <w:lang w:val="en-AU"/>
        </w:rPr>
        <w:t xml:space="preserve"> personally</w:t>
      </w:r>
      <w:r w:rsidRPr="004C5271">
        <w:rPr>
          <w:rFonts w:asciiTheme="majorBidi" w:hAnsiTheme="majorBidi" w:cstheme="majorBidi"/>
          <w:lang w:val="en-AU"/>
        </w:rPr>
        <w:t>;</w:t>
      </w:r>
    </w:p>
    <w:p w14:paraId="368CC5DB" w14:textId="32D80E2C" w:rsidR="00CF1AA3" w:rsidRPr="004C5271" w:rsidRDefault="00CF1AA3" w:rsidP="00865745">
      <w:pPr>
        <w:pStyle w:val="DotPointTLRI"/>
        <w:rPr>
          <w:rFonts w:asciiTheme="majorBidi" w:hAnsiTheme="majorBidi" w:cstheme="majorBidi"/>
          <w:lang w:val="en-AU"/>
        </w:rPr>
      </w:pPr>
      <w:r w:rsidRPr="004C5271">
        <w:rPr>
          <w:rFonts w:asciiTheme="majorBidi" w:hAnsiTheme="majorBidi" w:cstheme="majorBidi"/>
          <w:lang w:val="en-AU"/>
        </w:rPr>
        <w:t>debts owed to the deceased</w:t>
      </w:r>
      <w:r w:rsidR="008347B7" w:rsidRPr="004C5271">
        <w:rPr>
          <w:rFonts w:asciiTheme="majorBidi" w:hAnsiTheme="majorBidi" w:cstheme="majorBidi"/>
          <w:lang w:val="en-AU"/>
        </w:rPr>
        <w:t xml:space="preserve"> personally</w:t>
      </w:r>
      <w:r w:rsidRPr="004C5271">
        <w:rPr>
          <w:rFonts w:asciiTheme="majorBidi" w:hAnsiTheme="majorBidi" w:cstheme="majorBidi"/>
          <w:lang w:val="en-AU"/>
        </w:rPr>
        <w:t xml:space="preserve">; </w:t>
      </w:r>
    </w:p>
    <w:p w14:paraId="1615E064" w14:textId="55CB2920" w:rsidR="00CF1AA3" w:rsidRPr="004C5271" w:rsidRDefault="00CF1AA3" w:rsidP="00865745">
      <w:pPr>
        <w:pStyle w:val="DotPointTLRI"/>
        <w:rPr>
          <w:rFonts w:asciiTheme="majorBidi" w:hAnsiTheme="majorBidi" w:cstheme="majorBidi"/>
          <w:lang w:val="en-AU"/>
        </w:rPr>
      </w:pPr>
      <w:r w:rsidRPr="004C5271">
        <w:rPr>
          <w:rFonts w:asciiTheme="majorBidi" w:hAnsiTheme="majorBidi" w:cstheme="majorBidi"/>
          <w:lang w:val="en-AU"/>
        </w:rPr>
        <w:t>superannuation that is paid to the deceased member’s legal personal representative;</w:t>
      </w:r>
    </w:p>
    <w:p w14:paraId="3BD95482" w14:textId="5E146E4A" w:rsidR="00CF1AA3" w:rsidRPr="004C5271" w:rsidRDefault="00CF1AA3" w:rsidP="00865745">
      <w:pPr>
        <w:pStyle w:val="DotPointTLRI"/>
        <w:rPr>
          <w:rFonts w:asciiTheme="majorBidi" w:hAnsiTheme="majorBidi" w:cstheme="majorBidi"/>
          <w:lang w:val="en-AU"/>
        </w:rPr>
      </w:pPr>
      <w:r w:rsidRPr="004C5271">
        <w:rPr>
          <w:rFonts w:asciiTheme="majorBidi" w:hAnsiTheme="majorBidi" w:cstheme="majorBidi"/>
          <w:lang w:val="en-AU"/>
        </w:rPr>
        <w:t>the proceeds of a life insurance policy paid to a legal personal representative; and</w:t>
      </w:r>
    </w:p>
    <w:p w14:paraId="118A0382" w14:textId="6F982F68" w:rsidR="00CF1AA3" w:rsidRPr="004C5271" w:rsidRDefault="00CF1AA3" w:rsidP="00865745">
      <w:pPr>
        <w:pStyle w:val="DotPointTLRI"/>
        <w:rPr>
          <w:rFonts w:asciiTheme="majorBidi" w:hAnsiTheme="majorBidi" w:cstheme="majorBidi"/>
          <w:lang w:val="en-AU"/>
        </w:rPr>
      </w:pPr>
      <w:r w:rsidRPr="004C5271">
        <w:rPr>
          <w:rFonts w:asciiTheme="majorBidi" w:hAnsiTheme="majorBidi" w:cstheme="majorBidi"/>
          <w:lang w:val="en-AU"/>
        </w:rPr>
        <w:t>any funds in a beneficiary loan account</w:t>
      </w:r>
      <w:r w:rsidR="008347B7" w:rsidRPr="004C5271">
        <w:rPr>
          <w:rFonts w:asciiTheme="majorBidi" w:hAnsiTheme="majorBidi" w:cstheme="majorBidi"/>
          <w:lang w:val="en-AU"/>
        </w:rPr>
        <w:t xml:space="preserve"> of the </w:t>
      </w:r>
      <w:proofErr w:type="gramStart"/>
      <w:r w:rsidR="008347B7" w:rsidRPr="004C5271">
        <w:rPr>
          <w:rFonts w:asciiTheme="majorBidi" w:hAnsiTheme="majorBidi" w:cstheme="majorBidi"/>
          <w:lang w:val="en-AU"/>
        </w:rPr>
        <w:t>deceased’s</w:t>
      </w:r>
      <w:proofErr w:type="gramEnd"/>
      <w:r w:rsidRPr="004C5271">
        <w:rPr>
          <w:rFonts w:asciiTheme="majorBidi" w:hAnsiTheme="majorBidi" w:cstheme="majorBidi"/>
          <w:lang w:val="en-AU"/>
        </w:rPr>
        <w:t xml:space="preserve"> within a trust. </w:t>
      </w:r>
    </w:p>
    <w:p w14:paraId="7DD82F75" w14:textId="12817A78" w:rsidR="00584BB6" w:rsidRPr="004C5271" w:rsidRDefault="00584BB6" w:rsidP="00584BB6">
      <w:pPr>
        <w:pStyle w:val="NormalNumberedTextTLRI"/>
        <w:rPr>
          <w:rFonts w:asciiTheme="majorBidi" w:hAnsiTheme="majorBidi" w:cstheme="majorBidi"/>
          <w:lang w:val="en-AU"/>
        </w:rPr>
      </w:pPr>
      <w:r w:rsidRPr="004C5271">
        <w:rPr>
          <w:rFonts w:asciiTheme="majorBidi" w:hAnsiTheme="majorBidi" w:cstheme="majorBidi"/>
          <w:lang w:val="en-AU"/>
        </w:rPr>
        <w:t xml:space="preserve">Part 2 explains the assets that fall, or may fall, outside a person’s estate and are therefore not available to the </w:t>
      </w:r>
      <w:r w:rsidR="008347B7" w:rsidRPr="004C5271">
        <w:rPr>
          <w:rFonts w:asciiTheme="majorBidi" w:hAnsiTheme="majorBidi" w:cstheme="majorBidi"/>
          <w:lang w:val="en-AU"/>
        </w:rPr>
        <w:t>C</w:t>
      </w:r>
      <w:r w:rsidRPr="004C5271">
        <w:rPr>
          <w:rFonts w:asciiTheme="majorBidi" w:hAnsiTheme="majorBidi" w:cstheme="majorBidi"/>
          <w:lang w:val="en-AU"/>
        </w:rPr>
        <w:t xml:space="preserve">ourt when awarding provision for a successful applicant. </w:t>
      </w:r>
    </w:p>
    <w:p w14:paraId="2EB7E5A7" w14:textId="0C440FE9" w:rsidR="003D3A2D" w:rsidRPr="004C5271" w:rsidRDefault="003D3A2D" w:rsidP="00584BB6">
      <w:pPr>
        <w:pStyle w:val="NormalNumberedTextTLRI"/>
        <w:rPr>
          <w:rFonts w:asciiTheme="majorBidi" w:hAnsiTheme="majorBidi" w:cstheme="majorBidi"/>
          <w:lang w:val="en-AU"/>
        </w:rPr>
      </w:pPr>
      <w:r w:rsidRPr="004C5271">
        <w:rPr>
          <w:rFonts w:asciiTheme="majorBidi" w:hAnsiTheme="majorBidi" w:cstheme="majorBidi"/>
          <w:lang w:val="en-AU"/>
        </w:rPr>
        <w:t xml:space="preserve">There are certain scenarios where assets gifted prior </w:t>
      </w:r>
      <w:r w:rsidR="00816F1A" w:rsidRPr="004C5271">
        <w:rPr>
          <w:rFonts w:asciiTheme="majorBidi" w:hAnsiTheme="majorBidi" w:cstheme="majorBidi"/>
          <w:lang w:val="en-AU"/>
        </w:rPr>
        <w:t xml:space="preserve">to </w:t>
      </w:r>
      <w:r w:rsidRPr="004C5271">
        <w:rPr>
          <w:rFonts w:asciiTheme="majorBidi" w:hAnsiTheme="majorBidi" w:cstheme="majorBidi"/>
          <w:lang w:val="en-AU"/>
        </w:rPr>
        <w:t xml:space="preserve">death or at death may still be available in the context of family provision claims. These are explained </w:t>
      </w:r>
      <w:r w:rsidR="00816F1A" w:rsidRPr="004C5271">
        <w:rPr>
          <w:rFonts w:asciiTheme="majorBidi" w:hAnsiTheme="majorBidi" w:cstheme="majorBidi"/>
          <w:lang w:val="en-AU"/>
        </w:rPr>
        <w:t xml:space="preserve">in </w:t>
      </w:r>
      <w:r w:rsidRPr="004C5271">
        <w:rPr>
          <w:rFonts w:asciiTheme="majorBidi" w:hAnsiTheme="majorBidi" w:cstheme="majorBidi"/>
          <w:lang w:val="en-AU"/>
        </w:rPr>
        <w:t>the following paragraphs.</w:t>
      </w:r>
    </w:p>
    <w:p w14:paraId="56A6D159" w14:textId="77777777" w:rsidR="00474EA6" w:rsidRPr="00AE2B8C" w:rsidRDefault="00474EA6" w:rsidP="005C723B">
      <w:pPr>
        <w:pStyle w:val="furhtersub-heading2"/>
      </w:pPr>
      <w:r w:rsidRPr="00AE2B8C">
        <w:t>Property subject to contract: testamentary promises</w:t>
      </w:r>
    </w:p>
    <w:p w14:paraId="2916AFB5" w14:textId="76215E8D" w:rsidR="008C4815" w:rsidRPr="004C5271" w:rsidRDefault="00474EA6" w:rsidP="00474EA6">
      <w:pPr>
        <w:pStyle w:val="NormalNumberedTextTLRI"/>
        <w:rPr>
          <w:rFonts w:asciiTheme="majorBidi" w:hAnsiTheme="majorBidi" w:cstheme="majorBidi"/>
          <w:lang w:val="en-AU"/>
        </w:rPr>
      </w:pPr>
      <w:r w:rsidRPr="004C5271">
        <w:rPr>
          <w:rFonts w:asciiTheme="majorBidi" w:hAnsiTheme="majorBidi" w:cstheme="majorBidi"/>
          <w:lang w:val="en-AU"/>
        </w:rPr>
        <w:t>Sometimes will</w:t>
      </w:r>
      <w:r w:rsidR="000B7F3C" w:rsidRPr="004C5271">
        <w:rPr>
          <w:rFonts w:asciiTheme="majorBidi" w:hAnsiTheme="majorBidi" w:cstheme="majorBidi"/>
          <w:lang w:val="en-AU"/>
        </w:rPr>
        <w:t>-</w:t>
      </w:r>
      <w:r w:rsidRPr="004C5271">
        <w:rPr>
          <w:rFonts w:asciiTheme="majorBidi" w:hAnsiTheme="majorBidi" w:cstheme="majorBidi"/>
          <w:lang w:val="en-AU"/>
        </w:rPr>
        <w:t xml:space="preserve">makers may make contracts with third parties in which they agree to </w:t>
      </w:r>
      <w:r w:rsidR="008347B7" w:rsidRPr="004C5271">
        <w:rPr>
          <w:rFonts w:asciiTheme="majorBidi" w:hAnsiTheme="majorBidi" w:cstheme="majorBidi"/>
          <w:lang w:val="en-AU"/>
        </w:rPr>
        <w:t>gift their</w:t>
      </w:r>
      <w:r w:rsidRPr="004C5271">
        <w:rPr>
          <w:rFonts w:asciiTheme="majorBidi" w:hAnsiTheme="majorBidi" w:cstheme="majorBidi"/>
          <w:lang w:val="en-AU"/>
        </w:rPr>
        <w:t xml:space="preserve"> property </w:t>
      </w:r>
      <w:r w:rsidR="008347B7" w:rsidRPr="004C5271">
        <w:rPr>
          <w:rFonts w:asciiTheme="majorBidi" w:hAnsiTheme="majorBidi" w:cstheme="majorBidi"/>
          <w:lang w:val="en-AU"/>
        </w:rPr>
        <w:t xml:space="preserve">in certain ways </w:t>
      </w:r>
      <w:r w:rsidRPr="004C5271">
        <w:rPr>
          <w:rFonts w:asciiTheme="majorBidi" w:hAnsiTheme="majorBidi" w:cstheme="majorBidi"/>
          <w:lang w:val="en-AU"/>
        </w:rPr>
        <w:t xml:space="preserve">under their will. A </w:t>
      </w:r>
      <w:r w:rsidRPr="004C5271">
        <w:rPr>
          <w:rFonts w:asciiTheme="majorBidi" w:hAnsiTheme="majorBidi" w:cstheme="majorBidi"/>
          <w:lang w:val="en-AU"/>
        </w:rPr>
        <w:lastRenderedPageBreak/>
        <w:t xml:space="preserve">common example is agreements between spouses to make their wills in certain ways. </w:t>
      </w:r>
    </w:p>
    <w:p w14:paraId="785CA2E0" w14:textId="793539A3" w:rsidR="00474EA6" w:rsidRPr="004C5271" w:rsidRDefault="00474EA6" w:rsidP="004E71ED">
      <w:pPr>
        <w:pStyle w:val="NormalNumberedTextTLRI"/>
        <w:rPr>
          <w:rFonts w:asciiTheme="majorBidi" w:hAnsiTheme="majorBidi" w:cstheme="majorBidi"/>
          <w:lang w:val="en-AU"/>
        </w:rPr>
      </w:pPr>
      <w:r w:rsidRPr="004C5271">
        <w:rPr>
          <w:rFonts w:asciiTheme="majorBidi" w:hAnsiTheme="majorBidi" w:cstheme="majorBidi"/>
          <w:lang w:val="en-AU"/>
        </w:rPr>
        <w:t>In</w:t>
      </w:r>
      <w:r w:rsidRPr="004C5271">
        <w:rPr>
          <w:rFonts w:asciiTheme="majorBidi" w:hAnsiTheme="majorBidi" w:cstheme="majorBidi"/>
          <w:i/>
          <w:lang w:val="en-AU"/>
        </w:rPr>
        <w:t xml:space="preserve"> Barns v Barns</w:t>
      </w:r>
      <w:r w:rsidRPr="004C5271">
        <w:rPr>
          <w:rFonts w:asciiTheme="majorBidi" w:hAnsiTheme="majorBidi" w:cstheme="majorBidi"/>
          <w:iCs/>
          <w:lang w:val="en-AU"/>
        </w:rPr>
        <w:t>,</w:t>
      </w:r>
      <w:r w:rsidR="008C4815" w:rsidRPr="004C5271">
        <w:rPr>
          <w:rStyle w:val="FootnoteReference"/>
          <w:rFonts w:asciiTheme="majorBidi" w:hAnsiTheme="majorBidi" w:cstheme="majorBidi"/>
          <w:iCs/>
          <w:lang w:val="en-AU"/>
        </w:rPr>
        <w:footnoteReference w:id="46"/>
      </w:r>
      <w:r w:rsidRPr="004C5271">
        <w:rPr>
          <w:rFonts w:asciiTheme="majorBidi" w:hAnsiTheme="majorBidi" w:cstheme="majorBidi"/>
          <w:lang w:val="en-AU"/>
        </w:rPr>
        <w:t xml:space="preserve"> the High Court held that property the subject of a contract between parties for one to make their will in a certain way was available to satisfy an order under family provision legislation. The effect of the </w:t>
      </w:r>
      <w:r w:rsidR="008F2E3A" w:rsidRPr="004C5271">
        <w:rPr>
          <w:rFonts w:asciiTheme="majorBidi" w:hAnsiTheme="majorBidi" w:cstheme="majorBidi"/>
          <w:lang w:val="en-AU"/>
        </w:rPr>
        <w:t>d</w:t>
      </w:r>
      <w:r w:rsidRPr="004C5271">
        <w:rPr>
          <w:rFonts w:asciiTheme="majorBidi" w:hAnsiTheme="majorBidi" w:cstheme="majorBidi"/>
          <w:lang w:val="en-AU"/>
        </w:rPr>
        <w:t>ecision is that a will</w:t>
      </w:r>
      <w:r w:rsidR="000B7F3C" w:rsidRPr="004C5271">
        <w:rPr>
          <w:rFonts w:asciiTheme="majorBidi" w:hAnsiTheme="majorBidi" w:cstheme="majorBidi"/>
          <w:lang w:val="en-AU"/>
        </w:rPr>
        <w:t>-</w:t>
      </w:r>
      <w:r w:rsidRPr="004C5271">
        <w:rPr>
          <w:rFonts w:asciiTheme="majorBidi" w:hAnsiTheme="majorBidi" w:cstheme="majorBidi"/>
          <w:lang w:val="en-AU"/>
        </w:rPr>
        <w:t xml:space="preserve">maker is unable to quarantine assets from risk of a family provision claim by entering into an agreement with someone to make certain gifts in their will. Gifts made in a will in compliance with a mutual </w:t>
      </w:r>
      <w:proofErr w:type="gramStart"/>
      <w:r w:rsidRPr="004C5271">
        <w:rPr>
          <w:rFonts w:asciiTheme="majorBidi" w:hAnsiTheme="majorBidi" w:cstheme="majorBidi"/>
          <w:lang w:val="en-AU"/>
        </w:rPr>
        <w:t>wills</w:t>
      </w:r>
      <w:proofErr w:type="gramEnd"/>
      <w:r w:rsidRPr="004C5271">
        <w:rPr>
          <w:rFonts w:asciiTheme="majorBidi" w:hAnsiTheme="majorBidi" w:cstheme="majorBidi"/>
          <w:lang w:val="en-AU"/>
        </w:rPr>
        <w:t xml:space="preserve"> agreement may still be used to fund provision for successful family provision applicants, subject to the court retaining its discretion in relation to which assets should bear the burden of an order.</w:t>
      </w:r>
      <w:r w:rsidRPr="004C5271">
        <w:rPr>
          <w:rStyle w:val="FootnoteReference"/>
          <w:rFonts w:asciiTheme="majorBidi" w:hAnsiTheme="majorBidi" w:cstheme="majorBidi"/>
          <w:lang w:val="en-AU"/>
        </w:rPr>
        <w:footnoteReference w:id="47"/>
      </w:r>
    </w:p>
    <w:p w14:paraId="0DFA4128" w14:textId="73697023" w:rsidR="00EF3A1D" w:rsidRPr="004C5271" w:rsidRDefault="00EF3A1D" w:rsidP="005C723B">
      <w:pPr>
        <w:pStyle w:val="furhtersub-heading2"/>
      </w:pPr>
      <w:r w:rsidRPr="004C5271">
        <w:t>Transfers subject to unconscionability or undue influence</w:t>
      </w:r>
    </w:p>
    <w:p w14:paraId="4821FBFC" w14:textId="6E40BBFE" w:rsidR="007A1D4F" w:rsidRPr="004C5271" w:rsidRDefault="008347B7" w:rsidP="00651C3B">
      <w:pPr>
        <w:pStyle w:val="NormalNumberedTextTLRI"/>
        <w:rPr>
          <w:rFonts w:asciiTheme="majorBidi" w:hAnsiTheme="majorBidi" w:cstheme="majorBidi"/>
          <w:lang w:val="en-AU"/>
        </w:rPr>
      </w:pPr>
      <w:bookmarkStart w:id="37" w:name="_Ref13303808"/>
      <w:r w:rsidRPr="004C5271">
        <w:rPr>
          <w:rFonts w:asciiTheme="majorBidi" w:hAnsiTheme="majorBidi" w:cstheme="majorBidi"/>
          <w:lang w:val="en-AU"/>
        </w:rPr>
        <w:t>A</w:t>
      </w:r>
      <w:r w:rsidR="00EF3A1D" w:rsidRPr="004C5271">
        <w:rPr>
          <w:rFonts w:asciiTheme="majorBidi" w:hAnsiTheme="majorBidi" w:cstheme="majorBidi"/>
          <w:lang w:val="en-AU"/>
        </w:rPr>
        <w:t xml:space="preserve">ssets </w:t>
      </w:r>
      <w:r w:rsidR="008F2C65" w:rsidRPr="004C5271">
        <w:rPr>
          <w:rFonts w:asciiTheme="majorBidi" w:hAnsiTheme="majorBidi" w:cstheme="majorBidi"/>
          <w:lang w:val="en-AU"/>
        </w:rPr>
        <w:t xml:space="preserve">that a person validly </w:t>
      </w:r>
      <w:r w:rsidR="00EF3A1D" w:rsidRPr="004C5271">
        <w:rPr>
          <w:rFonts w:asciiTheme="majorBidi" w:hAnsiTheme="majorBidi" w:cstheme="majorBidi"/>
          <w:lang w:val="en-AU"/>
        </w:rPr>
        <w:t>transfer</w:t>
      </w:r>
      <w:r w:rsidR="008F2C65" w:rsidRPr="004C5271">
        <w:rPr>
          <w:rFonts w:asciiTheme="majorBidi" w:hAnsiTheme="majorBidi" w:cstheme="majorBidi"/>
          <w:lang w:val="en-AU"/>
        </w:rPr>
        <w:t>s</w:t>
      </w:r>
      <w:r w:rsidR="00EB57DE" w:rsidRPr="004C5271">
        <w:rPr>
          <w:rFonts w:asciiTheme="majorBidi" w:hAnsiTheme="majorBidi" w:cstheme="majorBidi"/>
          <w:lang w:val="en-AU"/>
        </w:rPr>
        <w:t xml:space="preserve"> </w:t>
      </w:r>
      <w:r w:rsidR="00EF3A1D" w:rsidRPr="004C5271">
        <w:rPr>
          <w:rFonts w:asciiTheme="majorBidi" w:hAnsiTheme="majorBidi" w:cstheme="majorBidi"/>
          <w:lang w:val="en-AU"/>
        </w:rPr>
        <w:t>or gift</w:t>
      </w:r>
      <w:r w:rsidR="008F2C65" w:rsidRPr="004C5271">
        <w:rPr>
          <w:rFonts w:asciiTheme="majorBidi" w:hAnsiTheme="majorBidi" w:cstheme="majorBidi"/>
          <w:lang w:val="en-AU"/>
        </w:rPr>
        <w:t>s</w:t>
      </w:r>
      <w:r w:rsidR="00EB57DE" w:rsidRPr="004C5271">
        <w:rPr>
          <w:rFonts w:asciiTheme="majorBidi" w:hAnsiTheme="majorBidi" w:cstheme="majorBidi"/>
          <w:lang w:val="en-AU"/>
        </w:rPr>
        <w:t xml:space="preserve"> </w:t>
      </w:r>
      <w:r w:rsidR="00AA132E" w:rsidRPr="004C5271">
        <w:rPr>
          <w:rFonts w:asciiTheme="majorBidi" w:hAnsiTheme="majorBidi" w:cstheme="majorBidi"/>
          <w:lang w:val="en-AU"/>
        </w:rPr>
        <w:t>before</w:t>
      </w:r>
      <w:r w:rsidR="00EF3A1D" w:rsidRPr="004C5271">
        <w:rPr>
          <w:rFonts w:asciiTheme="majorBidi" w:hAnsiTheme="majorBidi" w:cstheme="majorBidi"/>
          <w:lang w:val="en-AU"/>
        </w:rPr>
        <w:t xml:space="preserve"> </w:t>
      </w:r>
      <w:r w:rsidR="008F2C65" w:rsidRPr="004C5271">
        <w:rPr>
          <w:rFonts w:asciiTheme="majorBidi" w:hAnsiTheme="majorBidi" w:cstheme="majorBidi"/>
          <w:lang w:val="en-AU"/>
        </w:rPr>
        <w:t>their</w:t>
      </w:r>
      <w:r w:rsidR="00EF3A1D" w:rsidRPr="004C5271">
        <w:rPr>
          <w:rFonts w:asciiTheme="majorBidi" w:hAnsiTheme="majorBidi" w:cstheme="majorBidi"/>
          <w:lang w:val="en-AU"/>
        </w:rPr>
        <w:t xml:space="preserve"> death fall outside the</w:t>
      </w:r>
      <w:r w:rsidR="00AA132E" w:rsidRPr="004C5271">
        <w:rPr>
          <w:rFonts w:asciiTheme="majorBidi" w:hAnsiTheme="majorBidi" w:cstheme="majorBidi"/>
          <w:lang w:val="en-AU"/>
        </w:rPr>
        <w:t xml:space="preserve">ir </w:t>
      </w:r>
      <w:r w:rsidR="00EF3A1D" w:rsidRPr="004C5271">
        <w:rPr>
          <w:rFonts w:asciiTheme="majorBidi" w:hAnsiTheme="majorBidi" w:cstheme="majorBidi"/>
          <w:lang w:val="en-AU"/>
        </w:rPr>
        <w:t>estate</w:t>
      </w:r>
      <w:r w:rsidR="008F2C65" w:rsidRPr="004C5271">
        <w:rPr>
          <w:rFonts w:asciiTheme="majorBidi" w:hAnsiTheme="majorBidi" w:cstheme="majorBidi"/>
          <w:lang w:val="en-AU"/>
        </w:rPr>
        <w:t xml:space="preserve"> and cannot be claimed via a family provision claim</w:t>
      </w:r>
      <w:r w:rsidR="00EF3A1D" w:rsidRPr="004C5271">
        <w:rPr>
          <w:rFonts w:asciiTheme="majorBidi" w:hAnsiTheme="majorBidi" w:cstheme="majorBidi"/>
          <w:lang w:val="en-AU"/>
        </w:rPr>
        <w:t>.</w:t>
      </w:r>
      <w:r w:rsidR="00CF1AA3" w:rsidRPr="004C5271">
        <w:rPr>
          <w:rFonts w:asciiTheme="majorBidi" w:hAnsiTheme="majorBidi" w:cstheme="majorBidi"/>
          <w:lang w:val="en-AU"/>
        </w:rPr>
        <w:t xml:space="preserve"> </w:t>
      </w:r>
      <w:r w:rsidR="007A1D4F" w:rsidRPr="004C5271">
        <w:rPr>
          <w:rFonts w:asciiTheme="majorBidi" w:hAnsiTheme="majorBidi" w:cstheme="majorBidi"/>
          <w:lang w:val="en-AU"/>
        </w:rPr>
        <w:t xml:space="preserve">There are, however, circumstances where a transaction may be set aside, with the </w:t>
      </w:r>
      <w:r w:rsidR="00E01EC8" w:rsidRPr="004C5271">
        <w:rPr>
          <w:rFonts w:asciiTheme="majorBidi" w:hAnsiTheme="majorBidi" w:cstheme="majorBidi"/>
          <w:lang w:val="en-AU"/>
        </w:rPr>
        <w:t>result</w:t>
      </w:r>
      <w:r w:rsidR="007A1D4F" w:rsidRPr="004C5271">
        <w:rPr>
          <w:rFonts w:asciiTheme="majorBidi" w:hAnsiTheme="majorBidi" w:cstheme="majorBidi"/>
          <w:lang w:val="en-AU"/>
        </w:rPr>
        <w:t xml:space="preserve"> that the asset </w:t>
      </w:r>
      <w:r w:rsidR="00E01EC8" w:rsidRPr="004C5271">
        <w:rPr>
          <w:rFonts w:asciiTheme="majorBidi" w:hAnsiTheme="majorBidi" w:cstheme="majorBidi"/>
          <w:lang w:val="en-AU"/>
        </w:rPr>
        <w:t>will</w:t>
      </w:r>
      <w:r w:rsidR="007A1D4F" w:rsidRPr="004C5271">
        <w:rPr>
          <w:rFonts w:asciiTheme="majorBidi" w:hAnsiTheme="majorBidi" w:cstheme="majorBidi"/>
          <w:lang w:val="en-AU"/>
        </w:rPr>
        <w:t xml:space="preserve"> revert to the deceased’s estate. This might occur</w:t>
      </w:r>
      <w:r w:rsidR="00E01EC8" w:rsidRPr="004C5271">
        <w:rPr>
          <w:rFonts w:asciiTheme="majorBidi" w:hAnsiTheme="majorBidi" w:cstheme="majorBidi"/>
          <w:lang w:val="en-AU"/>
        </w:rPr>
        <w:t xml:space="preserve">, for example, </w:t>
      </w:r>
      <w:r w:rsidR="007A1D4F" w:rsidRPr="004C5271">
        <w:rPr>
          <w:rFonts w:asciiTheme="majorBidi" w:hAnsiTheme="majorBidi" w:cstheme="majorBidi"/>
          <w:lang w:val="en-AU"/>
        </w:rPr>
        <w:t>where:</w:t>
      </w:r>
      <w:bookmarkEnd w:id="37"/>
    </w:p>
    <w:p w14:paraId="60AA00D6" w14:textId="3BE2D431" w:rsidR="007A1D4F" w:rsidRPr="004C5271" w:rsidRDefault="007A1D4F" w:rsidP="007A1D4F">
      <w:pPr>
        <w:pStyle w:val="DotPointTLRI"/>
        <w:rPr>
          <w:rFonts w:asciiTheme="majorBidi" w:hAnsiTheme="majorBidi" w:cstheme="majorBidi"/>
          <w:lang w:val="en-AU"/>
        </w:rPr>
      </w:pPr>
      <w:r w:rsidRPr="004C5271">
        <w:rPr>
          <w:rFonts w:asciiTheme="majorBidi" w:hAnsiTheme="majorBidi" w:cstheme="majorBidi"/>
          <w:lang w:val="en-AU"/>
        </w:rPr>
        <w:t>the deceased entered into an agreement without the necessary capacity to do so;</w:t>
      </w:r>
    </w:p>
    <w:p w14:paraId="07F328FB" w14:textId="4E8DDFB4" w:rsidR="007A1D4F" w:rsidRPr="004C5271" w:rsidRDefault="007A1D4F" w:rsidP="007A1D4F">
      <w:pPr>
        <w:pStyle w:val="DotPointTLRI"/>
        <w:rPr>
          <w:rFonts w:asciiTheme="majorBidi" w:hAnsiTheme="majorBidi" w:cstheme="majorBidi"/>
          <w:lang w:val="en-AU"/>
        </w:rPr>
      </w:pPr>
      <w:r w:rsidRPr="004C5271">
        <w:rPr>
          <w:rFonts w:asciiTheme="majorBidi" w:hAnsiTheme="majorBidi" w:cstheme="majorBidi"/>
          <w:lang w:val="en-AU"/>
        </w:rPr>
        <w:t>the deceased entered into the transaction subject to undue influence</w:t>
      </w:r>
      <w:bookmarkStart w:id="38" w:name="_Ref12882767"/>
      <w:r w:rsidR="00003621" w:rsidRPr="004C5271">
        <w:rPr>
          <w:rStyle w:val="FootnoteReference"/>
          <w:rFonts w:asciiTheme="majorBidi" w:hAnsiTheme="majorBidi" w:cstheme="majorBidi"/>
          <w:lang w:val="en-AU"/>
        </w:rPr>
        <w:footnoteReference w:id="48"/>
      </w:r>
      <w:bookmarkEnd w:id="38"/>
      <w:r w:rsidRPr="004C5271">
        <w:rPr>
          <w:rFonts w:asciiTheme="majorBidi" w:hAnsiTheme="majorBidi" w:cstheme="majorBidi"/>
          <w:lang w:val="en-AU"/>
        </w:rPr>
        <w:t xml:space="preserve"> or fraud; </w:t>
      </w:r>
      <w:r w:rsidR="001D5BEA" w:rsidRPr="004C5271">
        <w:rPr>
          <w:rFonts w:asciiTheme="majorBidi" w:hAnsiTheme="majorBidi" w:cstheme="majorBidi"/>
          <w:lang w:val="en-AU"/>
        </w:rPr>
        <w:t>or</w:t>
      </w:r>
    </w:p>
    <w:p w14:paraId="727909B9" w14:textId="28A70F5A" w:rsidR="007A1D4F" w:rsidRPr="004C5271" w:rsidRDefault="00003621" w:rsidP="007A1D4F">
      <w:pPr>
        <w:pStyle w:val="DotPointTLRI"/>
        <w:rPr>
          <w:rFonts w:asciiTheme="majorBidi" w:hAnsiTheme="majorBidi" w:cstheme="majorBidi"/>
          <w:lang w:val="en-AU"/>
        </w:rPr>
      </w:pPr>
      <w:r w:rsidRPr="004C5271">
        <w:rPr>
          <w:rFonts w:asciiTheme="majorBidi" w:hAnsiTheme="majorBidi" w:cstheme="majorBidi"/>
          <w:lang w:val="en-AU"/>
        </w:rPr>
        <w:lastRenderedPageBreak/>
        <w:t xml:space="preserve">the </w:t>
      </w:r>
      <w:r w:rsidR="001D5BEA" w:rsidRPr="004C5271">
        <w:rPr>
          <w:rFonts w:asciiTheme="majorBidi" w:hAnsiTheme="majorBidi" w:cstheme="majorBidi"/>
          <w:lang w:val="en-AU"/>
        </w:rPr>
        <w:t>transaction</w:t>
      </w:r>
      <w:r w:rsidRPr="004C5271">
        <w:rPr>
          <w:rFonts w:asciiTheme="majorBidi" w:hAnsiTheme="majorBidi" w:cstheme="majorBidi"/>
          <w:lang w:val="en-AU"/>
        </w:rPr>
        <w:t xml:space="preserve"> was</w:t>
      </w:r>
      <w:r w:rsidR="001D5BEA" w:rsidRPr="004C5271">
        <w:rPr>
          <w:rFonts w:asciiTheme="majorBidi" w:hAnsiTheme="majorBidi" w:cstheme="majorBidi"/>
          <w:lang w:val="en-AU"/>
        </w:rPr>
        <w:t xml:space="preserve"> subject to unconscionability.</w:t>
      </w:r>
      <w:r w:rsidRPr="004C5271">
        <w:rPr>
          <w:rStyle w:val="FootnoteReference"/>
          <w:rFonts w:asciiTheme="majorBidi" w:hAnsiTheme="majorBidi" w:cstheme="majorBidi"/>
          <w:lang w:val="en-AU"/>
        </w:rPr>
        <w:footnoteReference w:id="49"/>
      </w:r>
      <w:r w:rsidR="001D5BEA" w:rsidRPr="004C5271">
        <w:rPr>
          <w:rFonts w:asciiTheme="majorBidi" w:hAnsiTheme="majorBidi" w:cstheme="majorBidi"/>
          <w:lang w:val="en-AU"/>
        </w:rPr>
        <w:t xml:space="preserve"> </w:t>
      </w:r>
    </w:p>
    <w:p w14:paraId="18809C95" w14:textId="1D17CF76" w:rsidR="00797946" w:rsidRPr="004C5271" w:rsidRDefault="00C71B62" w:rsidP="00651C3B">
      <w:pPr>
        <w:pStyle w:val="NormalNumberedTextTLRI"/>
        <w:rPr>
          <w:rFonts w:asciiTheme="majorBidi" w:hAnsiTheme="majorBidi" w:cstheme="majorBidi"/>
          <w:lang w:val="en-AU"/>
        </w:rPr>
      </w:pPr>
      <w:r w:rsidRPr="004C5271">
        <w:rPr>
          <w:rFonts w:asciiTheme="majorBidi" w:hAnsiTheme="majorBidi" w:cstheme="majorBidi"/>
          <w:lang w:val="en-AU"/>
        </w:rPr>
        <w:t>For</w:t>
      </w:r>
      <w:r w:rsidR="00797946" w:rsidRPr="004C5271">
        <w:rPr>
          <w:rFonts w:asciiTheme="majorBidi" w:hAnsiTheme="majorBidi" w:cstheme="majorBidi"/>
          <w:lang w:val="en-AU"/>
        </w:rPr>
        <w:t xml:space="preserve"> </w:t>
      </w:r>
      <w:r w:rsidR="00D764A8" w:rsidRPr="004C5271">
        <w:rPr>
          <w:rFonts w:asciiTheme="majorBidi" w:hAnsiTheme="majorBidi" w:cstheme="majorBidi"/>
          <w:lang w:val="en-AU"/>
        </w:rPr>
        <w:t>example</w:t>
      </w:r>
      <w:r w:rsidR="000808FF" w:rsidRPr="004C5271">
        <w:rPr>
          <w:rFonts w:asciiTheme="majorBidi" w:hAnsiTheme="majorBidi" w:cstheme="majorBidi"/>
          <w:lang w:val="en-AU"/>
        </w:rPr>
        <w:t>,</w:t>
      </w:r>
      <w:r w:rsidR="00797946" w:rsidRPr="004C5271">
        <w:rPr>
          <w:rFonts w:asciiTheme="majorBidi" w:hAnsiTheme="majorBidi" w:cstheme="majorBidi"/>
          <w:lang w:val="en-AU"/>
        </w:rPr>
        <w:t xml:space="preserve"> </w:t>
      </w:r>
      <w:r w:rsidRPr="004C5271">
        <w:rPr>
          <w:rFonts w:asciiTheme="majorBidi" w:hAnsiTheme="majorBidi" w:cstheme="majorBidi"/>
          <w:lang w:val="en-AU"/>
        </w:rPr>
        <w:t xml:space="preserve">in </w:t>
      </w:r>
      <w:r w:rsidR="00797946" w:rsidRPr="004C5271">
        <w:rPr>
          <w:rFonts w:asciiTheme="majorBidi" w:hAnsiTheme="majorBidi" w:cstheme="majorBidi"/>
          <w:i/>
          <w:lang w:val="en-AU"/>
        </w:rPr>
        <w:t>Bridgewater v Le</w:t>
      </w:r>
      <w:r w:rsidR="003F51A3" w:rsidRPr="004C5271">
        <w:rPr>
          <w:rFonts w:asciiTheme="majorBidi" w:hAnsiTheme="majorBidi" w:cstheme="majorBidi"/>
          <w:i/>
          <w:lang w:val="en-AU"/>
        </w:rPr>
        <w:t>a</w:t>
      </w:r>
      <w:r w:rsidR="00797946" w:rsidRPr="004C5271">
        <w:rPr>
          <w:rFonts w:asciiTheme="majorBidi" w:hAnsiTheme="majorBidi" w:cstheme="majorBidi"/>
          <w:i/>
          <w:lang w:val="en-AU"/>
        </w:rPr>
        <w:t>hy</w:t>
      </w:r>
      <w:r w:rsidRPr="004C5271">
        <w:rPr>
          <w:rFonts w:asciiTheme="majorBidi" w:hAnsiTheme="majorBidi" w:cstheme="majorBidi"/>
          <w:iCs/>
          <w:lang w:val="en-AU"/>
        </w:rPr>
        <w:t>,</w:t>
      </w:r>
      <w:r w:rsidR="003D3DD8" w:rsidRPr="004C5271">
        <w:rPr>
          <w:rStyle w:val="FootnoteReference"/>
          <w:rFonts w:asciiTheme="majorBidi" w:hAnsiTheme="majorBidi" w:cstheme="majorBidi"/>
          <w:lang w:val="en-AU"/>
        </w:rPr>
        <w:footnoteReference w:id="50"/>
      </w:r>
      <w:r w:rsidR="00797946" w:rsidRPr="004C5271">
        <w:rPr>
          <w:rFonts w:asciiTheme="majorBidi" w:hAnsiTheme="majorBidi" w:cstheme="majorBidi"/>
          <w:lang w:val="en-AU"/>
        </w:rPr>
        <w:t xml:space="preserve"> </w:t>
      </w:r>
      <w:r w:rsidR="00F22C3B" w:rsidRPr="004C5271">
        <w:rPr>
          <w:rFonts w:asciiTheme="majorBidi" w:hAnsiTheme="majorBidi" w:cstheme="majorBidi"/>
          <w:lang w:val="en-AU"/>
        </w:rPr>
        <w:t>an uncle</w:t>
      </w:r>
      <w:r w:rsidR="00797946" w:rsidRPr="004C5271">
        <w:rPr>
          <w:rFonts w:asciiTheme="majorBidi" w:hAnsiTheme="majorBidi" w:cstheme="majorBidi"/>
          <w:lang w:val="en-AU"/>
        </w:rPr>
        <w:t xml:space="preserve"> sold a portion of his property to his nephew for its true value, but by deed </w:t>
      </w:r>
      <w:r w:rsidR="00474EA6" w:rsidRPr="004C5271">
        <w:rPr>
          <w:rFonts w:asciiTheme="majorBidi" w:hAnsiTheme="majorBidi" w:cstheme="majorBidi"/>
          <w:lang w:val="en-AU"/>
        </w:rPr>
        <w:t>forgave</w:t>
      </w:r>
      <w:r w:rsidR="00797946" w:rsidRPr="004C5271">
        <w:rPr>
          <w:rFonts w:asciiTheme="majorBidi" w:hAnsiTheme="majorBidi" w:cstheme="majorBidi"/>
          <w:lang w:val="en-AU"/>
        </w:rPr>
        <w:t xml:space="preserve"> a substantial portion of the debt. The nephew also benefitted under </w:t>
      </w:r>
      <w:r w:rsidR="00CF1AA3" w:rsidRPr="004C5271">
        <w:rPr>
          <w:rFonts w:asciiTheme="majorBidi" w:hAnsiTheme="majorBidi" w:cstheme="majorBidi"/>
          <w:lang w:val="en-AU"/>
        </w:rPr>
        <w:t>his uncle’s</w:t>
      </w:r>
      <w:r w:rsidR="00797946" w:rsidRPr="004C5271">
        <w:rPr>
          <w:rFonts w:asciiTheme="majorBidi" w:hAnsiTheme="majorBidi" w:cstheme="majorBidi"/>
          <w:lang w:val="en-AU"/>
        </w:rPr>
        <w:t xml:space="preserve"> will by being </w:t>
      </w:r>
      <w:r w:rsidR="00474EA6" w:rsidRPr="004C5271">
        <w:rPr>
          <w:rFonts w:asciiTheme="majorBidi" w:hAnsiTheme="majorBidi" w:cstheme="majorBidi"/>
          <w:lang w:val="en-AU"/>
        </w:rPr>
        <w:t>given the</w:t>
      </w:r>
      <w:r w:rsidR="00797946" w:rsidRPr="004C5271">
        <w:rPr>
          <w:rFonts w:asciiTheme="majorBidi" w:hAnsiTheme="majorBidi" w:cstheme="majorBidi"/>
          <w:lang w:val="en-AU"/>
        </w:rPr>
        <w:t xml:space="preserve"> option to purchase </w:t>
      </w:r>
      <w:r w:rsidR="00CF1AA3" w:rsidRPr="004C5271">
        <w:rPr>
          <w:rFonts w:asciiTheme="majorBidi" w:hAnsiTheme="majorBidi" w:cstheme="majorBidi"/>
          <w:lang w:val="en-AU"/>
        </w:rPr>
        <w:t>his</w:t>
      </w:r>
      <w:r w:rsidR="00797946" w:rsidRPr="004C5271">
        <w:rPr>
          <w:rFonts w:asciiTheme="majorBidi" w:hAnsiTheme="majorBidi" w:cstheme="majorBidi"/>
          <w:lang w:val="en-AU"/>
        </w:rPr>
        <w:t xml:space="preserve"> rural property substantial</w:t>
      </w:r>
      <w:r w:rsidR="009A138F" w:rsidRPr="004C5271">
        <w:rPr>
          <w:rFonts w:asciiTheme="majorBidi" w:hAnsiTheme="majorBidi" w:cstheme="majorBidi"/>
          <w:lang w:val="en-AU"/>
        </w:rPr>
        <w:t>ly</w:t>
      </w:r>
      <w:r w:rsidR="00797946" w:rsidRPr="004C5271">
        <w:rPr>
          <w:rFonts w:asciiTheme="majorBidi" w:hAnsiTheme="majorBidi" w:cstheme="majorBidi"/>
          <w:lang w:val="en-AU"/>
        </w:rPr>
        <w:t xml:space="preserve"> under value. </w:t>
      </w:r>
      <w:r w:rsidR="00CF1AA3" w:rsidRPr="004C5271">
        <w:rPr>
          <w:rFonts w:asciiTheme="majorBidi" w:hAnsiTheme="majorBidi" w:cstheme="majorBidi"/>
          <w:lang w:val="en-AU"/>
        </w:rPr>
        <w:t xml:space="preserve">Following </w:t>
      </w:r>
      <w:r w:rsidR="00474EA6" w:rsidRPr="004C5271">
        <w:rPr>
          <w:rFonts w:asciiTheme="majorBidi" w:hAnsiTheme="majorBidi" w:cstheme="majorBidi"/>
          <w:lang w:val="en-AU"/>
        </w:rPr>
        <w:t>the uncle’s</w:t>
      </w:r>
      <w:r w:rsidR="00CF1AA3" w:rsidRPr="004C5271">
        <w:rPr>
          <w:rFonts w:asciiTheme="majorBidi" w:hAnsiTheme="majorBidi" w:cstheme="majorBidi"/>
          <w:lang w:val="en-AU"/>
        </w:rPr>
        <w:t xml:space="preserve"> death, </w:t>
      </w:r>
      <w:r w:rsidR="00474EA6" w:rsidRPr="004C5271">
        <w:rPr>
          <w:rFonts w:asciiTheme="majorBidi" w:hAnsiTheme="majorBidi" w:cstheme="majorBidi"/>
          <w:lang w:val="en-AU"/>
        </w:rPr>
        <w:t>his</w:t>
      </w:r>
      <w:r w:rsidR="00CF1AA3" w:rsidRPr="004C5271">
        <w:rPr>
          <w:rFonts w:asciiTheme="majorBidi" w:hAnsiTheme="majorBidi" w:cstheme="majorBidi"/>
          <w:lang w:val="en-AU"/>
        </w:rPr>
        <w:t xml:space="preserve"> widow and daughters applied to have the </w:t>
      </w:r>
      <w:r w:rsidR="007A1D4F" w:rsidRPr="004C5271">
        <w:rPr>
          <w:rFonts w:asciiTheme="majorBidi" w:hAnsiTheme="majorBidi" w:cstheme="majorBidi"/>
          <w:lang w:val="en-AU"/>
        </w:rPr>
        <w:t>transaction</w:t>
      </w:r>
      <w:r w:rsidR="00CF1AA3" w:rsidRPr="004C5271">
        <w:rPr>
          <w:rFonts w:asciiTheme="majorBidi" w:hAnsiTheme="majorBidi" w:cstheme="majorBidi"/>
          <w:lang w:val="en-AU"/>
        </w:rPr>
        <w:t xml:space="preserve"> </w:t>
      </w:r>
      <w:r w:rsidR="00797946" w:rsidRPr="004C5271">
        <w:rPr>
          <w:rFonts w:asciiTheme="majorBidi" w:hAnsiTheme="majorBidi" w:cstheme="majorBidi"/>
          <w:lang w:val="en-AU"/>
        </w:rPr>
        <w:t xml:space="preserve">set aside. </w:t>
      </w:r>
      <w:proofErr w:type="gramStart"/>
      <w:r w:rsidR="00797946" w:rsidRPr="004C5271">
        <w:rPr>
          <w:rFonts w:asciiTheme="majorBidi" w:hAnsiTheme="majorBidi" w:cstheme="majorBidi"/>
          <w:lang w:val="en-AU"/>
        </w:rPr>
        <w:t xml:space="preserve">The </w:t>
      </w:r>
      <w:r w:rsidR="007A1D4F" w:rsidRPr="004C5271">
        <w:rPr>
          <w:rFonts w:asciiTheme="majorBidi" w:hAnsiTheme="majorBidi" w:cstheme="majorBidi"/>
          <w:lang w:val="en-AU"/>
        </w:rPr>
        <w:t>majority of</w:t>
      </w:r>
      <w:proofErr w:type="gramEnd"/>
      <w:r w:rsidR="007A1D4F" w:rsidRPr="004C5271">
        <w:rPr>
          <w:rFonts w:asciiTheme="majorBidi" w:hAnsiTheme="majorBidi" w:cstheme="majorBidi"/>
          <w:lang w:val="en-AU"/>
        </w:rPr>
        <w:t xml:space="preserve"> the </w:t>
      </w:r>
      <w:r w:rsidR="00797946" w:rsidRPr="004C5271">
        <w:rPr>
          <w:rFonts w:asciiTheme="majorBidi" w:hAnsiTheme="majorBidi" w:cstheme="majorBidi"/>
          <w:lang w:val="en-AU"/>
        </w:rPr>
        <w:t xml:space="preserve">court held that the </w:t>
      </w:r>
      <w:r w:rsidR="00CF1AA3" w:rsidRPr="004C5271">
        <w:rPr>
          <w:rFonts w:asciiTheme="majorBidi" w:hAnsiTheme="majorBidi" w:cstheme="majorBidi"/>
          <w:lang w:val="en-AU"/>
        </w:rPr>
        <w:t>deceased</w:t>
      </w:r>
      <w:r w:rsidR="00797946" w:rsidRPr="004C5271">
        <w:rPr>
          <w:rFonts w:asciiTheme="majorBidi" w:hAnsiTheme="majorBidi" w:cstheme="majorBidi"/>
          <w:lang w:val="en-AU"/>
        </w:rPr>
        <w:t xml:space="preserve"> was in a disadvantaged position when the deed was </w:t>
      </w:r>
      <w:r w:rsidR="00474EA6" w:rsidRPr="004C5271">
        <w:rPr>
          <w:rFonts w:asciiTheme="majorBidi" w:hAnsiTheme="majorBidi" w:cstheme="majorBidi"/>
          <w:lang w:val="en-AU"/>
        </w:rPr>
        <w:t>signed</w:t>
      </w:r>
      <w:r w:rsidR="00797946" w:rsidRPr="004C5271">
        <w:rPr>
          <w:rFonts w:asciiTheme="majorBidi" w:hAnsiTheme="majorBidi" w:cstheme="majorBidi"/>
          <w:lang w:val="en-AU"/>
        </w:rPr>
        <w:t>, having an emotional attachment and dependency on the nephew. The nephew had taken advantage of this to secure the benefit.</w:t>
      </w:r>
      <w:r w:rsidR="007A1D4F" w:rsidRPr="004C5271">
        <w:rPr>
          <w:rFonts w:asciiTheme="majorBidi" w:hAnsiTheme="majorBidi" w:cstheme="majorBidi"/>
          <w:lang w:val="en-AU"/>
        </w:rPr>
        <w:t xml:space="preserve"> The transaction was therefore set aside</w:t>
      </w:r>
      <w:r w:rsidR="00474EA6" w:rsidRPr="004C5271">
        <w:rPr>
          <w:rFonts w:asciiTheme="majorBidi" w:hAnsiTheme="majorBidi" w:cstheme="majorBidi"/>
          <w:lang w:val="en-AU"/>
        </w:rPr>
        <w:t>.</w:t>
      </w:r>
    </w:p>
    <w:p w14:paraId="133D54E2" w14:textId="618712C2" w:rsidR="00D75929" w:rsidRPr="009220C6" w:rsidRDefault="00474EA6" w:rsidP="00C57412">
      <w:pPr>
        <w:pStyle w:val="NormalNumberedTextTLRI"/>
        <w:rPr>
          <w:rFonts w:asciiTheme="majorBidi" w:hAnsiTheme="majorBidi" w:cstheme="majorBidi"/>
        </w:rPr>
      </w:pPr>
      <w:r w:rsidRPr="009220C6">
        <w:rPr>
          <w:rFonts w:asciiTheme="majorBidi" w:hAnsiTheme="majorBidi" w:cstheme="majorBidi"/>
          <w:lang w:val="en-AU"/>
        </w:rPr>
        <w:t xml:space="preserve">As this case </w:t>
      </w:r>
      <w:r w:rsidR="008347B7" w:rsidRPr="009220C6">
        <w:rPr>
          <w:rFonts w:asciiTheme="majorBidi" w:hAnsiTheme="majorBidi" w:cstheme="majorBidi"/>
          <w:lang w:val="en-AU"/>
        </w:rPr>
        <w:t>illustrates</w:t>
      </w:r>
      <w:r w:rsidRPr="009220C6">
        <w:rPr>
          <w:rFonts w:asciiTheme="majorBidi" w:hAnsiTheme="majorBidi" w:cstheme="majorBidi"/>
          <w:lang w:val="en-AU"/>
        </w:rPr>
        <w:t>, transactions that a deceased entered into before their death either at a time when they did not have the ability to understand the transaction, or were unduly influenced, may</w:t>
      </w:r>
      <w:r w:rsidR="009A6016" w:rsidRPr="009220C6">
        <w:rPr>
          <w:rFonts w:asciiTheme="majorBidi" w:hAnsiTheme="majorBidi" w:cstheme="majorBidi"/>
          <w:lang w:val="en-AU"/>
        </w:rPr>
        <w:t xml:space="preserve"> </w:t>
      </w:r>
      <w:r w:rsidR="00411D5E" w:rsidRPr="009220C6">
        <w:rPr>
          <w:rFonts w:asciiTheme="majorBidi" w:hAnsiTheme="majorBidi" w:cstheme="majorBidi"/>
          <w:lang w:val="en-AU"/>
        </w:rPr>
        <w:t xml:space="preserve">already be addressed </w:t>
      </w:r>
      <w:r w:rsidRPr="009220C6">
        <w:rPr>
          <w:rFonts w:asciiTheme="majorBidi" w:hAnsiTheme="majorBidi" w:cstheme="majorBidi"/>
          <w:lang w:val="en-AU"/>
        </w:rPr>
        <w:t>through existing remedies. Introduction of notional estate legislation would not affect this situation</w:t>
      </w:r>
      <w:r w:rsidR="00FC0127" w:rsidRPr="009220C6">
        <w:rPr>
          <w:rFonts w:asciiTheme="majorBidi" w:hAnsiTheme="majorBidi" w:cstheme="majorBidi"/>
          <w:lang w:val="en-AU"/>
        </w:rPr>
        <w:t>.</w:t>
      </w:r>
    </w:p>
    <w:p w14:paraId="5BB05D2D" w14:textId="17F378DE" w:rsidR="00D75929" w:rsidRPr="004C5271" w:rsidRDefault="00D75929" w:rsidP="00D75929">
      <w:pPr>
        <w:rPr>
          <w:rFonts w:asciiTheme="majorBidi" w:hAnsiTheme="majorBidi" w:cstheme="majorBidi"/>
        </w:rPr>
      </w:pPr>
    </w:p>
    <w:p w14:paraId="5E9EA1AF" w14:textId="77777777" w:rsidR="00D75929" w:rsidRPr="004C5271" w:rsidRDefault="00D75929" w:rsidP="00D75929">
      <w:pPr>
        <w:rPr>
          <w:rFonts w:asciiTheme="majorBidi" w:hAnsiTheme="majorBidi" w:cstheme="majorBidi"/>
        </w:rPr>
        <w:sectPr w:rsidR="00D75929" w:rsidRPr="004C5271" w:rsidSect="004C5271">
          <w:headerReference w:type="default" r:id="rId36"/>
          <w:pgSz w:w="9979" w:h="14232" w:code="9"/>
          <w:pgMar w:top="1440" w:right="1440" w:bottom="1440" w:left="1440" w:header="709" w:footer="709" w:gutter="0"/>
          <w:pgNumType w:start="1"/>
          <w:cols w:space="708"/>
          <w:titlePg/>
          <w:docGrid w:linePitch="360"/>
        </w:sectPr>
      </w:pPr>
    </w:p>
    <w:p w14:paraId="64829B4E" w14:textId="77777777" w:rsidR="00C24CA0" w:rsidRPr="004C5271" w:rsidRDefault="00C24CA0" w:rsidP="000C397F">
      <w:pPr>
        <w:pStyle w:val="PartNoTLRI"/>
      </w:pPr>
      <w:bookmarkStart w:id="39" w:name="_Toc12268934"/>
      <w:bookmarkEnd w:id="39"/>
    </w:p>
    <w:p w14:paraId="21F718B3" w14:textId="6C990C77" w:rsidR="002014DF" w:rsidRPr="004C5271" w:rsidRDefault="002014DF" w:rsidP="00BE140F">
      <w:pPr>
        <w:pStyle w:val="PartHeadingTLRI"/>
        <w:spacing w:after="720"/>
        <w:rPr>
          <w:rFonts w:asciiTheme="majorBidi" w:hAnsiTheme="majorBidi" w:cstheme="majorBidi"/>
          <w:lang w:val="en-AU"/>
        </w:rPr>
      </w:pPr>
      <w:bookmarkStart w:id="40" w:name="_Toc12268935"/>
      <w:r w:rsidRPr="004C5271">
        <w:rPr>
          <w:rFonts w:asciiTheme="majorBidi" w:hAnsiTheme="majorBidi" w:cstheme="majorBidi"/>
          <w:lang w:val="en-AU"/>
        </w:rPr>
        <w:t>Property</w:t>
      </w:r>
      <w:r w:rsidR="00E5308C" w:rsidRPr="004C5271">
        <w:rPr>
          <w:rFonts w:asciiTheme="majorBidi" w:hAnsiTheme="majorBidi" w:cstheme="majorBidi"/>
          <w:lang w:val="en-AU"/>
        </w:rPr>
        <w:t xml:space="preserve"> </w:t>
      </w:r>
      <w:r w:rsidR="00D75929" w:rsidRPr="004C5271">
        <w:rPr>
          <w:rFonts w:asciiTheme="majorBidi" w:hAnsiTheme="majorBidi" w:cstheme="majorBidi"/>
          <w:lang w:val="en-AU"/>
        </w:rPr>
        <w:t>F</w:t>
      </w:r>
      <w:r w:rsidR="00E5308C" w:rsidRPr="004C5271">
        <w:rPr>
          <w:rFonts w:asciiTheme="majorBidi" w:hAnsiTheme="majorBidi" w:cstheme="majorBidi"/>
          <w:lang w:val="en-AU"/>
        </w:rPr>
        <w:t xml:space="preserve">alling </w:t>
      </w:r>
      <w:r w:rsidR="00D75929" w:rsidRPr="004C5271">
        <w:rPr>
          <w:rFonts w:asciiTheme="majorBidi" w:hAnsiTheme="majorBidi" w:cstheme="majorBidi"/>
          <w:lang w:val="en-AU"/>
        </w:rPr>
        <w:t>O</w:t>
      </w:r>
      <w:r w:rsidR="00E5308C" w:rsidRPr="004C5271">
        <w:rPr>
          <w:rFonts w:asciiTheme="majorBidi" w:hAnsiTheme="majorBidi" w:cstheme="majorBidi"/>
          <w:lang w:val="en-AU"/>
        </w:rPr>
        <w:t xml:space="preserve">utside </w:t>
      </w:r>
      <w:r w:rsidR="00D75929" w:rsidRPr="004C5271">
        <w:rPr>
          <w:rFonts w:asciiTheme="majorBidi" w:hAnsiTheme="majorBidi" w:cstheme="majorBidi"/>
          <w:lang w:val="en-AU"/>
        </w:rPr>
        <w:t>F</w:t>
      </w:r>
      <w:r w:rsidR="00C24CA0" w:rsidRPr="004C5271">
        <w:rPr>
          <w:rFonts w:asciiTheme="majorBidi" w:hAnsiTheme="majorBidi" w:cstheme="majorBidi"/>
          <w:lang w:val="en-AU"/>
        </w:rPr>
        <w:t xml:space="preserve">amily </w:t>
      </w:r>
      <w:r w:rsidR="00D75929" w:rsidRPr="004C5271">
        <w:rPr>
          <w:rFonts w:asciiTheme="majorBidi" w:hAnsiTheme="majorBidi" w:cstheme="majorBidi"/>
          <w:lang w:val="en-AU"/>
        </w:rPr>
        <w:t>P</w:t>
      </w:r>
      <w:r w:rsidR="00C24CA0" w:rsidRPr="004C5271">
        <w:rPr>
          <w:rFonts w:asciiTheme="majorBidi" w:hAnsiTheme="majorBidi" w:cstheme="majorBidi"/>
          <w:lang w:val="en-AU"/>
        </w:rPr>
        <w:t xml:space="preserve">rovision </w:t>
      </w:r>
      <w:r w:rsidR="00D75929" w:rsidRPr="004C5271">
        <w:rPr>
          <w:rFonts w:asciiTheme="majorBidi" w:hAnsiTheme="majorBidi" w:cstheme="majorBidi"/>
          <w:lang w:val="en-AU"/>
        </w:rPr>
        <w:t>C</w:t>
      </w:r>
      <w:r w:rsidR="002153D8" w:rsidRPr="004C5271">
        <w:rPr>
          <w:rFonts w:asciiTheme="majorBidi" w:hAnsiTheme="majorBidi" w:cstheme="majorBidi"/>
          <w:lang w:val="en-AU"/>
        </w:rPr>
        <w:t>laim</w:t>
      </w:r>
      <w:r w:rsidR="00E5308C" w:rsidRPr="004C5271">
        <w:rPr>
          <w:rFonts w:asciiTheme="majorBidi" w:hAnsiTheme="majorBidi" w:cstheme="majorBidi"/>
          <w:lang w:val="en-AU"/>
        </w:rPr>
        <w:t>s</w:t>
      </w:r>
      <w:bookmarkEnd w:id="40"/>
    </w:p>
    <w:p w14:paraId="2C673ED1" w14:textId="4BA67348" w:rsidR="00E5308C" w:rsidRPr="004C5271" w:rsidRDefault="00E5308C" w:rsidP="00E5308C">
      <w:pPr>
        <w:pStyle w:val="NumberedHeadingTLRI"/>
        <w:rPr>
          <w:rFonts w:asciiTheme="majorBidi" w:hAnsiTheme="majorBidi" w:cstheme="majorBidi"/>
          <w:lang w:val="en-AU"/>
        </w:rPr>
      </w:pPr>
      <w:bookmarkStart w:id="41" w:name="_Toc12268936"/>
      <w:r w:rsidRPr="004C5271">
        <w:rPr>
          <w:rFonts w:asciiTheme="majorBidi" w:hAnsiTheme="majorBidi" w:cstheme="majorBidi"/>
          <w:lang w:val="en-AU"/>
        </w:rPr>
        <w:t>Introduction</w:t>
      </w:r>
      <w:bookmarkEnd w:id="41"/>
    </w:p>
    <w:p w14:paraId="38C8E68A" w14:textId="7CF66E44" w:rsidR="00AA68F3" w:rsidRPr="004C5271" w:rsidRDefault="00A4505D" w:rsidP="00B81A4A">
      <w:pPr>
        <w:pStyle w:val="NormalNumberedTextTLRI"/>
        <w:spacing w:before="120"/>
        <w:rPr>
          <w:rFonts w:asciiTheme="majorBidi" w:hAnsiTheme="majorBidi" w:cstheme="majorBidi"/>
          <w:lang w:val="en-AU"/>
        </w:rPr>
      </w:pPr>
      <w:r w:rsidRPr="004C5271">
        <w:rPr>
          <w:rFonts w:asciiTheme="majorBidi" w:hAnsiTheme="majorBidi" w:cstheme="majorBidi"/>
          <w:lang w:val="en-AU"/>
        </w:rPr>
        <w:t xml:space="preserve">Part 1 explained the development and operation of the </w:t>
      </w:r>
      <w:r w:rsidRPr="004C5271">
        <w:rPr>
          <w:rFonts w:asciiTheme="majorBidi" w:hAnsiTheme="majorBidi" w:cstheme="majorBidi"/>
          <w:i/>
          <w:iCs/>
          <w:lang w:val="en-AU"/>
        </w:rPr>
        <w:t>TFM Act</w:t>
      </w:r>
      <w:r w:rsidRPr="004C5271">
        <w:rPr>
          <w:rFonts w:asciiTheme="majorBidi" w:hAnsiTheme="majorBidi" w:cstheme="majorBidi"/>
          <w:lang w:val="en-AU"/>
        </w:rPr>
        <w:t>. It was noted that c</w:t>
      </w:r>
      <w:r w:rsidR="00C24CA0" w:rsidRPr="004C5271">
        <w:rPr>
          <w:rFonts w:asciiTheme="majorBidi" w:hAnsiTheme="majorBidi" w:cstheme="majorBidi"/>
          <w:lang w:val="en-AU"/>
        </w:rPr>
        <w:t>ertain assets fall outside a person’s estate and</w:t>
      </w:r>
      <w:r w:rsidRPr="004C5271">
        <w:rPr>
          <w:rFonts w:asciiTheme="majorBidi" w:hAnsiTheme="majorBidi" w:cstheme="majorBidi"/>
          <w:lang w:val="en-AU"/>
        </w:rPr>
        <w:t xml:space="preserve"> therefore</w:t>
      </w:r>
      <w:r w:rsidR="00C24CA0" w:rsidRPr="004C5271">
        <w:rPr>
          <w:rFonts w:asciiTheme="majorBidi" w:hAnsiTheme="majorBidi" w:cstheme="majorBidi"/>
          <w:lang w:val="en-AU"/>
        </w:rPr>
        <w:t xml:space="preserve"> may not be used to fund provision for a successful applicant under the </w:t>
      </w:r>
      <w:r w:rsidR="00C24CA0" w:rsidRPr="004C5271">
        <w:rPr>
          <w:rFonts w:asciiTheme="majorBidi" w:hAnsiTheme="majorBidi" w:cstheme="majorBidi"/>
          <w:i/>
          <w:iCs/>
          <w:lang w:val="en-AU"/>
        </w:rPr>
        <w:t>TFM Act</w:t>
      </w:r>
      <w:r w:rsidR="00AA68F3" w:rsidRPr="004C5271">
        <w:rPr>
          <w:rFonts w:asciiTheme="majorBidi" w:hAnsiTheme="majorBidi" w:cstheme="majorBidi"/>
          <w:lang w:val="en-AU"/>
        </w:rPr>
        <w:t>.</w:t>
      </w:r>
      <w:r w:rsidR="00C24CA0" w:rsidRPr="004C5271">
        <w:rPr>
          <w:rFonts w:asciiTheme="majorBidi" w:hAnsiTheme="majorBidi" w:cstheme="majorBidi"/>
          <w:lang w:val="en-AU"/>
        </w:rPr>
        <w:t xml:space="preserve"> </w:t>
      </w:r>
      <w:r w:rsidRPr="004C5271">
        <w:rPr>
          <w:rFonts w:asciiTheme="majorBidi" w:hAnsiTheme="majorBidi" w:cstheme="majorBidi"/>
          <w:lang w:val="en-AU"/>
        </w:rPr>
        <w:t xml:space="preserve">This </w:t>
      </w:r>
      <w:r w:rsidR="00CF2564" w:rsidRPr="004C5271">
        <w:rPr>
          <w:rFonts w:asciiTheme="majorBidi" w:hAnsiTheme="majorBidi" w:cstheme="majorBidi"/>
          <w:lang w:val="en-AU"/>
        </w:rPr>
        <w:t>p</w:t>
      </w:r>
      <w:r w:rsidRPr="004C5271">
        <w:rPr>
          <w:rFonts w:asciiTheme="majorBidi" w:hAnsiTheme="majorBidi" w:cstheme="majorBidi"/>
          <w:lang w:val="en-AU"/>
        </w:rPr>
        <w:t xml:space="preserve">art provides </w:t>
      </w:r>
      <w:r w:rsidR="00816F1A" w:rsidRPr="004C5271">
        <w:rPr>
          <w:rFonts w:asciiTheme="majorBidi" w:hAnsiTheme="majorBidi" w:cstheme="majorBidi"/>
          <w:lang w:val="en-AU"/>
        </w:rPr>
        <w:t xml:space="preserve">additional </w:t>
      </w:r>
      <w:r w:rsidRPr="004C5271">
        <w:rPr>
          <w:rFonts w:asciiTheme="majorBidi" w:hAnsiTheme="majorBidi" w:cstheme="majorBidi"/>
          <w:lang w:val="en-AU"/>
        </w:rPr>
        <w:t>detail to explain those assets that are excluded from family provision claims</w:t>
      </w:r>
      <w:r w:rsidR="00816F1A" w:rsidRPr="004C5271">
        <w:rPr>
          <w:rFonts w:asciiTheme="majorBidi" w:hAnsiTheme="majorBidi" w:cstheme="majorBidi"/>
          <w:lang w:val="en-AU"/>
        </w:rPr>
        <w:t xml:space="preserve"> and the circumstances in which they are excluded</w:t>
      </w:r>
      <w:r w:rsidRPr="004C5271">
        <w:rPr>
          <w:rFonts w:asciiTheme="majorBidi" w:hAnsiTheme="majorBidi" w:cstheme="majorBidi"/>
          <w:lang w:val="en-AU"/>
        </w:rPr>
        <w:t>. It is these assets and circumstances that notional estate provisions are intended to address.</w:t>
      </w:r>
    </w:p>
    <w:p w14:paraId="35D5A8E6" w14:textId="747E9FE4" w:rsidR="002014DF" w:rsidRPr="004C5271" w:rsidRDefault="002014DF" w:rsidP="00A4505D">
      <w:pPr>
        <w:pStyle w:val="NumberedHeadingTLRI"/>
        <w:rPr>
          <w:rFonts w:asciiTheme="majorBidi" w:hAnsiTheme="majorBidi" w:cstheme="majorBidi"/>
          <w:lang w:val="en-AU"/>
        </w:rPr>
      </w:pPr>
      <w:bookmarkStart w:id="42" w:name="_Toc12268937"/>
      <w:r w:rsidRPr="004C5271">
        <w:rPr>
          <w:rFonts w:asciiTheme="majorBidi" w:hAnsiTheme="majorBidi" w:cstheme="majorBidi"/>
          <w:lang w:val="en-AU"/>
        </w:rPr>
        <w:t>Pre-death gifts and transfers</w:t>
      </w:r>
      <w:bookmarkEnd w:id="42"/>
    </w:p>
    <w:p w14:paraId="3F0267FD" w14:textId="3E18A44F" w:rsidR="00FC468D" w:rsidRPr="004C5271" w:rsidRDefault="002014DF" w:rsidP="007042AA">
      <w:pPr>
        <w:pStyle w:val="NormalNumberedTextTLRI"/>
        <w:rPr>
          <w:rFonts w:asciiTheme="majorBidi" w:hAnsiTheme="majorBidi" w:cstheme="majorBidi"/>
          <w:lang w:val="en-AU"/>
        </w:rPr>
      </w:pPr>
      <w:r w:rsidRPr="004C5271">
        <w:rPr>
          <w:rFonts w:asciiTheme="majorBidi" w:hAnsiTheme="majorBidi" w:cstheme="majorBidi"/>
          <w:lang w:val="en-AU"/>
        </w:rPr>
        <w:t>T</w:t>
      </w:r>
      <w:r w:rsidR="0064300F" w:rsidRPr="004C5271">
        <w:rPr>
          <w:rFonts w:asciiTheme="majorBidi" w:hAnsiTheme="majorBidi" w:cstheme="majorBidi"/>
          <w:lang w:val="en-AU"/>
        </w:rPr>
        <w:t>he present</w:t>
      </w:r>
      <w:r w:rsidRPr="004C5271">
        <w:rPr>
          <w:rFonts w:asciiTheme="majorBidi" w:hAnsiTheme="majorBidi" w:cstheme="majorBidi"/>
          <w:lang w:val="en-AU"/>
        </w:rPr>
        <w:t xml:space="preserve"> law</w:t>
      </w:r>
      <w:r w:rsidR="0064300F" w:rsidRPr="004C5271">
        <w:rPr>
          <w:rFonts w:asciiTheme="majorBidi" w:hAnsiTheme="majorBidi" w:cstheme="majorBidi"/>
          <w:lang w:val="en-AU"/>
        </w:rPr>
        <w:t xml:space="preserve"> provides </w:t>
      </w:r>
      <w:r w:rsidR="00975D30" w:rsidRPr="004C5271">
        <w:rPr>
          <w:rFonts w:asciiTheme="majorBidi" w:hAnsiTheme="majorBidi" w:cstheme="majorBidi"/>
          <w:lang w:val="en-AU"/>
        </w:rPr>
        <w:t xml:space="preserve">scope </w:t>
      </w:r>
      <w:r w:rsidR="00FC0127" w:rsidRPr="004C5271">
        <w:rPr>
          <w:rFonts w:asciiTheme="majorBidi" w:hAnsiTheme="majorBidi" w:cstheme="majorBidi"/>
          <w:lang w:val="en-AU"/>
        </w:rPr>
        <w:t>for</w:t>
      </w:r>
      <w:r w:rsidR="00975D30" w:rsidRPr="004C5271">
        <w:rPr>
          <w:rFonts w:asciiTheme="majorBidi" w:hAnsiTheme="majorBidi" w:cstheme="majorBidi"/>
          <w:lang w:val="en-AU"/>
        </w:rPr>
        <w:t xml:space="preserve"> potential </w:t>
      </w:r>
      <w:r w:rsidR="00B20D96" w:rsidRPr="004C5271">
        <w:rPr>
          <w:rFonts w:asciiTheme="majorBidi" w:hAnsiTheme="majorBidi" w:cstheme="majorBidi"/>
          <w:lang w:val="en-AU"/>
        </w:rPr>
        <w:t>family provision</w:t>
      </w:r>
      <w:r w:rsidR="002153D8" w:rsidRPr="004C5271">
        <w:rPr>
          <w:rFonts w:asciiTheme="majorBidi" w:hAnsiTheme="majorBidi" w:cstheme="majorBidi"/>
          <w:lang w:val="en-AU"/>
        </w:rPr>
        <w:t xml:space="preserve"> </w:t>
      </w:r>
      <w:r w:rsidR="000F26CF" w:rsidRPr="004C5271">
        <w:rPr>
          <w:rFonts w:asciiTheme="majorBidi" w:hAnsiTheme="majorBidi" w:cstheme="majorBidi"/>
          <w:lang w:val="en-AU"/>
        </w:rPr>
        <w:t>claim</w:t>
      </w:r>
      <w:r w:rsidR="00FC0127" w:rsidRPr="004C5271">
        <w:rPr>
          <w:rFonts w:asciiTheme="majorBidi" w:hAnsiTheme="majorBidi" w:cstheme="majorBidi"/>
          <w:lang w:val="en-AU"/>
        </w:rPr>
        <w:t>s to be defeated</w:t>
      </w:r>
      <w:r w:rsidR="00975D30" w:rsidRPr="004C5271">
        <w:rPr>
          <w:rFonts w:asciiTheme="majorBidi" w:hAnsiTheme="majorBidi" w:cstheme="majorBidi"/>
          <w:lang w:val="en-AU"/>
        </w:rPr>
        <w:t xml:space="preserve"> </w:t>
      </w:r>
      <w:r w:rsidR="002153D8" w:rsidRPr="004C5271">
        <w:rPr>
          <w:rFonts w:asciiTheme="majorBidi" w:hAnsiTheme="majorBidi" w:cstheme="majorBidi"/>
          <w:lang w:val="en-AU"/>
        </w:rPr>
        <w:t>through a person</w:t>
      </w:r>
      <w:r w:rsidR="00975D30" w:rsidRPr="004C5271">
        <w:rPr>
          <w:rFonts w:asciiTheme="majorBidi" w:hAnsiTheme="majorBidi" w:cstheme="majorBidi"/>
          <w:lang w:val="en-AU"/>
        </w:rPr>
        <w:t xml:space="preserve"> removing property from the</w:t>
      </w:r>
      <w:r w:rsidR="000F26CF" w:rsidRPr="004C5271">
        <w:rPr>
          <w:rFonts w:asciiTheme="majorBidi" w:hAnsiTheme="majorBidi" w:cstheme="majorBidi"/>
          <w:lang w:val="en-AU"/>
        </w:rPr>
        <w:t>ir</w:t>
      </w:r>
      <w:r w:rsidR="00975D30" w:rsidRPr="004C5271">
        <w:rPr>
          <w:rFonts w:asciiTheme="majorBidi" w:hAnsiTheme="majorBidi" w:cstheme="majorBidi"/>
          <w:lang w:val="en-AU"/>
        </w:rPr>
        <w:t xml:space="preserve"> estate, for example </w:t>
      </w:r>
      <w:r w:rsidR="00A4505D" w:rsidRPr="004C5271">
        <w:rPr>
          <w:rFonts w:asciiTheme="majorBidi" w:hAnsiTheme="majorBidi" w:cstheme="majorBidi"/>
          <w:lang w:val="en-AU"/>
        </w:rPr>
        <w:t>transferring o</w:t>
      </w:r>
      <w:r w:rsidR="00B027E3">
        <w:rPr>
          <w:rFonts w:asciiTheme="majorBidi" w:hAnsiTheme="majorBidi" w:cstheme="majorBidi"/>
          <w:lang w:val="en-AU"/>
        </w:rPr>
        <w:t>r</w:t>
      </w:r>
      <w:r w:rsidR="00A4505D" w:rsidRPr="004C5271">
        <w:rPr>
          <w:rFonts w:asciiTheme="majorBidi" w:hAnsiTheme="majorBidi" w:cstheme="majorBidi"/>
          <w:lang w:val="en-AU"/>
        </w:rPr>
        <w:t xml:space="preserve"> gifting away their assets</w:t>
      </w:r>
      <w:r w:rsidR="00975D30" w:rsidRPr="004C5271">
        <w:rPr>
          <w:rFonts w:asciiTheme="majorBidi" w:hAnsiTheme="majorBidi" w:cstheme="majorBidi"/>
          <w:lang w:val="en-AU"/>
        </w:rPr>
        <w:t xml:space="preserve"> prior to death. If </w:t>
      </w:r>
      <w:r w:rsidR="002153D8" w:rsidRPr="004C5271">
        <w:rPr>
          <w:rFonts w:asciiTheme="majorBidi" w:hAnsiTheme="majorBidi" w:cstheme="majorBidi"/>
          <w:lang w:val="en-AU"/>
        </w:rPr>
        <w:t>a</w:t>
      </w:r>
      <w:r w:rsidR="00975D30" w:rsidRPr="004C5271">
        <w:rPr>
          <w:rFonts w:asciiTheme="majorBidi" w:hAnsiTheme="majorBidi" w:cstheme="majorBidi"/>
          <w:lang w:val="en-AU"/>
        </w:rPr>
        <w:t xml:space="preserve"> gift is effective,</w:t>
      </w:r>
      <w:r w:rsidR="00AA68F3" w:rsidRPr="004C5271">
        <w:rPr>
          <w:rStyle w:val="FootnoteReference"/>
          <w:rFonts w:asciiTheme="majorBidi" w:hAnsiTheme="majorBidi" w:cstheme="majorBidi"/>
          <w:lang w:val="en-AU"/>
        </w:rPr>
        <w:footnoteReference w:id="51"/>
      </w:r>
      <w:r w:rsidR="00975D30" w:rsidRPr="004C5271">
        <w:rPr>
          <w:rFonts w:asciiTheme="majorBidi" w:hAnsiTheme="majorBidi" w:cstheme="majorBidi"/>
          <w:lang w:val="en-AU"/>
        </w:rPr>
        <w:t xml:space="preserve"> the Court </w:t>
      </w:r>
      <w:r w:rsidR="008347B7" w:rsidRPr="004C5271">
        <w:rPr>
          <w:rFonts w:asciiTheme="majorBidi" w:hAnsiTheme="majorBidi" w:cstheme="majorBidi"/>
          <w:lang w:val="en-AU"/>
        </w:rPr>
        <w:t>does not have</w:t>
      </w:r>
      <w:r w:rsidR="00975D30" w:rsidRPr="004C5271">
        <w:rPr>
          <w:rFonts w:asciiTheme="majorBidi" w:hAnsiTheme="majorBidi" w:cstheme="majorBidi"/>
          <w:lang w:val="en-AU"/>
        </w:rPr>
        <w:t xml:space="preserve"> jurisdiction </w:t>
      </w:r>
      <w:r w:rsidR="00A27138" w:rsidRPr="004C5271">
        <w:rPr>
          <w:rFonts w:asciiTheme="majorBidi" w:hAnsiTheme="majorBidi" w:cstheme="majorBidi"/>
          <w:lang w:val="en-AU"/>
        </w:rPr>
        <w:t>in respect of</w:t>
      </w:r>
      <w:r w:rsidR="00975D30" w:rsidRPr="004C5271">
        <w:rPr>
          <w:rFonts w:asciiTheme="majorBidi" w:hAnsiTheme="majorBidi" w:cstheme="majorBidi"/>
          <w:lang w:val="en-AU"/>
        </w:rPr>
        <w:t xml:space="preserve"> that property</w:t>
      </w:r>
      <w:r w:rsidR="0098324C" w:rsidRPr="004C5271">
        <w:rPr>
          <w:rFonts w:asciiTheme="majorBidi" w:hAnsiTheme="majorBidi" w:cstheme="majorBidi"/>
          <w:lang w:val="en-AU"/>
        </w:rPr>
        <w:t xml:space="preserve"> (except in </w:t>
      </w:r>
      <w:r w:rsidR="00A27138" w:rsidRPr="004C5271">
        <w:rPr>
          <w:rFonts w:asciiTheme="majorBidi" w:hAnsiTheme="majorBidi" w:cstheme="majorBidi"/>
          <w:lang w:val="en-AU"/>
        </w:rPr>
        <w:t xml:space="preserve">limited </w:t>
      </w:r>
      <w:r w:rsidR="0098324C" w:rsidRPr="004C5271">
        <w:rPr>
          <w:rFonts w:asciiTheme="majorBidi" w:hAnsiTheme="majorBidi" w:cstheme="majorBidi"/>
          <w:lang w:val="en-AU"/>
        </w:rPr>
        <w:t>situations</w:t>
      </w:r>
      <w:r w:rsidR="00CD6063" w:rsidRPr="004C5271">
        <w:rPr>
          <w:rStyle w:val="FootnoteReference"/>
          <w:rFonts w:asciiTheme="majorBidi" w:hAnsiTheme="majorBidi" w:cstheme="majorBidi"/>
          <w:lang w:val="en-AU"/>
        </w:rPr>
        <w:footnoteReference w:id="52"/>
      </w:r>
      <w:r w:rsidR="0098324C" w:rsidRPr="004C5271">
        <w:rPr>
          <w:rFonts w:asciiTheme="majorBidi" w:hAnsiTheme="majorBidi" w:cstheme="majorBidi"/>
          <w:lang w:val="en-AU"/>
        </w:rPr>
        <w:t>)</w:t>
      </w:r>
      <w:r w:rsidR="00975D30" w:rsidRPr="004C5271">
        <w:rPr>
          <w:rFonts w:asciiTheme="majorBidi" w:hAnsiTheme="majorBidi" w:cstheme="majorBidi"/>
          <w:lang w:val="en-AU"/>
        </w:rPr>
        <w:t xml:space="preserve"> as it does not constitute the ‘estate’ of the deceased</w:t>
      </w:r>
      <w:r w:rsidR="004930BF" w:rsidRPr="004C5271">
        <w:rPr>
          <w:rFonts w:asciiTheme="majorBidi" w:hAnsiTheme="majorBidi" w:cstheme="majorBidi"/>
          <w:lang w:val="en-AU"/>
        </w:rPr>
        <w:t xml:space="preserve">. </w:t>
      </w:r>
    </w:p>
    <w:p w14:paraId="47C7BDCB" w14:textId="40E4CC42" w:rsidR="00B20D96" w:rsidRPr="004C5271" w:rsidRDefault="00B20D96" w:rsidP="007042AA">
      <w:pPr>
        <w:pStyle w:val="NormalNumberedTextTLRI"/>
        <w:rPr>
          <w:rFonts w:asciiTheme="majorBidi" w:hAnsiTheme="majorBidi" w:cstheme="majorBidi"/>
          <w:lang w:val="en-AU"/>
        </w:rPr>
      </w:pPr>
      <w:r w:rsidRPr="004C5271">
        <w:rPr>
          <w:rFonts w:asciiTheme="majorBidi" w:hAnsiTheme="majorBidi" w:cstheme="majorBidi"/>
          <w:lang w:val="en-AU"/>
        </w:rPr>
        <w:t xml:space="preserve">The Issues Paper provided the following example of </w:t>
      </w:r>
      <w:r w:rsidR="0098324C" w:rsidRPr="004C5271">
        <w:rPr>
          <w:rFonts w:asciiTheme="majorBidi" w:hAnsiTheme="majorBidi" w:cstheme="majorBidi"/>
          <w:lang w:val="en-AU"/>
        </w:rPr>
        <w:t xml:space="preserve">such a </w:t>
      </w:r>
      <w:r w:rsidRPr="004C5271">
        <w:rPr>
          <w:rFonts w:asciiTheme="majorBidi" w:hAnsiTheme="majorBidi" w:cstheme="majorBidi"/>
          <w:lang w:val="en-AU"/>
        </w:rPr>
        <w:t>scenario:</w:t>
      </w:r>
    </w:p>
    <w:p w14:paraId="12057E89" w14:textId="78080B4B" w:rsidR="00897F4D" w:rsidRPr="004C5271" w:rsidRDefault="00897F4D" w:rsidP="00896060">
      <w:pPr>
        <w:pStyle w:val="QuoteTLRI"/>
        <w:keepNext/>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b/>
        </w:rPr>
        <w:lastRenderedPageBreak/>
        <w:t>Example</w:t>
      </w:r>
      <w:r w:rsidRPr="004C5271">
        <w:rPr>
          <w:rFonts w:asciiTheme="majorBidi" w:hAnsiTheme="majorBidi" w:cstheme="majorBidi"/>
        </w:rPr>
        <w:t>:</w:t>
      </w:r>
    </w:p>
    <w:p w14:paraId="67A62B4A" w14:textId="3312086E" w:rsidR="00897F4D" w:rsidRPr="004C5271" w:rsidRDefault="00897F4D" w:rsidP="00A20893">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Mr Smith has three adult children. His only substantial asset is a dairy farm at Deloraine. His daughter helps with the farming operations as well as living with Mr Smith and assisting him with domestic tasks. Mr Smith does not have a close relationship with his two sons who live interstate.</w:t>
      </w:r>
    </w:p>
    <w:p w14:paraId="30A6761B" w14:textId="55DA25E6" w:rsidR="00897F4D" w:rsidRPr="004C5271" w:rsidRDefault="00897F4D" w:rsidP="00A20893">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 xml:space="preserve">Mr Smith </w:t>
      </w:r>
      <w:r w:rsidR="001350E2" w:rsidRPr="004C5271">
        <w:rPr>
          <w:rFonts w:asciiTheme="majorBidi" w:hAnsiTheme="majorBidi" w:cstheme="majorBidi"/>
        </w:rPr>
        <w:t>wants</w:t>
      </w:r>
      <w:r w:rsidRPr="004C5271">
        <w:rPr>
          <w:rFonts w:asciiTheme="majorBidi" w:hAnsiTheme="majorBidi" w:cstheme="majorBidi"/>
        </w:rPr>
        <w:t xml:space="preserve"> his daughter to take over the farm on his death. He is adamant that he does not want the farm to be sold and is worried that this might happen if his sons were to claim a share of his estate after his death.</w:t>
      </w:r>
    </w:p>
    <w:p w14:paraId="0DAA0881" w14:textId="113EAE4E" w:rsidR="00897F4D" w:rsidRPr="004C5271" w:rsidRDefault="00897F4D" w:rsidP="00896060">
      <w:pPr>
        <w:pStyle w:val="QuoteTLRI"/>
        <w:pBdr>
          <w:top w:val="single" w:sz="4" w:space="1" w:color="auto"/>
          <w:left w:val="single" w:sz="4" w:space="1" w:color="auto"/>
          <w:bottom w:val="single" w:sz="4" w:space="1" w:color="auto"/>
          <w:right w:val="single" w:sz="4" w:space="1" w:color="auto"/>
        </w:pBdr>
        <w:ind w:left="737" w:right="907"/>
        <w:rPr>
          <w:rFonts w:asciiTheme="majorBidi" w:hAnsiTheme="majorBidi" w:cstheme="majorBidi"/>
        </w:rPr>
      </w:pPr>
      <w:r w:rsidRPr="004C5271">
        <w:rPr>
          <w:rFonts w:asciiTheme="majorBidi" w:hAnsiTheme="majorBidi" w:cstheme="majorBidi"/>
        </w:rPr>
        <w:t xml:space="preserve">Mr Smith therefore decides to transfer </w:t>
      </w:r>
      <w:r w:rsidR="00D810C6" w:rsidRPr="004C5271">
        <w:rPr>
          <w:rFonts w:asciiTheme="majorBidi" w:hAnsiTheme="majorBidi" w:cstheme="majorBidi"/>
        </w:rPr>
        <w:t xml:space="preserve">(gift) </w:t>
      </w:r>
      <w:r w:rsidRPr="004C5271">
        <w:rPr>
          <w:rFonts w:asciiTheme="majorBidi" w:hAnsiTheme="majorBidi" w:cstheme="majorBidi"/>
        </w:rPr>
        <w:t xml:space="preserve">the farm to his daughter during his life. The effect is that, on Mr Smith’s death, the farm does not form part of his estate. It is unable to be claimed by his sons via a </w:t>
      </w:r>
      <w:r w:rsidR="005447D3" w:rsidRPr="004C5271">
        <w:rPr>
          <w:rFonts w:asciiTheme="majorBidi" w:hAnsiTheme="majorBidi" w:cstheme="majorBidi"/>
        </w:rPr>
        <w:t xml:space="preserve">family provision </w:t>
      </w:r>
      <w:r w:rsidRPr="004C5271">
        <w:rPr>
          <w:rFonts w:asciiTheme="majorBidi" w:hAnsiTheme="majorBidi" w:cstheme="majorBidi"/>
        </w:rPr>
        <w:t>claim</w:t>
      </w:r>
      <w:r w:rsidR="00ED23E8">
        <w:rPr>
          <w:rFonts w:asciiTheme="majorBidi" w:hAnsiTheme="majorBidi" w:cstheme="majorBidi"/>
        </w:rPr>
        <w:t>.</w:t>
      </w:r>
    </w:p>
    <w:p w14:paraId="4D32540F" w14:textId="770EB0A4" w:rsidR="00A4505D" w:rsidRPr="004C5271" w:rsidRDefault="00A4505D" w:rsidP="00A4505D">
      <w:pPr>
        <w:pStyle w:val="NormalNumberedTextTLRI"/>
        <w:rPr>
          <w:rFonts w:asciiTheme="majorBidi" w:hAnsiTheme="majorBidi" w:cstheme="majorBidi"/>
          <w:lang w:val="en-AU"/>
        </w:rPr>
      </w:pPr>
      <w:r w:rsidRPr="004C5271">
        <w:rPr>
          <w:rFonts w:asciiTheme="majorBidi" w:hAnsiTheme="majorBidi" w:cstheme="majorBidi"/>
          <w:lang w:val="en-AU"/>
        </w:rPr>
        <w:t xml:space="preserve">It is irrelevant whether </w:t>
      </w:r>
      <w:r w:rsidR="008347B7" w:rsidRPr="004C5271">
        <w:rPr>
          <w:rFonts w:asciiTheme="majorBidi" w:hAnsiTheme="majorBidi" w:cstheme="majorBidi"/>
          <w:lang w:val="en-AU"/>
        </w:rPr>
        <w:t>a</w:t>
      </w:r>
      <w:r w:rsidRPr="004C5271">
        <w:rPr>
          <w:rFonts w:asciiTheme="majorBidi" w:hAnsiTheme="majorBidi" w:cstheme="majorBidi"/>
          <w:lang w:val="en-AU"/>
        </w:rPr>
        <w:t xml:space="preserve"> gift was made with the purpose of defeating a potential claim.</w:t>
      </w:r>
      <w:r w:rsidRPr="004C5271">
        <w:rPr>
          <w:rStyle w:val="FootnoteReference"/>
          <w:rFonts w:asciiTheme="majorBidi" w:hAnsiTheme="majorBidi" w:cstheme="majorBidi"/>
          <w:lang w:val="en-AU"/>
        </w:rPr>
        <w:footnoteReference w:id="53"/>
      </w:r>
    </w:p>
    <w:p w14:paraId="1BE37CCE" w14:textId="6BCBDD13" w:rsidR="005A3CFF" w:rsidRPr="004C5271" w:rsidRDefault="005A3CFF" w:rsidP="00A4505D">
      <w:pPr>
        <w:pStyle w:val="NumberedHeadingTLRI"/>
        <w:rPr>
          <w:rFonts w:asciiTheme="majorBidi" w:hAnsiTheme="majorBidi" w:cstheme="majorBidi"/>
          <w:lang w:val="en-AU"/>
        </w:rPr>
      </w:pPr>
      <w:bookmarkStart w:id="43" w:name="_Toc12268938"/>
      <w:r w:rsidRPr="004C5271">
        <w:rPr>
          <w:rFonts w:asciiTheme="majorBidi" w:hAnsiTheme="majorBidi" w:cstheme="majorBidi"/>
          <w:lang w:val="en-AU"/>
        </w:rPr>
        <w:t xml:space="preserve">Joint tenancy </w:t>
      </w:r>
      <w:r w:rsidR="00A4505D" w:rsidRPr="004C5271">
        <w:rPr>
          <w:rFonts w:asciiTheme="majorBidi" w:hAnsiTheme="majorBidi" w:cstheme="majorBidi"/>
          <w:lang w:val="en-AU"/>
        </w:rPr>
        <w:t>assets</w:t>
      </w:r>
      <w:bookmarkEnd w:id="43"/>
    </w:p>
    <w:p w14:paraId="2E35B1C7" w14:textId="74B258A2" w:rsidR="002449AC" w:rsidRPr="004C5271" w:rsidRDefault="002449AC" w:rsidP="00EC56A4">
      <w:pPr>
        <w:pStyle w:val="NormalNumberedTextTLRI"/>
        <w:rPr>
          <w:rFonts w:asciiTheme="majorBidi" w:hAnsiTheme="majorBidi" w:cstheme="majorBidi"/>
          <w:lang w:val="en-AU"/>
        </w:rPr>
      </w:pPr>
      <w:r w:rsidRPr="004C5271">
        <w:rPr>
          <w:rFonts w:asciiTheme="majorBidi" w:hAnsiTheme="majorBidi" w:cstheme="majorBidi"/>
          <w:lang w:val="en-AU"/>
        </w:rPr>
        <w:t>Property held jointly with another person may be held in a ‘joint tenancy’ form of ownership or a ‘tenancy in common’ form of ownership. Each are treated differently. Co-owned assets held as joint tenants do not form part of a person’s estate, whilst interests held jointly as tenants in common do form part of a</w:t>
      </w:r>
      <w:r w:rsidR="0070057D" w:rsidRPr="004C5271">
        <w:rPr>
          <w:rFonts w:asciiTheme="majorBidi" w:hAnsiTheme="majorBidi" w:cstheme="majorBidi"/>
          <w:lang w:val="en-AU"/>
        </w:rPr>
        <w:t xml:space="preserve">n </w:t>
      </w:r>
      <w:r w:rsidRPr="004C5271">
        <w:rPr>
          <w:rFonts w:asciiTheme="majorBidi" w:hAnsiTheme="majorBidi" w:cstheme="majorBidi"/>
          <w:lang w:val="en-AU"/>
        </w:rPr>
        <w:t>estate.</w:t>
      </w:r>
    </w:p>
    <w:p w14:paraId="7D2F2BC6" w14:textId="5783D1BA" w:rsidR="00C0439A" w:rsidRPr="004C5271" w:rsidRDefault="002449AC" w:rsidP="00EC56A4">
      <w:pPr>
        <w:pStyle w:val="NormalNumberedTextTLRI"/>
        <w:rPr>
          <w:rFonts w:asciiTheme="majorBidi" w:hAnsiTheme="majorBidi" w:cstheme="majorBidi"/>
          <w:lang w:val="en-AU"/>
        </w:rPr>
      </w:pPr>
      <w:r w:rsidRPr="004C5271">
        <w:rPr>
          <w:rFonts w:asciiTheme="majorBidi" w:hAnsiTheme="majorBidi" w:cstheme="majorBidi"/>
          <w:lang w:val="en-AU"/>
        </w:rPr>
        <w:t>The legal effect of</w:t>
      </w:r>
      <w:r w:rsidR="005A3CFF" w:rsidRPr="004C5271">
        <w:rPr>
          <w:rFonts w:asciiTheme="majorBidi" w:hAnsiTheme="majorBidi" w:cstheme="majorBidi"/>
          <w:lang w:val="en-AU"/>
        </w:rPr>
        <w:t xml:space="preserve"> joint tenancy</w:t>
      </w:r>
      <w:r w:rsidR="00E91D0D" w:rsidRPr="004C5271">
        <w:rPr>
          <w:rFonts w:asciiTheme="majorBidi" w:hAnsiTheme="majorBidi" w:cstheme="majorBidi"/>
          <w:lang w:val="en-AU"/>
        </w:rPr>
        <w:t xml:space="preserve"> ownership</w:t>
      </w:r>
      <w:r w:rsidR="005A3CFF" w:rsidRPr="004C5271">
        <w:rPr>
          <w:rFonts w:asciiTheme="majorBidi" w:hAnsiTheme="majorBidi" w:cstheme="majorBidi"/>
          <w:lang w:val="en-AU"/>
        </w:rPr>
        <w:t xml:space="preserve"> is to </w:t>
      </w:r>
      <w:r w:rsidR="00C76CA1" w:rsidRPr="004C5271">
        <w:rPr>
          <w:rFonts w:asciiTheme="majorBidi" w:hAnsiTheme="majorBidi" w:cstheme="majorBidi"/>
          <w:lang w:val="en-AU"/>
        </w:rPr>
        <w:t xml:space="preserve">automatically </w:t>
      </w:r>
      <w:r w:rsidR="005A3CFF" w:rsidRPr="004C5271">
        <w:rPr>
          <w:rFonts w:asciiTheme="majorBidi" w:hAnsiTheme="majorBidi" w:cstheme="majorBidi"/>
          <w:lang w:val="en-AU"/>
        </w:rPr>
        <w:t xml:space="preserve">vest </w:t>
      </w:r>
      <w:r w:rsidRPr="004C5271">
        <w:rPr>
          <w:rFonts w:asciiTheme="majorBidi" w:hAnsiTheme="majorBidi" w:cstheme="majorBidi"/>
          <w:lang w:val="en-AU"/>
        </w:rPr>
        <w:t>a co-owner’s interest in the</w:t>
      </w:r>
      <w:r w:rsidR="005A3CFF" w:rsidRPr="004C5271">
        <w:rPr>
          <w:rFonts w:asciiTheme="majorBidi" w:hAnsiTheme="majorBidi" w:cstheme="majorBidi"/>
          <w:lang w:val="en-AU"/>
        </w:rPr>
        <w:t xml:space="preserve"> property in </w:t>
      </w:r>
      <w:r w:rsidRPr="004C5271">
        <w:rPr>
          <w:rFonts w:asciiTheme="majorBidi" w:hAnsiTheme="majorBidi" w:cstheme="majorBidi"/>
          <w:lang w:val="en-AU"/>
        </w:rPr>
        <w:t>the</w:t>
      </w:r>
      <w:r w:rsidR="005A3CFF" w:rsidRPr="004C5271">
        <w:rPr>
          <w:rFonts w:asciiTheme="majorBidi" w:hAnsiTheme="majorBidi" w:cstheme="majorBidi"/>
          <w:lang w:val="en-AU"/>
        </w:rPr>
        <w:t xml:space="preserve"> surviving co-owner</w:t>
      </w:r>
      <w:r w:rsidRPr="004C5271">
        <w:rPr>
          <w:rFonts w:asciiTheme="majorBidi" w:hAnsiTheme="majorBidi" w:cstheme="majorBidi"/>
          <w:lang w:val="en-AU"/>
        </w:rPr>
        <w:t>. This is c</w:t>
      </w:r>
      <w:r w:rsidR="00E91D0D" w:rsidRPr="004C5271">
        <w:rPr>
          <w:rFonts w:asciiTheme="majorBidi" w:hAnsiTheme="majorBidi" w:cstheme="majorBidi"/>
          <w:lang w:val="en-AU"/>
        </w:rPr>
        <w:t xml:space="preserve">alled </w:t>
      </w:r>
      <w:r w:rsidR="00222ED1" w:rsidRPr="004C5271">
        <w:rPr>
          <w:rFonts w:asciiTheme="majorBidi" w:hAnsiTheme="majorBidi" w:cstheme="majorBidi"/>
          <w:lang w:val="en-AU"/>
        </w:rPr>
        <w:t>a right of survivorship</w:t>
      </w:r>
      <w:r w:rsidR="005A3CFF" w:rsidRPr="004C5271">
        <w:rPr>
          <w:rFonts w:asciiTheme="majorBidi" w:hAnsiTheme="majorBidi" w:cstheme="majorBidi"/>
          <w:lang w:val="en-AU"/>
        </w:rPr>
        <w:t xml:space="preserve">. </w:t>
      </w:r>
      <w:r w:rsidR="00E91D0D" w:rsidRPr="004C5271">
        <w:rPr>
          <w:rFonts w:asciiTheme="majorBidi" w:hAnsiTheme="majorBidi" w:cstheme="majorBidi"/>
          <w:lang w:val="en-AU"/>
        </w:rPr>
        <w:t>A</w:t>
      </w:r>
      <w:r w:rsidR="002B66AE" w:rsidRPr="004C5271">
        <w:rPr>
          <w:rFonts w:asciiTheme="majorBidi" w:hAnsiTheme="majorBidi" w:cstheme="majorBidi"/>
          <w:lang w:val="en-AU"/>
        </w:rPr>
        <w:t>s a result, a</w:t>
      </w:r>
      <w:r w:rsidR="00E91D0D" w:rsidRPr="004C5271">
        <w:rPr>
          <w:rFonts w:asciiTheme="majorBidi" w:hAnsiTheme="majorBidi" w:cstheme="majorBidi"/>
          <w:lang w:val="en-AU"/>
        </w:rPr>
        <w:t xml:space="preserve"> co-owner</w:t>
      </w:r>
      <w:r w:rsidRPr="004C5271">
        <w:rPr>
          <w:rFonts w:asciiTheme="majorBidi" w:hAnsiTheme="majorBidi" w:cstheme="majorBidi"/>
          <w:lang w:val="en-AU"/>
        </w:rPr>
        <w:t>’</w:t>
      </w:r>
      <w:r w:rsidR="00E91D0D" w:rsidRPr="004C5271">
        <w:rPr>
          <w:rFonts w:asciiTheme="majorBidi" w:hAnsiTheme="majorBidi" w:cstheme="majorBidi"/>
          <w:lang w:val="en-AU"/>
        </w:rPr>
        <w:t>s interest in property held as a joint tenant</w:t>
      </w:r>
      <w:r w:rsidR="005A3CFF" w:rsidRPr="004C5271">
        <w:rPr>
          <w:rFonts w:asciiTheme="majorBidi" w:hAnsiTheme="majorBidi" w:cstheme="majorBidi"/>
          <w:lang w:val="en-AU"/>
        </w:rPr>
        <w:t xml:space="preserve"> is not an asset that </w:t>
      </w:r>
      <w:r w:rsidR="00E91D0D" w:rsidRPr="004C5271">
        <w:rPr>
          <w:rFonts w:asciiTheme="majorBidi" w:hAnsiTheme="majorBidi" w:cstheme="majorBidi"/>
          <w:lang w:val="en-AU"/>
        </w:rPr>
        <w:t xml:space="preserve">can be gifted via </w:t>
      </w:r>
      <w:r w:rsidRPr="004C5271">
        <w:rPr>
          <w:rFonts w:asciiTheme="majorBidi" w:hAnsiTheme="majorBidi" w:cstheme="majorBidi"/>
          <w:lang w:val="en-AU"/>
        </w:rPr>
        <w:t xml:space="preserve">their </w:t>
      </w:r>
      <w:r w:rsidR="005A3CFF" w:rsidRPr="004C5271">
        <w:rPr>
          <w:rFonts w:asciiTheme="majorBidi" w:hAnsiTheme="majorBidi" w:cstheme="majorBidi"/>
          <w:lang w:val="en-AU"/>
        </w:rPr>
        <w:t xml:space="preserve">will or </w:t>
      </w:r>
      <w:r w:rsidRPr="004C5271">
        <w:rPr>
          <w:rFonts w:asciiTheme="majorBidi" w:hAnsiTheme="majorBidi" w:cstheme="majorBidi"/>
          <w:lang w:val="en-AU"/>
        </w:rPr>
        <w:t>dealt with under</w:t>
      </w:r>
      <w:r w:rsidR="005A3CFF" w:rsidRPr="004C5271">
        <w:rPr>
          <w:rFonts w:asciiTheme="majorBidi" w:hAnsiTheme="majorBidi" w:cstheme="majorBidi"/>
          <w:lang w:val="en-AU"/>
        </w:rPr>
        <w:t xml:space="preserve"> intestacy. The effect is that </w:t>
      </w:r>
      <w:r w:rsidR="006E2B9F" w:rsidRPr="004C5271">
        <w:rPr>
          <w:rFonts w:asciiTheme="majorBidi" w:hAnsiTheme="majorBidi" w:cstheme="majorBidi"/>
          <w:lang w:val="en-AU"/>
        </w:rPr>
        <w:t xml:space="preserve">a deceased’s interest in </w:t>
      </w:r>
      <w:r w:rsidR="00C76CA1" w:rsidRPr="004C5271">
        <w:rPr>
          <w:rFonts w:asciiTheme="majorBidi" w:hAnsiTheme="majorBidi" w:cstheme="majorBidi"/>
          <w:lang w:val="en-AU"/>
        </w:rPr>
        <w:t>a joint tenancy</w:t>
      </w:r>
      <w:r w:rsidR="00C0439A" w:rsidRPr="004C5271">
        <w:rPr>
          <w:rFonts w:asciiTheme="majorBidi" w:hAnsiTheme="majorBidi" w:cstheme="majorBidi"/>
          <w:lang w:val="en-AU"/>
        </w:rPr>
        <w:t xml:space="preserve"> asset</w:t>
      </w:r>
      <w:r w:rsidR="005A3CFF" w:rsidRPr="004C5271">
        <w:rPr>
          <w:rFonts w:asciiTheme="majorBidi" w:hAnsiTheme="majorBidi" w:cstheme="majorBidi"/>
          <w:lang w:val="en-AU"/>
        </w:rPr>
        <w:t xml:space="preserve"> falls outside of the pool of assets from which </w:t>
      </w:r>
      <w:r w:rsidR="00C76CA1" w:rsidRPr="004C5271">
        <w:rPr>
          <w:rFonts w:asciiTheme="majorBidi" w:hAnsiTheme="majorBidi" w:cstheme="majorBidi"/>
          <w:lang w:val="en-AU"/>
        </w:rPr>
        <w:t xml:space="preserve">provision can be made for a </w:t>
      </w:r>
      <w:r w:rsidR="00EC56A4" w:rsidRPr="004C5271">
        <w:rPr>
          <w:rFonts w:asciiTheme="majorBidi" w:hAnsiTheme="majorBidi" w:cstheme="majorBidi"/>
          <w:lang w:val="en-AU"/>
        </w:rPr>
        <w:t>successful</w:t>
      </w:r>
      <w:r w:rsidR="00C76CA1" w:rsidRPr="004C5271">
        <w:rPr>
          <w:rFonts w:asciiTheme="majorBidi" w:hAnsiTheme="majorBidi" w:cstheme="majorBidi"/>
          <w:lang w:val="en-AU"/>
        </w:rPr>
        <w:t xml:space="preserve"> </w:t>
      </w:r>
      <w:r w:rsidR="005A3CFF" w:rsidRPr="004C5271">
        <w:rPr>
          <w:rFonts w:asciiTheme="majorBidi" w:hAnsiTheme="majorBidi" w:cstheme="majorBidi"/>
          <w:lang w:val="en-AU"/>
        </w:rPr>
        <w:t xml:space="preserve">applicant under the </w:t>
      </w:r>
      <w:r w:rsidR="000C1E64" w:rsidRPr="004C5271">
        <w:rPr>
          <w:rFonts w:asciiTheme="majorBidi" w:hAnsiTheme="majorBidi" w:cstheme="majorBidi"/>
          <w:i/>
          <w:lang w:val="en-AU"/>
        </w:rPr>
        <w:t xml:space="preserve">TFM </w:t>
      </w:r>
      <w:r w:rsidR="005A3CFF" w:rsidRPr="004C5271">
        <w:rPr>
          <w:rFonts w:asciiTheme="majorBidi" w:hAnsiTheme="majorBidi" w:cstheme="majorBidi"/>
          <w:i/>
          <w:lang w:val="en-AU"/>
        </w:rPr>
        <w:t>Act</w:t>
      </w:r>
      <w:r w:rsidR="005A3CFF" w:rsidRPr="004C5271">
        <w:rPr>
          <w:rFonts w:asciiTheme="majorBidi" w:hAnsiTheme="majorBidi" w:cstheme="majorBidi"/>
          <w:lang w:val="en-AU"/>
        </w:rPr>
        <w:t>.</w:t>
      </w:r>
      <w:r w:rsidR="00222ED1" w:rsidRPr="004C5271">
        <w:rPr>
          <w:rFonts w:asciiTheme="majorBidi" w:hAnsiTheme="majorBidi" w:cstheme="majorBidi"/>
          <w:lang w:val="en-AU"/>
        </w:rPr>
        <w:t xml:space="preserve"> </w:t>
      </w:r>
    </w:p>
    <w:p w14:paraId="51E30524" w14:textId="6677307C" w:rsidR="005A3CFF" w:rsidRPr="004C5271" w:rsidRDefault="00222ED1" w:rsidP="00EC56A4">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This situation </w:t>
      </w:r>
      <w:proofErr w:type="gramStart"/>
      <w:r w:rsidRPr="004C5271">
        <w:rPr>
          <w:rFonts w:asciiTheme="majorBidi" w:hAnsiTheme="majorBidi" w:cstheme="majorBidi"/>
          <w:lang w:val="en-AU"/>
        </w:rPr>
        <w:t>is in contrast to</w:t>
      </w:r>
      <w:proofErr w:type="gramEnd"/>
      <w:r w:rsidRPr="004C5271">
        <w:rPr>
          <w:rFonts w:asciiTheme="majorBidi" w:hAnsiTheme="majorBidi" w:cstheme="majorBidi"/>
          <w:lang w:val="en-AU"/>
        </w:rPr>
        <w:t xml:space="preserve"> a tenancy in common form of ownership where one co-owner’s share does not automatically vest in a surviving co-owner upon death. Each co-owner holds a distinct share that </w:t>
      </w:r>
      <w:r w:rsidR="006E2B9F" w:rsidRPr="004C5271">
        <w:rPr>
          <w:rFonts w:asciiTheme="majorBidi" w:hAnsiTheme="majorBidi" w:cstheme="majorBidi"/>
          <w:lang w:val="en-AU"/>
        </w:rPr>
        <w:t>then forms part of their estate upon their death</w:t>
      </w:r>
      <w:r w:rsidRPr="004C5271">
        <w:rPr>
          <w:rFonts w:asciiTheme="majorBidi" w:hAnsiTheme="majorBidi" w:cstheme="majorBidi"/>
          <w:lang w:val="en-AU"/>
        </w:rPr>
        <w:t xml:space="preserve">. </w:t>
      </w:r>
    </w:p>
    <w:p w14:paraId="058BF30C" w14:textId="256F6C75" w:rsidR="00B20D96" w:rsidRPr="004C5271" w:rsidRDefault="00B20D96" w:rsidP="00EC56A4">
      <w:pPr>
        <w:pStyle w:val="NormalNumberedTextTLRI"/>
        <w:rPr>
          <w:rFonts w:asciiTheme="majorBidi" w:hAnsiTheme="majorBidi" w:cstheme="majorBidi"/>
          <w:lang w:val="en-AU"/>
        </w:rPr>
      </w:pPr>
      <w:r w:rsidRPr="004C5271">
        <w:rPr>
          <w:rFonts w:asciiTheme="majorBidi" w:hAnsiTheme="majorBidi" w:cstheme="majorBidi"/>
          <w:lang w:val="en-AU"/>
        </w:rPr>
        <w:t xml:space="preserve">The Issues Paper explained the effect of joint tenancy ownership upon family provision claims </w:t>
      </w:r>
      <w:r w:rsidR="002B66AE" w:rsidRPr="004C5271">
        <w:rPr>
          <w:rFonts w:asciiTheme="majorBidi" w:hAnsiTheme="majorBidi" w:cstheme="majorBidi"/>
          <w:lang w:val="en-AU"/>
        </w:rPr>
        <w:t>using</w:t>
      </w:r>
      <w:r w:rsidRPr="004C5271">
        <w:rPr>
          <w:rFonts w:asciiTheme="majorBidi" w:hAnsiTheme="majorBidi" w:cstheme="majorBidi"/>
          <w:lang w:val="en-AU"/>
        </w:rPr>
        <w:t xml:space="preserve"> the following example: </w:t>
      </w:r>
    </w:p>
    <w:p w14:paraId="0A657C53" w14:textId="5FB4C825" w:rsidR="00897F4D" w:rsidRPr="004C5271" w:rsidRDefault="00897F4D" w:rsidP="00A20893">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9220C6">
        <w:rPr>
          <w:rFonts w:asciiTheme="majorBidi" w:hAnsiTheme="majorBidi" w:cstheme="majorBidi"/>
          <w:b/>
          <w:bCs/>
        </w:rPr>
        <w:t>Example</w:t>
      </w:r>
      <w:r w:rsidRPr="004C5271">
        <w:rPr>
          <w:rFonts w:asciiTheme="majorBidi" w:hAnsiTheme="majorBidi" w:cstheme="majorBidi"/>
        </w:rPr>
        <w:t>:</w:t>
      </w:r>
    </w:p>
    <w:p w14:paraId="356F17EC" w14:textId="387F66DC" w:rsidR="00897F4D" w:rsidRPr="004C5271" w:rsidRDefault="00DD2695" w:rsidP="00A20893">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Lucinda</w:t>
      </w:r>
      <w:r w:rsidR="00897F4D" w:rsidRPr="004C5271">
        <w:rPr>
          <w:rFonts w:asciiTheme="majorBidi" w:hAnsiTheme="majorBidi" w:cstheme="majorBidi"/>
        </w:rPr>
        <w:t xml:space="preserve"> </w:t>
      </w:r>
      <w:r w:rsidR="00BF07AB" w:rsidRPr="004C5271">
        <w:rPr>
          <w:rFonts w:asciiTheme="majorBidi" w:hAnsiTheme="majorBidi" w:cstheme="majorBidi"/>
        </w:rPr>
        <w:t xml:space="preserve">and </w:t>
      </w:r>
      <w:r w:rsidRPr="004C5271">
        <w:rPr>
          <w:rFonts w:asciiTheme="majorBidi" w:hAnsiTheme="majorBidi" w:cstheme="majorBidi"/>
        </w:rPr>
        <w:t>Gary</w:t>
      </w:r>
      <w:r w:rsidR="00BF07AB" w:rsidRPr="004C5271">
        <w:rPr>
          <w:rFonts w:asciiTheme="majorBidi" w:hAnsiTheme="majorBidi" w:cstheme="majorBidi"/>
        </w:rPr>
        <w:t xml:space="preserve"> commence</w:t>
      </w:r>
      <w:r w:rsidR="00897F4D" w:rsidRPr="004C5271">
        <w:rPr>
          <w:rFonts w:asciiTheme="majorBidi" w:hAnsiTheme="majorBidi" w:cstheme="majorBidi"/>
        </w:rPr>
        <w:t xml:space="preserve"> a relationship </w:t>
      </w:r>
      <w:r w:rsidR="00432DD0" w:rsidRPr="004C5271">
        <w:rPr>
          <w:rFonts w:asciiTheme="majorBidi" w:hAnsiTheme="majorBidi" w:cstheme="majorBidi"/>
        </w:rPr>
        <w:t xml:space="preserve">in their </w:t>
      </w:r>
      <w:r w:rsidR="000C0A3F" w:rsidRPr="004C5271">
        <w:rPr>
          <w:rFonts w:asciiTheme="majorBidi" w:hAnsiTheme="majorBidi" w:cstheme="majorBidi"/>
        </w:rPr>
        <w:t>sixties</w:t>
      </w:r>
      <w:r w:rsidR="00432DD0" w:rsidRPr="004C5271">
        <w:rPr>
          <w:rFonts w:asciiTheme="majorBidi" w:hAnsiTheme="majorBidi" w:cstheme="majorBidi"/>
        </w:rPr>
        <w:t xml:space="preserve">. Both have children from previous relationships. </w:t>
      </w:r>
      <w:r w:rsidRPr="004C5271">
        <w:rPr>
          <w:rFonts w:asciiTheme="majorBidi" w:hAnsiTheme="majorBidi" w:cstheme="majorBidi"/>
        </w:rPr>
        <w:t>Lucinda</w:t>
      </w:r>
      <w:r w:rsidR="00432DD0" w:rsidRPr="004C5271">
        <w:rPr>
          <w:rFonts w:asciiTheme="majorBidi" w:hAnsiTheme="majorBidi" w:cstheme="majorBidi"/>
        </w:rPr>
        <w:t xml:space="preserve"> owns a </w:t>
      </w:r>
      <w:r w:rsidR="00BF07AB" w:rsidRPr="004C5271">
        <w:rPr>
          <w:rFonts w:asciiTheme="majorBidi" w:hAnsiTheme="majorBidi" w:cstheme="majorBidi"/>
        </w:rPr>
        <w:t>house</w:t>
      </w:r>
      <w:r w:rsidR="00432DD0" w:rsidRPr="004C5271">
        <w:rPr>
          <w:rFonts w:asciiTheme="majorBidi" w:hAnsiTheme="majorBidi" w:cstheme="majorBidi"/>
        </w:rPr>
        <w:t xml:space="preserve"> at Smithton in her sole name</w:t>
      </w:r>
      <w:r w:rsidR="00D86D7F" w:rsidRPr="004C5271">
        <w:rPr>
          <w:rFonts w:asciiTheme="majorBidi" w:hAnsiTheme="majorBidi" w:cstheme="majorBidi"/>
        </w:rPr>
        <w:t xml:space="preserve"> which </w:t>
      </w:r>
      <w:r w:rsidR="000B5D1D" w:rsidRPr="004C5271">
        <w:rPr>
          <w:rFonts w:asciiTheme="majorBidi" w:hAnsiTheme="majorBidi" w:cstheme="majorBidi"/>
        </w:rPr>
        <w:t xml:space="preserve">she received </w:t>
      </w:r>
      <w:r w:rsidR="00D86D7F" w:rsidRPr="004C5271">
        <w:rPr>
          <w:rFonts w:asciiTheme="majorBidi" w:hAnsiTheme="majorBidi" w:cstheme="majorBidi"/>
        </w:rPr>
        <w:t>from her late husband’s estate</w:t>
      </w:r>
      <w:r w:rsidR="000B5D1D" w:rsidRPr="004C5271">
        <w:rPr>
          <w:rFonts w:asciiTheme="majorBidi" w:hAnsiTheme="majorBidi" w:cstheme="majorBidi"/>
        </w:rPr>
        <w:t>.</w:t>
      </w:r>
    </w:p>
    <w:p w14:paraId="0EFB67D0" w14:textId="5F9C5D39" w:rsidR="00A12FC1" w:rsidRPr="004C5271" w:rsidRDefault="00DD2695" w:rsidP="00A20893">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Lucinda</w:t>
      </w:r>
      <w:r w:rsidR="000B5D1D" w:rsidRPr="004C5271">
        <w:rPr>
          <w:rFonts w:asciiTheme="majorBidi" w:hAnsiTheme="majorBidi" w:cstheme="majorBidi"/>
        </w:rPr>
        <w:t xml:space="preserve"> wants to make a will that leaves the property to </w:t>
      </w:r>
      <w:r w:rsidRPr="004C5271">
        <w:rPr>
          <w:rFonts w:asciiTheme="majorBidi" w:hAnsiTheme="majorBidi" w:cstheme="majorBidi"/>
        </w:rPr>
        <w:t>Gary</w:t>
      </w:r>
      <w:r w:rsidR="000B5D1D" w:rsidRPr="004C5271">
        <w:rPr>
          <w:rFonts w:asciiTheme="majorBidi" w:hAnsiTheme="majorBidi" w:cstheme="majorBidi"/>
        </w:rPr>
        <w:t>.</w:t>
      </w:r>
      <w:r w:rsidR="00B53F0A" w:rsidRPr="004C5271">
        <w:rPr>
          <w:rFonts w:asciiTheme="majorBidi" w:hAnsiTheme="majorBidi" w:cstheme="majorBidi"/>
        </w:rPr>
        <w:t xml:space="preserve"> </w:t>
      </w:r>
    </w:p>
    <w:p w14:paraId="54F011AF" w14:textId="747C4112" w:rsidR="000B5D1D" w:rsidRPr="004C5271" w:rsidRDefault="00DD2695" w:rsidP="00A20893">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Lucinda</w:t>
      </w:r>
      <w:r w:rsidR="00D86D7F" w:rsidRPr="004C5271">
        <w:rPr>
          <w:rFonts w:asciiTheme="majorBidi" w:hAnsiTheme="majorBidi" w:cstheme="majorBidi"/>
        </w:rPr>
        <w:t xml:space="preserve"> </w:t>
      </w:r>
      <w:r w:rsidR="00B53F0A" w:rsidRPr="004C5271">
        <w:rPr>
          <w:rFonts w:asciiTheme="majorBidi" w:hAnsiTheme="majorBidi" w:cstheme="majorBidi"/>
        </w:rPr>
        <w:t xml:space="preserve">learns that her children will be able to challenge a gift of the </w:t>
      </w:r>
      <w:r w:rsidR="007033BB" w:rsidRPr="004C5271">
        <w:rPr>
          <w:rFonts w:asciiTheme="majorBidi" w:hAnsiTheme="majorBidi" w:cstheme="majorBidi"/>
        </w:rPr>
        <w:t>house</w:t>
      </w:r>
      <w:r w:rsidR="00B53F0A" w:rsidRPr="004C5271">
        <w:rPr>
          <w:rFonts w:asciiTheme="majorBidi" w:hAnsiTheme="majorBidi" w:cstheme="majorBidi"/>
        </w:rPr>
        <w:t xml:space="preserve"> to </w:t>
      </w:r>
      <w:r w:rsidRPr="004C5271">
        <w:rPr>
          <w:rFonts w:asciiTheme="majorBidi" w:hAnsiTheme="majorBidi" w:cstheme="majorBidi"/>
        </w:rPr>
        <w:t xml:space="preserve">Gary </w:t>
      </w:r>
      <w:r w:rsidR="00EC56A4" w:rsidRPr="004C5271">
        <w:rPr>
          <w:rFonts w:asciiTheme="majorBidi" w:hAnsiTheme="majorBidi" w:cstheme="majorBidi"/>
        </w:rPr>
        <w:t xml:space="preserve">in </w:t>
      </w:r>
      <w:r w:rsidR="00B53F0A" w:rsidRPr="004C5271">
        <w:rPr>
          <w:rFonts w:asciiTheme="majorBidi" w:hAnsiTheme="majorBidi" w:cstheme="majorBidi"/>
        </w:rPr>
        <w:t xml:space="preserve">her will. She also learns that, if the property </w:t>
      </w:r>
      <w:r w:rsidR="00D86D7F" w:rsidRPr="004C5271">
        <w:rPr>
          <w:rFonts w:asciiTheme="majorBidi" w:hAnsiTheme="majorBidi" w:cstheme="majorBidi"/>
        </w:rPr>
        <w:t>was</w:t>
      </w:r>
      <w:r w:rsidR="00B53F0A" w:rsidRPr="004C5271">
        <w:rPr>
          <w:rFonts w:asciiTheme="majorBidi" w:hAnsiTheme="majorBidi" w:cstheme="majorBidi"/>
        </w:rPr>
        <w:t xml:space="preserve"> held by </w:t>
      </w:r>
      <w:r w:rsidR="007033BB" w:rsidRPr="004C5271">
        <w:rPr>
          <w:rFonts w:asciiTheme="majorBidi" w:hAnsiTheme="majorBidi" w:cstheme="majorBidi"/>
        </w:rPr>
        <w:t xml:space="preserve">them </w:t>
      </w:r>
      <w:r w:rsidR="00B53F0A" w:rsidRPr="004C5271">
        <w:rPr>
          <w:rFonts w:asciiTheme="majorBidi" w:hAnsiTheme="majorBidi" w:cstheme="majorBidi"/>
        </w:rPr>
        <w:t xml:space="preserve">as joint tenants, </w:t>
      </w:r>
      <w:r w:rsidRPr="004C5271">
        <w:rPr>
          <w:rFonts w:asciiTheme="majorBidi" w:hAnsiTheme="majorBidi" w:cstheme="majorBidi"/>
        </w:rPr>
        <w:t xml:space="preserve">Gary </w:t>
      </w:r>
      <w:r w:rsidR="00B53F0A" w:rsidRPr="004C5271">
        <w:rPr>
          <w:rFonts w:asciiTheme="majorBidi" w:hAnsiTheme="majorBidi" w:cstheme="majorBidi"/>
        </w:rPr>
        <w:t xml:space="preserve">will automatically receive </w:t>
      </w:r>
      <w:r w:rsidR="007033BB" w:rsidRPr="004C5271">
        <w:rPr>
          <w:rFonts w:asciiTheme="majorBidi" w:hAnsiTheme="majorBidi" w:cstheme="majorBidi"/>
        </w:rPr>
        <w:t>it</w:t>
      </w:r>
      <w:r w:rsidR="00B53F0A" w:rsidRPr="004C5271">
        <w:rPr>
          <w:rFonts w:asciiTheme="majorBidi" w:hAnsiTheme="majorBidi" w:cstheme="majorBidi"/>
        </w:rPr>
        <w:t xml:space="preserve"> and it will not form part of </w:t>
      </w:r>
      <w:r w:rsidRPr="004C5271">
        <w:rPr>
          <w:rFonts w:asciiTheme="majorBidi" w:hAnsiTheme="majorBidi" w:cstheme="majorBidi"/>
        </w:rPr>
        <w:t xml:space="preserve">Lucinda’s </w:t>
      </w:r>
      <w:r w:rsidR="00B53F0A" w:rsidRPr="004C5271">
        <w:rPr>
          <w:rFonts w:asciiTheme="majorBidi" w:hAnsiTheme="majorBidi" w:cstheme="majorBidi"/>
        </w:rPr>
        <w:t>estate</w:t>
      </w:r>
      <w:r w:rsidR="00265FFB" w:rsidRPr="004C5271">
        <w:rPr>
          <w:rFonts w:asciiTheme="majorBidi" w:hAnsiTheme="majorBidi" w:cstheme="majorBidi"/>
        </w:rPr>
        <w:t xml:space="preserve"> and</w:t>
      </w:r>
      <w:r w:rsidR="00B53F0A" w:rsidRPr="004C5271">
        <w:rPr>
          <w:rFonts w:asciiTheme="majorBidi" w:hAnsiTheme="majorBidi" w:cstheme="majorBidi"/>
        </w:rPr>
        <w:t xml:space="preserve"> </w:t>
      </w:r>
      <w:r w:rsidR="009F7CC6" w:rsidRPr="004C5271">
        <w:rPr>
          <w:rFonts w:asciiTheme="majorBidi" w:hAnsiTheme="majorBidi" w:cstheme="majorBidi"/>
        </w:rPr>
        <w:t xml:space="preserve">be </w:t>
      </w:r>
      <w:r w:rsidR="00B53F0A" w:rsidRPr="004C5271">
        <w:rPr>
          <w:rFonts w:asciiTheme="majorBidi" w:hAnsiTheme="majorBidi" w:cstheme="majorBidi"/>
        </w:rPr>
        <w:t xml:space="preserve">able to be challenged. She therefore decides to transfer the </w:t>
      </w:r>
      <w:r w:rsidR="007033BB" w:rsidRPr="004C5271">
        <w:rPr>
          <w:rFonts w:asciiTheme="majorBidi" w:hAnsiTheme="majorBidi" w:cstheme="majorBidi"/>
        </w:rPr>
        <w:t>house</w:t>
      </w:r>
      <w:r w:rsidR="00B53F0A" w:rsidRPr="004C5271">
        <w:rPr>
          <w:rFonts w:asciiTheme="majorBidi" w:hAnsiTheme="majorBidi" w:cstheme="majorBidi"/>
        </w:rPr>
        <w:t xml:space="preserve"> </w:t>
      </w:r>
      <w:r w:rsidR="00D86D7F" w:rsidRPr="004C5271">
        <w:rPr>
          <w:rFonts w:asciiTheme="majorBidi" w:hAnsiTheme="majorBidi" w:cstheme="majorBidi"/>
        </w:rPr>
        <w:t xml:space="preserve">so that she and </w:t>
      </w:r>
      <w:r w:rsidRPr="004C5271">
        <w:rPr>
          <w:rFonts w:asciiTheme="majorBidi" w:hAnsiTheme="majorBidi" w:cstheme="majorBidi"/>
        </w:rPr>
        <w:t xml:space="preserve">Gary </w:t>
      </w:r>
      <w:r w:rsidR="00D86D7F" w:rsidRPr="004C5271">
        <w:rPr>
          <w:rFonts w:asciiTheme="majorBidi" w:hAnsiTheme="majorBidi" w:cstheme="majorBidi"/>
        </w:rPr>
        <w:t xml:space="preserve">own </w:t>
      </w:r>
      <w:r w:rsidR="007033BB" w:rsidRPr="004C5271">
        <w:rPr>
          <w:rFonts w:asciiTheme="majorBidi" w:hAnsiTheme="majorBidi" w:cstheme="majorBidi"/>
        </w:rPr>
        <w:t>it</w:t>
      </w:r>
      <w:r w:rsidR="00D86D7F" w:rsidRPr="004C5271">
        <w:rPr>
          <w:rFonts w:asciiTheme="majorBidi" w:hAnsiTheme="majorBidi" w:cstheme="majorBidi"/>
        </w:rPr>
        <w:t xml:space="preserve"> as joint tenants.</w:t>
      </w:r>
    </w:p>
    <w:p w14:paraId="1A6C4632" w14:textId="0F5B761D" w:rsidR="00D86D7F" w:rsidRPr="004C5271" w:rsidRDefault="00D86D7F" w:rsidP="009220C6">
      <w:pPr>
        <w:pStyle w:val="QuoteTLRI"/>
        <w:pBdr>
          <w:top w:val="single" w:sz="4" w:space="1" w:color="auto"/>
          <w:left w:val="single" w:sz="4" w:space="1" w:color="auto"/>
          <w:bottom w:val="single" w:sz="4" w:space="1" w:color="auto"/>
          <w:right w:val="single" w:sz="4" w:space="1" w:color="auto"/>
        </w:pBdr>
        <w:ind w:left="737" w:right="907"/>
        <w:rPr>
          <w:rFonts w:asciiTheme="majorBidi" w:hAnsiTheme="majorBidi" w:cstheme="majorBidi"/>
        </w:rPr>
      </w:pPr>
      <w:r w:rsidRPr="004C5271">
        <w:rPr>
          <w:rFonts w:asciiTheme="majorBidi" w:hAnsiTheme="majorBidi" w:cstheme="majorBidi"/>
        </w:rPr>
        <w:t xml:space="preserve">On her death, </w:t>
      </w:r>
      <w:r w:rsidR="00DD2695" w:rsidRPr="004C5271">
        <w:rPr>
          <w:rFonts w:asciiTheme="majorBidi" w:hAnsiTheme="majorBidi" w:cstheme="majorBidi"/>
        </w:rPr>
        <w:t xml:space="preserve">Lucinda’s </w:t>
      </w:r>
      <w:r w:rsidRPr="004C5271">
        <w:rPr>
          <w:rFonts w:asciiTheme="majorBidi" w:hAnsiTheme="majorBidi" w:cstheme="majorBidi"/>
        </w:rPr>
        <w:t xml:space="preserve">children are unable to claim any share of the </w:t>
      </w:r>
      <w:r w:rsidR="007033BB" w:rsidRPr="004C5271">
        <w:rPr>
          <w:rFonts w:asciiTheme="majorBidi" w:hAnsiTheme="majorBidi" w:cstheme="majorBidi"/>
        </w:rPr>
        <w:t>house</w:t>
      </w:r>
      <w:r w:rsidR="005447D3" w:rsidRPr="004C5271">
        <w:rPr>
          <w:rFonts w:asciiTheme="majorBidi" w:hAnsiTheme="majorBidi" w:cstheme="majorBidi"/>
        </w:rPr>
        <w:t xml:space="preserve"> under the </w:t>
      </w:r>
      <w:r w:rsidR="005447D3" w:rsidRPr="009220C6">
        <w:rPr>
          <w:rFonts w:asciiTheme="majorBidi" w:hAnsiTheme="majorBidi" w:cstheme="majorBidi"/>
          <w:i/>
          <w:iCs/>
        </w:rPr>
        <w:t>TFM Act</w:t>
      </w:r>
      <w:r w:rsidRPr="004C5271">
        <w:rPr>
          <w:rFonts w:asciiTheme="majorBidi" w:hAnsiTheme="majorBidi" w:cstheme="majorBidi"/>
        </w:rPr>
        <w:t xml:space="preserve"> as </w:t>
      </w:r>
      <w:r w:rsidR="00DD2695" w:rsidRPr="004C5271">
        <w:rPr>
          <w:rFonts w:asciiTheme="majorBidi" w:hAnsiTheme="majorBidi" w:cstheme="majorBidi"/>
        </w:rPr>
        <w:t xml:space="preserve">Gary </w:t>
      </w:r>
      <w:r w:rsidRPr="004C5271">
        <w:rPr>
          <w:rFonts w:asciiTheme="majorBidi" w:hAnsiTheme="majorBidi" w:cstheme="majorBidi"/>
        </w:rPr>
        <w:t>automatically receives the property as the surviving joint tenant.</w:t>
      </w:r>
    </w:p>
    <w:p w14:paraId="52D611B0" w14:textId="6122A2FD" w:rsidR="00942381" w:rsidRPr="004C5271" w:rsidRDefault="00942381" w:rsidP="00BB4749">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98324C" w:rsidRPr="004C5271">
        <w:rPr>
          <w:rFonts w:asciiTheme="majorBidi" w:hAnsiTheme="majorBidi" w:cstheme="majorBidi"/>
          <w:lang w:val="en-AU"/>
        </w:rPr>
        <w:t xml:space="preserve">High Court </w:t>
      </w:r>
      <w:r w:rsidRPr="004C5271">
        <w:rPr>
          <w:rFonts w:asciiTheme="majorBidi" w:hAnsiTheme="majorBidi" w:cstheme="majorBidi"/>
          <w:lang w:val="en-AU"/>
        </w:rPr>
        <w:t>case</w:t>
      </w:r>
      <w:r w:rsidR="00A27138" w:rsidRPr="004C5271">
        <w:rPr>
          <w:rFonts w:asciiTheme="majorBidi" w:hAnsiTheme="majorBidi" w:cstheme="majorBidi"/>
          <w:lang w:val="en-AU"/>
        </w:rPr>
        <w:t xml:space="preserve"> of</w:t>
      </w:r>
      <w:r w:rsidR="0098324C" w:rsidRPr="004C5271">
        <w:rPr>
          <w:rFonts w:asciiTheme="majorBidi" w:hAnsiTheme="majorBidi" w:cstheme="majorBidi"/>
          <w:lang w:val="en-AU"/>
        </w:rPr>
        <w:t xml:space="preserve"> </w:t>
      </w:r>
      <w:r w:rsidRPr="004C5271">
        <w:rPr>
          <w:rFonts w:asciiTheme="majorBidi" w:hAnsiTheme="majorBidi" w:cstheme="majorBidi"/>
          <w:i/>
          <w:lang w:val="en-AU"/>
        </w:rPr>
        <w:t>Calvert v Badenach</w:t>
      </w:r>
      <w:r w:rsidR="0098324C" w:rsidRPr="004C5271">
        <w:rPr>
          <w:rStyle w:val="FootnoteReference"/>
          <w:rFonts w:asciiTheme="majorBidi" w:hAnsiTheme="majorBidi" w:cstheme="majorBidi"/>
          <w:lang w:val="en-AU"/>
        </w:rPr>
        <w:footnoteReference w:id="54"/>
      </w:r>
      <w:r w:rsidR="00B20D96" w:rsidRPr="004C5271">
        <w:rPr>
          <w:rFonts w:asciiTheme="majorBidi" w:hAnsiTheme="majorBidi" w:cstheme="majorBidi"/>
          <w:lang w:val="en-AU"/>
        </w:rPr>
        <w:t xml:space="preserve"> </w:t>
      </w:r>
      <w:r w:rsidRPr="004C5271">
        <w:rPr>
          <w:rFonts w:asciiTheme="majorBidi" w:hAnsiTheme="majorBidi" w:cstheme="majorBidi"/>
          <w:lang w:val="en-AU"/>
        </w:rPr>
        <w:t xml:space="preserve">demonstrates this </w:t>
      </w:r>
      <w:r w:rsidR="008347B7" w:rsidRPr="004C5271">
        <w:rPr>
          <w:rFonts w:asciiTheme="majorBidi" w:hAnsiTheme="majorBidi" w:cstheme="majorBidi"/>
          <w:lang w:val="en-AU"/>
        </w:rPr>
        <w:t>issue</w:t>
      </w:r>
      <w:r w:rsidRPr="004C5271">
        <w:rPr>
          <w:rFonts w:asciiTheme="majorBidi" w:hAnsiTheme="majorBidi" w:cstheme="majorBidi"/>
          <w:lang w:val="en-AU"/>
        </w:rPr>
        <w:t xml:space="preserve">. In </w:t>
      </w:r>
      <w:r w:rsidR="00C71B62" w:rsidRPr="004C5271">
        <w:rPr>
          <w:rFonts w:asciiTheme="majorBidi" w:hAnsiTheme="majorBidi" w:cstheme="majorBidi"/>
          <w:iCs/>
          <w:lang w:val="en-AU"/>
        </w:rPr>
        <w:t>that case</w:t>
      </w:r>
      <w:r w:rsidRPr="004C5271">
        <w:rPr>
          <w:rFonts w:asciiTheme="majorBidi" w:hAnsiTheme="majorBidi" w:cstheme="majorBidi"/>
          <w:lang w:val="en-AU"/>
        </w:rPr>
        <w:t xml:space="preserve">, </w:t>
      </w:r>
      <w:r w:rsidR="00487811" w:rsidRPr="004C5271">
        <w:rPr>
          <w:rFonts w:asciiTheme="majorBidi" w:hAnsiTheme="majorBidi" w:cstheme="majorBidi"/>
          <w:lang w:val="en-AU"/>
        </w:rPr>
        <w:t>the Court considered</w:t>
      </w:r>
      <w:r w:rsidRPr="004C5271">
        <w:rPr>
          <w:rFonts w:asciiTheme="majorBidi" w:hAnsiTheme="majorBidi" w:cstheme="majorBidi"/>
          <w:lang w:val="en-AU"/>
        </w:rPr>
        <w:t xml:space="preserve"> whether a lawyer preparing a will was negligent for failing to advise his client about options to structure his estate in order to reduce the risk or impact of a </w:t>
      </w:r>
      <w:r w:rsidR="00B20D96" w:rsidRPr="004C5271">
        <w:rPr>
          <w:rFonts w:asciiTheme="majorBidi" w:hAnsiTheme="majorBidi" w:cstheme="majorBidi"/>
          <w:lang w:val="en-AU"/>
        </w:rPr>
        <w:t>family provision</w:t>
      </w:r>
      <w:r w:rsidRPr="004C5271">
        <w:rPr>
          <w:rFonts w:asciiTheme="majorBidi" w:hAnsiTheme="majorBidi" w:cstheme="majorBidi"/>
          <w:lang w:val="en-AU"/>
        </w:rPr>
        <w:t xml:space="preserve"> claim. </w:t>
      </w:r>
      <w:r w:rsidR="00265FFB" w:rsidRPr="004C5271">
        <w:rPr>
          <w:rFonts w:asciiTheme="majorBidi" w:hAnsiTheme="majorBidi" w:cstheme="majorBidi"/>
          <w:lang w:val="en-AU"/>
        </w:rPr>
        <w:t>At first instance,</w:t>
      </w:r>
      <w:r w:rsidR="002B66AE" w:rsidRPr="004C5271">
        <w:rPr>
          <w:rFonts w:asciiTheme="majorBidi" w:hAnsiTheme="majorBidi" w:cstheme="majorBidi"/>
          <w:lang w:val="en-AU"/>
        </w:rPr>
        <w:t xml:space="preserve"> Chief Justice</w:t>
      </w:r>
      <w:r w:rsidR="00265FFB" w:rsidRPr="004C5271">
        <w:rPr>
          <w:rFonts w:asciiTheme="majorBidi" w:hAnsiTheme="majorBidi" w:cstheme="majorBidi"/>
          <w:lang w:val="en-AU"/>
        </w:rPr>
        <w:t xml:space="preserve"> </w:t>
      </w:r>
      <w:r w:rsidRPr="004C5271">
        <w:rPr>
          <w:rFonts w:asciiTheme="majorBidi" w:hAnsiTheme="majorBidi" w:cstheme="majorBidi"/>
          <w:lang w:val="en-AU"/>
        </w:rPr>
        <w:t>Blow explained:</w:t>
      </w:r>
    </w:p>
    <w:p w14:paraId="79715E3B" w14:textId="14A7CE7A" w:rsidR="00942381" w:rsidRPr="004C5271" w:rsidRDefault="00942381" w:rsidP="00C47D98">
      <w:pPr>
        <w:pStyle w:val="QuoteTLRI"/>
        <w:rPr>
          <w:rFonts w:asciiTheme="majorBidi" w:eastAsia="Times New Roman" w:hAnsiTheme="majorBidi" w:cstheme="majorBidi"/>
        </w:rPr>
      </w:pPr>
      <w:r w:rsidRPr="004C5271">
        <w:rPr>
          <w:rFonts w:asciiTheme="majorBidi" w:hAnsiTheme="majorBidi" w:cstheme="majorBidi"/>
        </w:rPr>
        <w:t xml:space="preserve">The testator could have arranged his affairs during his lifetime so that the assets of the estate available to satisfy a claim under the </w:t>
      </w:r>
      <w:r w:rsidRPr="004C5271">
        <w:rPr>
          <w:rFonts w:asciiTheme="majorBidi" w:hAnsiTheme="majorBidi" w:cstheme="majorBidi"/>
          <w:szCs w:val="21"/>
        </w:rPr>
        <w:t>TFM Act</w:t>
      </w:r>
      <w:r w:rsidRPr="004C5271">
        <w:rPr>
          <w:rFonts w:asciiTheme="majorBidi" w:hAnsiTheme="majorBidi" w:cstheme="majorBidi"/>
        </w:rPr>
        <w:t xml:space="preserve"> were worth far less than $200,000.</w:t>
      </w:r>
      <w:r w:rsidR="007033BB" w:rsidRPr="004C5271">
        <w:rPr>
          <w:rStyle w:val="FootnoteReference"/>
          <w:rFonts w:asciiTheme="majorBidi" w:hAnsiTheme="majorBidi" w:cstheme="majorBidi"/>
        </w:rPr>
        <w:footnoteReference w:id="55"/>
      </w:r>
      <w:r w:rsidRPr="004C5271">
        <w:rPr>
          <w:rFonts w:asciiTheme="majorBidi" w:hAnsiTheme="majorBidi" w:cstheme="majorBidi"/>
        </w:rPr>
        <w:t xml:space="preserve"> His principal assets were his interests in two properties on the Tasman Peninsula. He </w:t>
      </w:r>
      <w:r w:rsidRPr="004C5271">
        <w:rPr>
          <w:rFonts w:asciiTheme="majorBidi" w:hAnsiTheme="majorBidi" w:cstheme="majorBidi"/>
        </w:rPr>
        <w:lastRenderedPageBreak/>
        <w:t xml:space="preserve">and the plaintiff owned each property as tenants in common in equal shares. If he had </w:t>
      </w:r>
      <w:proofErr w:type="gramStart"/>
      <w:r w:rsidRPr="004C5271">
        <w:rPr>
          <w:rFonts w:asciiTheme="majorBidi" w:hAnsiTheme="majorBidi" w:cstheme="majorBidi"/>
        </w:rPr>
        <w:t>made arrangements</w:t>
      </w:r>
      <w:proofErr w:type="gramEnd"/>
      <w:r w:rsidRPr="004C5271">
        <w:rPr>
          <w:rFonts w:asciiTheme="majorBidi" w:hAnsiTheme="majorBidi" w:cstheme="majorBidi"/>
        </w:rPr>
        <w:t xml:space="preserve"> for the plaintiff and himself to hold both properties as joint tenants then, when he predeceased the plaintiff, those properties would have ceased to form part of his estate. There are no </w:t>
      </w:r>
      <w:r w:rsidR="004E78C0" w:rsidRPr="004C5271">
        <w:rPr>
          <w:rFonts w:asciiTheme="majorBidi" w:hAnsiTheme="majorBidi" w:cstheme="majorBidi"/>
        </w:rPr>
        <w:t>‘</w:t>
      </w:r>
      <w:r w:rsidRPr="004C5271">
        <w:rPr>
          <w:rFonts w:asciiTheme="majorBidi" w:hAnsiTheme="majorBidi" w:cstheme="majorBidi"/>
        </w:rPr>
        <w:t>notional estate</w:t>
      </w:r>
      <w:r w:rsidR="004E78C0" w:rsidRPr="004C5271">
        <w:rPr>
          <w:rFonts w:asciiTheme="majorBidi" w:hAnsiTheme="majorBidi" w:cstheme="majorBidi"/>
        </w:rPr>
        <w:t>’</w:t>
      </w:r>
      <w:r w:rsidRPr="004C5271">
        <w:rPr>
          <w:rFonts w:asciiTheme="majorBidi" w:hAnsiTheme="majorBidi" w:cstheme="majorBidi"/>
        </w:rPr>
        <w:t xml:space="preserve"> provisions in the </w:t>
      </w:r>
      <w:r w:rsidRPr="004C5271">
        <w:rPr>
          <w:rFonts w:asciiTheme="majorBidi" w:hAnsiTheme="majorBidi" w:cstheme="majorBidi"/>
          <w:szCs w:val="21"/>
        </w:rPr>
        <w:t>TFM Act</w:t>
      </w:r>
      <w:r w:rsidRPr="004C5271">
        <w:rPr>
          <w:rFonts w:asciiTheme="majorBidi" w:hAnsiTheme="majorBidi" w:cstheme="majorBidi"/>
        </w:rPr>
        <w:t xml:space="preserve">. Similarly, he could have given or transferred other assets to the plaintiff before he died, placing them out of reach for the purposes of the </w:t>
      </w:r>
      <w:r w:rsidRPr="004C5271">
        <w:rPr>
          <w:rFonts w:asciiTheme="majorBidi" w:hAnsiTheme="majorBidi" w:cstheme="majorBidi"/>
          <w:szCs w:val="21"/>
        </w:rPr>
        <w:t>TFM Act</w:t>
      </w:r>
      <w:r w:rsidRPr="004C5271">
        <w:rPr>
          <w:rFonts w:asciiTheme="majorBidi" w:hAnsiTheme="majorBidi" w:cstheme="majorBidi"/>
        </w:rPr>
        <w:t>. He was terminally ill when he gave the solicitor instructions for his last will, and the solicitor knew that.</w:t>
      </w:r>
    </w:p>
    <w:p w14:paraId="0D3900B6" w14:textId="73D1D533" w:rsidR="00942381" w:rsidRPr="004C5271" w:rsidRDefault="00942381" w:rsidP="00C47D98">
      <w:pPr>
        <w:pStyle w:val="QuoteTLRI"/>
        <w:rPr>
          <w:rFonts w:asciiTheme="majorBidi" w:hAnsiTheme="majorBidi" w:cstheme="majorBidi"/>
        </w:rPr>
      </w:pPr>
      <w:r w:rsidRPr="004C5271">
        <w:rPr>
          <w:rFonts w:asciiTheme="majorBidi" w:hAnsiTheme="majorBidi" w:cstheme="majorBidi"/>
        </w:rPr>
        <w:t xml:space="preserve">The plaintiff contends that the solicitor and his firm were negligent in that they (a) failed to advise the testator of the risk of the daughter making a claim under the </w:t>
      </w:r>
      <w:r w:rsidRPr="004C5271">
        <w:rPr>
          <w:rFonts w:asciiTheme="majorBidi" w:hAnsiTheme="majorBidi" w:cstheme="majorBidi"/>
          <w:szCs w:val="21"/>
        </w:rPr>
        <w:t>TFM Act</w:t>
      </w:r>
      <w:r w:rsidRPr="004C5271">
        <w:rPr>
          <w:rFonts w:asciiTheme="majorBidi" w:hAnsiTheme="majorBidi" w:cstheme="majorBidi"/>
        </w:rPr>
        <w:t>, and (b) failed to advise him of the options available for him to arrange his affairs so as to reduce or extinguish his estate, so as to avoid or partly avoid any claim which could disturb his testamentary wishes.</w:t>
      </w:r>
      <w:r w:rsidRPr="004C5271">
        <w:rPr>
          <w:rStyle w:val="FootnoteReference"/>
          <w:rFonts w:asciiTheme="majorBidi" w:hAnsiTheme="majorBidi" w:cstheme="majorBidi"/>
        </w:rPr>
        <w:footnoteReference w:id="56"/>
      </w:r>
    </w:p>
    <w:p w14:paraId="5EDD0295" w14:textId="5C5E0F20" w:rsidR="00942381" w:rsidRPr="004C5271" w:rsidRDefault="00B20D96" w:rsidP="00E7434F">
      <w:pPr>
        <w:pStyle w:val="NormalNumberedTextTLRI"/>
        <w:rPr>
          <w:rFonts w:asciiTheme="majorBidi" w:hAnsiTheme="majorBidi" w:cstheme="majorBidi"/>
          <w:lang w:val="en-AU"/>
        </w:rPr>
      </w:pPr>
      <w:r w:rsidRPr="004C5271">
        <w:rPr>
          <w:rFonts w:asciiTheme="majorBidi" w:hAnsiTheme="majorBidi" w:cstheme="majorBidi"/>
          <w:lang w:val="en-AU"/>
        </w:rPr>
        <w:t xml:space="preserve">In summary, had </w:t>
      </w:r>
      <w:r w:rsidR="002B66AE" w:rsidRPr="004C5271">
        <w:rPr>
          <w:rFonts w:asciiTheme="majorBidi" w:hAnsiTheme="majorBidi" w:cstheme="majorBidi"/>
          <w:lang w:val="en-AU"/>
        </w:rPr>
        <w:t>the deceased</w:t>
      </w:r>
      <w:r w:rsidR="00942381" w:rsidRPr="004C5271">
        <w:rPr>
          <w:rFonts w:asciiTheme="majorBidi" w:hAnsiTheme="majorBidi" w:cstheme="majorBidi"/>
          <w:lang w:val="en-AU"/>
        </w:rPr>
        <w:t xml:space="preserve"> entered into arrangements to transfer ownership of properties to a joint tenancy ownership, </w:t>
      </w:r>
      <w:r w:rsidR="007033BB" w:rsidRPr="004C5271">
        <w:rPr>
          <w:rFonts w:asciiTheme="majorBidi" w:hAnsiTheme="majorBidi" w:cstheme="majorBidi"/>
          <w:lang w:val="en-AU"/>
        </w:rPr>
        <w:t>they</w:t>
      </w:r>
      <w:r w:rsidR="00942381" w:rsidRPr="004C5271">
        <w:rPr>
          <w:rFonts w:asciiTheme="majorBidi" w:hAnsiTheme="majorBidi" w:cstheme="majorBidi"/>
          <w:lang w:val="en-AU"/>
        </w:rPr>
        <w:t xml:space="preserve"> would have been unavailable to satisfy the ultimately successful claim for provision</w:t>
      </w:r>
      <w:r w:rsidR="007033BB" w:rsidRPr="004C5271">
        <w:rPr>
          <w:rFonts w:asciiTheme="majorBidi" w:hAnsiTheme="majorBidi" w:cstheme="majorBidi"/>
          <w:lang w:val="en-AU"/>
        </w:rPr>
        <w:t>.</w:t>
      </w:r>
      <w:r w:rsidR="002B66AE" w:rsidRPr="004C5271">
        <w:rPr>
          <w:rStyle w:val="FootnoteReference"/>
          <w:rFonts w:asciiTheme="majorBidi" w:hAnsiTheme="majorBidi" w:cstheme="majorBidi"/>
          <w:lang w:val="en-AU"/>
        </w:rPr>
        <w:footnoteReference w:id="57"/>
      </w:r>
    </w:p>
    <w:p w14:paraId="413415E1" w14:textId="0514388A" w:rsidR="00297B51" w:rsidRPr="004C5271" w:rsidRDefault="005A3CFF" w:rsidP="0042655C">
      <w:pPr>
        <w:pStyle w:val="NormalNumberedTextTLRI"/>
        <w:spacing w:before="120"/>
        <w:rPr>
          <w:rFonts w:asciiTheme="majorBidi" w:hAnsiTheme="majorBidi" w:cstheme="majorBidi"/>
          <w:lang w:val="en-AU"/>
        </w:rPr>
      </w:pPr>
      <w:r w:rsidRPr="004C5271">
        <w:rPr>
          <w:rFonts w:asciiTheme="majorBidi" w:hAnsiTheme="majorBidi" w:cstheme="majorBidi"/>
          <w:lang w:val="en-AU"/>
        </w:rPr>
        <w:t>Joint bank accounts have the same effect</w:t>
      </w:r>
      <w:r w:rsidR="00946860" w:rsidRPr="004C5271">
        <w:rPr>
          <w:rFonts w:asciiTheme="majorBidi" w:hAnsiTheme="majorBidi" w:cstheme="majorBidi"/>
          <w:lang w:val="en-AU"/>
        </w:rPr>
        <w:t xml:space="preserve"> as joint tenancy property</w:t>
      </w:r>
      <w:r w:rsidR="002B66AE" w:rsidRPr="004C5271">
        <w:rPr>
          <w:rFonts w:asciiTheme="majorBidi" w:hAnsiTheme="majorBidi" w:cstheme="majorBidi"/>
          <w:lang w:val="en-AU"/>
        </w:rPr>
        <w:t>.</w:t>
      </w:r>
    </w:p>
    <w:p w14:paraId="4DE4AB4A" w14:textId="77777777" w:rsidR="002E07BA" w:rsidRPr="004C5271" w:rsidRDefault="002E07BA" w:rsidP="002B66AE">
      <w:pPr>
        <w:pStyle w:val="NumberedHeadingTLRI"/>
        <w:rPr>
          <w:rFonts w:asciiTheme="majorBidi" w:hAnsiTheme="majorBidi" w:cstheme="majorBidi"/>
          <w:lang w:val="en-AU"/>
        </w:rPr>
      </w:pPr>
      <w:bookmarkStart w:id="44" w:name="_Toc12268939"/>
      <w:r w:rsidRPr="004C5271">
        <w:rPr>
          <w:rFonts w:asciiTheme="majorBidi" w:hAnsiTheme="majorBidi" w:cstheme="majorBidi"/>
          <w:lang w:val="en-AU"/>
        </w:rPr>
        <w:t>Superannuation</w:t>
      </w:r>
      <w:bookmarkEnd w:id="44"/>
    </w:p>
    <w:p w14:paraId="0E61139C" w14:textId="67F3814E" w:rsidR="002E07BA" w:rsidRPr="004C5271" w:rsidRDefault="002E07BA" w:rsidP="00FE5823">
      <w:pPr>
        <w:pStyle w:val="NormalNumberedTextTLRI"/>
        <w:rPr>
          <w:rFonts w:asciiTheme="majorBidi" w:hAnsiTheme="majorBidi" w:cstheme="majorBidi"/>
          <w:lang w:val="en-AU"/>
        </w:rPr>
      </w:pPr>
      <w:bookmarkStart w:id="45" w:name="_Ref13487614"/>
      <w:r w:rsidRPr="004C5271">
        <w:rPr>
          <w:rFonts w:asciiTheme="majorBidi" w:hAnsiTheme="majorBidi" w:cstheme="majorBidi"/>
          <w:lang w:val="en-AU"/>
        </w:rPr>
        <w:t>Superannuation can be a substantial</w:t>
      </w:r>
      <w:r w:rsidR="008C09C6" w:rsidRPr="004C5271">
        <w:rPr>
          <w:rFonts w:asciiTheme="majorBidi" w:hAnsiTheme="majorBidi" w:cstheme="majorBidi"/>
          <w:lang w:val="en-AU"/>
        </w:rPr>
        <w:t xml:space="preserve"> asset of a</w:t>
      </w:r>
      <w:r w:rsidR="003E5846" w:rsidRPr="004C5271">
        <w:rPr>
          <w:rFonts w:asciiTheme="majorBidi" w:hAnsiTheme="majorBidi" w:cstheme="majorBidi"/>
          <w:lang w:val="en-AU"/>
        </w:rPr>
        <w:t>n individual</w:t>
      </w:r>
      <w:r w:rsidR="008C09C6" w:rsidRPr="004C5271">
        <w:rPr>
          <w:rFonts w:asciiTheme="majorBidi" w:hAnsiTheme="majorBidi" w:cstheme="majorBidi"/>
          <w:lang w:val="en-AU"/>
        </w:rPr>
        <w:t xml:space="preserve">. </w:t>
      </w:r>
      <w:r w:rsidR="00D77FCA" w:rsidRPr="004C5271">
        <w:rPr>
          <w:rFonts w:asciiTheme="majorBidi" w:hAnsiTheme="majorBidi" w:cstheme="majorBidi"/>
          <w:lang w:val="en-AU"/>
        </w:rPr>
        <w:t xml:space="preserve">The Australian </w:t>
      </w:r>
      <w:r w:rsidR="00E71186" w:rsidRPr="004C5271">
        <w:rPr>
          <w:rFonts w:asciiTheme="majorBidi" w:hAnsiTheme="majorBidi" w:cstheme="majorBidi"/>
          <w:lang w:val="en-AU"/>
        </w:rPr>
        <w:t>Prudential Regulation Authority (</w:t>
      </w:r>
      <w:r w:rsidR="008E4D3F" w:rsidRPr="004C5271">
        <w:rPr>
          <w:rFonts w:asciiTheme="majorBidi" w:hAnsiTheme="majorBidi" w:cstheme="majorBidi"/>
          <w:lang w:val="en-AU"/>
        </w:rPr>
        <w:t>‘</w:t>
      </w:r>
      <w:r w:rsidR="00E71186" w:rsidRPr="004C5271">
        <w:rPr>
          <w:rFonts w:asciiTheme="majorBidi" w:hAnsiTheme="majorBidi" w:cstheme="majorBidi"/>
          <w:lang w:val="en-AU"/>
        </w:rPr>
        <w:t>APRA</w:t>
      </w:r>
      <w:r w:rsidR="008E4D3F" w:rsidRPr="004C5271">
        <w:rPr>
          <w:rFonts w:asciiTheme="majorBidi" w:hAnsiTheme="majorBidi" w:cstheme="majorBidi"/>
          <w:lang w:val="en-AU"/>
        </w:rPr>
        <w:t>’</w:t>
      </w:r>
      <w:r w:rsidR="00E71186" w:rsidRPr="004C5271">
        <w:rPr>
          <w:rFonts w:asciiTheme="majorBidi" w:hAnsiTheme="majorBidi" w:cstheme="majorBidi"/>
          <w:lang w:val="en-AU"/>
        </w:rPr>
        <w:t>)</w:t>
      </w:r>
      <w:r w:rsidR="008C09C6" w:rsidRPr="004C5271">
        <w:rPr>
          <w:rFonts w:asciiTheme="majorBidi" w:hAnsiTheme="majorBidi" w:cstheme="majorBidi"/>
          <w:lang w:val="en-AU"/>
        </w:rPr>
        <w:t xml:space="preserve"> </w:t>
      </w:r>
      <w:r w:rsidR="00EA39FD" w:rsidRPr="004C5271">
        <w:rPr>
          <w:rFonts w:asciiTheme="majorBidi" w:hAnsiTheme="majorBidi" w:cstheme="majorBidi"/>
          <w:lang w:val="en-AU"/>
        </w:rPr>
        <w:t xml:space="preserve">reports </w:t>
      </w:r>
      <w:r w:rsidR="008C09C6" w:rsidRPr="004C5271">
        <w:rPr>
          <w:rFonts w:asciiTheme="majorBidi" w:hAnsiTheme="majorBidi" w:cstheme="majorBidi"/>
          <w:lang w:val="en-AU"/>
        </w:rPr>
        <w:t xml:space="preserve">that there were </w:t>
      </w:r>
      <w:r w:rsidR="008C09C6" w:rsidRPr="004C5271">
        <w:rPr>
          <w:rFonts w:asciiTheme="majorBidi" w:hAnsiTheme="majorBidi" w:cstheme="majorBidi"/>
          <w:color w:val="333333"/>
          <w:lang w:val="en-AU"/>
        </w:rPr>
        <w:t>$2.</w:t>
      </w:r>
      <w:r w:rsidR="00E71186" w:rsidRPr="004C5271">
        <w:rPr>
          <w:rFonts w:asciiTheme="majorBidi" w:hAnsiTheme="majorBidi" w:cstheme="majorBidi"/>
          <w:color w:val="333333"/>
          <w:lang w:val="en-AU"/>
        </w:rPr>
        <w:t>7</w:t>
      </w:r>
      <w:r w:rsidR="0096389B" w:rsidRPr="004C5271">
        <w:rPr>
          <w:rFonts w:asciiTheme="majorBidi" w:hAnsiTheme="majorBidi" w:cstheme="majorBidi"/>
          <w:color w:val="333333"/>
          <w:lang w:val="en-AU"/>
        </w:rPr>
        <w:t xml:space="preserve"> </w:t>
      </w:r>
      <w:r w:rsidR="008C09C6" w:rsidRPr="004C5271">
        <w:rPr>
          <w:rFonts w:asciiTheme="majorBidi" w:hAnsiTheme="majorBidi" w:cstheme="majorBidi"/>
          <w:color w:val="333333"/>
          <w:lang w:val="en-AU"/>
        </w:rPr>
        <w:t xml:space="preserve">trillion </w:t>
      </w:r>
      <w:r w:rsidR="00F51E14" w:rsidRPr="004C5271">
        <w:rPr>
          <w:rFonts w:asciiTheme="majorBidi" w:hAnsiTheme="majorBidi" w:cstheme="majorBidi"/>
          <w:color w:val="333333"/>
          <w:lang w:val="en-AU"/>
        </w:rPr>
        <w:t xml:space="preserve">in </w:t>
      </w:r>
      <w:r w:rsidR="008C09C6" w:rsidRPr="004C5271">
        <w:rPr>
          <w:rFonts w:asciiTheme="majorBidi" w:hAnsiTheme="majorBidi" w:cstheme="majorBidi"/>
          <w:color w:val="333333"/>
          <w:lang w:val="en-AU"/>
        </w:rPr>
        <w:t xml:space="preserve">superannuation assets in Australia </w:t>
      </w:r>
      <w:r w:rsidR="00E71186" w:rsidRPr="004C5271">
        <w:rPr>
          <w:rFonts w:asciiTheme="majorBidi" w:hAnsiTheme="majorBidi" w:cstheme="majorBidi"/>
          <w:color w:val="333333"/>
          <w:lang w:val="en-AU"/>
        </w:rPr>
        <w:t>at 30 June 2018</w:t>
      </w:r>
      <w:r w:rsidR="008C09C6" w:rsidRPr="004C5271">
        <w:rPr>
          <w:rFonts w:asciiTheme="majorBidi" w:hAnsiTheme="majorBidi" w:cstheme="majorBidi"/>
          <w:color w:val="333333"/>
          <w:lang w:val="en-AU"/>
        </w:rPr>
        <w:t>.</w:t>
      </w:r>
      <w:r w:rsidR="008C09C6" w:rsidRPr="004C5271">
        <w:rPr>
          <w:rStyle w:val="FootnoteReference"/>
          <w:rFonts w:asciiTheme="majorBidi" w:hAnsiTheme="majorBidi" w:cstheme="majorBidi"/>
          <w:lang w:val="en-AU"/>
        </w:rPr>
        <w:footnoteReference w:id="58"/>
      </w:r>
      <w:r w:rsidR="008C09C6" w:rsidRPr="004C5271">
        <w:rPr>
          <w:rFonts w:asciiTheme="majorBidi" w:hAnsiTheme="majorBidi" w:cstheme="majorBidi"/>
          <w:color w:val="333333"/>
          <w:lang w:val="en-AU"/>
        </w:rPr>
        <w:t xml:space="preserve"> The average account balance </w:t>
      </w:r>
      <w:r w:rsidR="00E71186" w:rsidRPr="004C5271">
        <w:rPr>
          <w:rFonts w:asciiTheme="majorBidi" w:hAnsiTheme="majorBidi" w:cstheme="majorBidi"/>
          <w:color w:val="333333"/>
          <w:lang w:val="en-AU"/>
        </w:rPr>
        <w:t>was $69</w:t>
      </w:r>
      <w:r w:rsidR="000C0A3F" w:rsidRPr="004C5271">
        <w:rPr>
          <w:rFonts w:asciiTheme="majorBidi" w:hAnsiTheme="majorBidi" w:cstheme="majorBidi"/>
          <w:color w:val="333333"/>
          <w:lang w:val="en-AU"/>
        </w:rPr>
        <w:t>,</w:t>
      </w:r>
      <w:r w:rsidR="00E71186" w:rsidRPr="004C5271">
        <w:rPr>
          <w:rFonts w:asciiTheme="majorBidi" w:hAnsiTheme="majorBidi" w:cstheme="majorBidi"/>
          <w:color w:val="333333"/>
          <w:lang w:val="en-AU"/>
        </w:rPr>
        <w:t>807</w:t>
      </w:r>
      <w:r w:rsidR="008C09C6" w:rsidRPr="004C5271">
        <w:rPr>
          <w:rFonts w:asciiTheme="majorBidi" w:hAnsiTheme="majorBidi" w:cstheme="majorBidi"/>
          <w:color w:val="333333"/>
          <w:lang w:val="en-AU"/>
        </w:rPr>
        <w:t>.</w:t>
      </w:r>
      <w:r w:rsidR="008C09C6" w:rsidRPr="004C5271">
        <w:rPr>
          <w:rStyle w:val="FootnoteReference"/>
          <w:rFonts w:asciiTheme="majorBidi" w:hAnsiTheme="majorBidi" w:cstheme="majorBidi"/>
          <w:lang w:val="en-AU"/>
        </w:rPr>
        <w:footnoteReference w:id="59"/>
      </w:r>
      <w:r w:rsidR="008C09C6" w:rsidRPr="004C5271">
        <w:rPr>
          <w:rFonts w:asciiTheme="majorBidi" w:hAnsiTheme="majorBidi" w:cstheme="majorBidi"/>
          <w:color w:val="333333"/>
          <w:lang w:val="en-AU"/>
        </w:rPr>
        <w:t xml:space="preserve"> </w:t>
      </w:r>
      <w:r w:rsidR="000C3882" w:rsidRPr="004C5271">
        <w:rPr>
          <w:rFonts w:asciiTheme="majorBidi" w:hAnsiTheme="majorBidi" w:cstheme="majorBidi"/>
          <w:color w:val="333333"/>
          <w:lang w:val="en-AU"/>
        </w:rPr>
        <w:t>An individual may also hold life</w:t>
      </w:r>
      <w:r w:rsidR="008C09C6" w:rsidRPr="004C5271">
        <w:rPr>
          <w:rFonts w:asciiTheme="majorBidi" w:hAnsiTheme="majorBidi" w:cstheme="majorBidi"/>
          <w:color w:val="333333"/>
          <w:lang w:val="en-AU"/>
        </w:rPr>
        <w:t xml:space="preserve"> insurance within superannuation, </w:t>
      </w:r>
      <w:r w:rsidR="000C3882" w:rsidRPr="004C5271">
        <w:rPr>
          <w:rFonts w:asciiTheme="majorBidi" w:hAnsiTheme="majorBidi" w:cstheme="majorBidi"/>
          <w:color w:val="333333"/>
          <w:lang w:val="en-AU"/>
        </w:rPr>
        <w:t xml:space="preserve">with it being estimated that 13.5 million </w:t>
      </w:r>
      <w:r w:rsidR="000C3882" w:rsidRPr="004C5271">
        <w:rPr>
          <w:rFonts w:asciiTheme="majorBidi" w:hAnsiTheme="majorBidi" w:cstheme="majorBidi"/>
          <w:color w:val="333333"/>
          <w:lang w:val="en-AU"/>
        </w:rPr>
        <w:lastRenderedPageBreak/>
        <w:t>Australians have a life insurance policy within super,</w:t>
      </w:r>
      <w:r w:rsidR="000C3882" w:rsidRPr="004C5271">
        <w:rPr>
          <w:rStyle w:val="FootnoteReference"/>
          <w:rFonts w:asciiTheme="majorBidi" w:hAnsiTheme="majorBidi" w:cstheme="majorBidi"/>
          <w:lang w:val="en-AU"/>
        </w:rPr>
        <w:footnoteReference w:id="60"/>
      </w:r>
      <w:r w:rsidR="000C3882" w:rsidRPr="004C5271">
        <w:rPr>
          <w:rFonts w:asciiTheme="majorBidi" w:hAnsiTheme="majorBidi" w:cstheme="majorBidi"/>
          <w:color w:val="333333"/>
          <w:lang w:val="en-AU"/>
        </w:rPr>
        <w:t xml:space="preserve"> comprising more than 70 per cent of the life insurance</w:t>
      </w:r>
      <w:r w:rsidR="009F2435" w:rsidRPr="004C5271">
        <w:rPr>
          <w:rFonts w:asciiTheme="majorBidi" w:hAnsiTheme="majorBidi" w:cstheme="majorBidi"/>
          <w:color w:val="333333"/>
          <w:lang w:val="en-AU"/>
        </w:rPr>
        <w:t xml:space="preserve"> policies</w:t>
      </w:r>
      <w:r w:rsidR="000C3882" w:rsidRPr="004C5271">
        <w:rPr>
          <w:rFonts w:asciiTheme="majorBidi" w:hAnsiTheme="majorBidi" w:cstheme="majorBidi"/>
          <w:color w:val="333333"/>
          <w:lang w:val="en-AU"/>
        </w:rPr>
        <w:t xml:space="preserve"> in Australia.</w:t>
      </w:r>
      <w:r w:rsidR="000C3882" w:rsidRPr="004C5271">
        <w:rPr>
          <w:rStyle w:val="FootnoteReference"/>
          <w:rFonts w:asciiTheme="majorBidi" w:hAnsiTheme="majorBidi" w:cstheme="majorBidi"/>
          <w:lang w:val="en-AU"/>
        </w:rPr>
        <w:footnoteReference w:id="61"/>
      </w:r>
      <w:bookmarkEnd w:id="45"/>
    </w:p>
    <w:p w14:paraId="42203D2E" w14:textId="326DD1B5" w:rsidR="00F560F2" w:rsidRPr="004C5271" w:rsidRDefault="000C3882" w:rsidP="0080171F">
      <w:pPr>
        <w:pStyle w:val="NormalNumberedTextTLRI"/>
        <w:rPr>
          <w:rFonts w:asciiTheme="majorBidi" w:hAnsiTheme="majorBidi" w:cstheme="majorBidi"/>
          <w:lang w:val="en-AU"/>
        </w:rPr>
      </w:pPr>
      <w:r w:rsidRPr="004C5271">
        <w:rPr>
          <w:rFonts w:asciiTheme="majorBidi" w:hAnsiTheme="majorBidi" w:cstheme="majorBidi"/>
          <w:lang w:val="en-AU"/>
        </w:rPr>
        <w:t xml:space="preserve">The treatment of a person’s superannuation upon their death depends on several factors including the rules of </w:t>
      </w:r>
      <w:r w:rsidR="009F2435" w:rsidRPr="004C5271">
        <w:rPr>
          <w:rFonts w:asciiTheme="majorBidi" w:hAnsiTheme="majorBidi" w:cstheme="majorBidi"/>
          <w:lang w:val="en-AU"/>
        </w:rPr>
        <w:t>the</w:t>
      </w:r>
      <w:r w:rsidRPr="004C5271">
        <w:rPr>
          <w:rFonts w:asciiTheme="majorBidi" w:hAnsiTheme="majorBidi" w:cstheme="majorBidi"/>
          <w:lang w:val="en-AU"/>
        </w:rPr>
        <w:t xml:space="preserve"> fund </w:t>
      </w:r>
      <w:r w:rsidR="009F2435" w:rsidRPr="004C5271">
        <w:rPr>
          <w:rFonts w:asciiTheme="majorBidi" w:hAnsiTheme="majorBidi" w:cstheme="majorBidi"/>
          <w:lang w:val="en-AU"/>
        </w:rPr>
        <w:t xml:space="preserve">in which it is </w:t>
      </w:r>
      <w:proofErr w:type="gramStart"/>
      <w:r w:rsidR="0080171F" w:rsidRPr="004C5271">
        <w:rPr>
          <w:rFonts w:asciiTheme="majorBidi" w:hAnsiTheme="majorBidi" w:cstheme="majorBidi"/>
          <w:lang w:val="en-AU"/>
        </w:rPr>
        <w:t>held</w:t>
      </w:r>
      <w:proofErr w:type="gramEnd"/>
      <w:r w:rsidR="009F2435" w:rsidRPr="004C5271">
        <w:rPr>
          <w:rFonts w:asciiTheme="majorBidi" w:hAnsiTheme="majorBidi" w:cstheme="majorBidi"/>
          <w:lang w:val="en-AU"/>
        </w:rPr>
        <w:t xml:space="preserve"> </w:t>
      </w:r>
      <w:r w:rsidRPr="004C5271">
        <w:rPr>
          <w:rFonts w:asciiTheme="majorBidi" w:hAnsiTheme="majorBidi" w:cstheme="majorBidi"/>
          <w:lang w:val="en-AU"/>
        </w:rPr>
        <w:t xml:space="preserve">and any </w:t>
      </w:r>
      <w:r w:rsidR="00DA1A31" w:rsidRPr="004C5271">
        <w:rPr>
          <w:rFonts w:asciiTheme="majorBidi" w:hAnsiTheme="majorBidi" w:cstheme="majorBidi"/>
          <w:lang w:val="en-AU"/>
        </w:rPr>
        <w:t xml:space="preserve">binding </w:t>
      </w:r>
      <w:r w:rsidRPr="004C5271">
        <w:rPr>
          <w:rFonts w:asciiTheme="majorBidi" w:hAnsiTheme="majorBidi" w:cstheme="majorBidi"/>
          <w:lang w:val="en-AU"/>
        </w:rPr>
        <w:t>nominations made</w:t>
      </w:r>
      <w:r w:rsidR="00DA1A31" w:rsidRPr="004C5271">
        <w:rPr>
          <w:rFonts w:asciiTheme="majorBidi" w:hAnsiTheme="majorBidi" w:cstheme="majorBidi"/>
          <w:lang w:val="en-AU"/>
        </w:rPr>
        <w:t xml:space="preserve"> by the </w:t>
      </w:r>
      <w:r w:rsidR="00F560F2" w:rsidRPr="004C5271">
        <w:rPr>
          <w:rFonts w:asciiTheme="majorBidi" w:hAnsiTheme="majorBidi" w:cstheme="majorBidi"/>
          <w:lang w:val="en-AU"/>
        </w:rPr>
        <w:t>member</w:t>
      </w:r>
      <w:r w:rsidR="000402B0" w:rsidRPr="004C5271">
        <w:rPr>
          <w:rFonts w:asciiTheme="majorBidi" w:hAnsiTheme="majorBidi" w:cstheme="majorBidi"/>
          <w:lang w:val="en-AU"/>
        </w:rPr>
        <w:t xml:space="preserve"> effective upon their death</w:t>
      </w:r>
      <w:r w:rsidR="00017D86" w:rsidRPr="004C5271">
        <w:rPr>
          <w:rFonts w:asciiTheme="majorBidi" w:hAnsiTheme="majorBidi" w:cstheme="majorBidi"/>
          <w:lang w:val="en-AU"/>
        </w:rPr>
        <w:t xml:space="preserve">. Depending on these factors, a person’s superannuation death benefits may or may not form part of their estate. </w:t>
      </w:r>
      <w:r w:rsidR="00F21571" w:rsidRPr="004C5271">
        <w:rPr>
          <w:rFonts w:asciiTheme="majorBidi" w:hAnsiTheme="majorBidi" w:cstheme="majorBidi"/>
          <w:lang w:val="en-AU"/>
        </w:rPr>
        <w:t xml:space="preserve">It may not form part of </w:t>
      </w:r>
      <w:r w:rsidR="00F560F2" w:rsidRPr="004C5271">
        <w:rPr>
          <w:rFonts w:asciiTheme="majorBidi" w:hAnsiTheme="majorBidi" w:cstheme="majorBidi"/>
          <w:lang w:val="en-AU"/>
        </w:rPr>
        <w:t>a person’s</w:t>
      </w:r>
      <w:r w:rsidR="00F21571" w:rsidRPr="004C5271">
        <w:rPr>
          <w:rFonts w:asciiTheme="majorBidi" w:hAnsiTheme="majorBidi" w:cstheme="majorBidi"/>
          <w:lang w:val="en-AU"/>
        </w:rPr>
        <w:t xml:space="preserve"> estate if, for example, the</w:t>
      </w:r>
      <w:r w:rsidR="00F560F2" w:rsidRPr="004C5271">
        <w:rPr>
          <w:rFonts w:asciiTheme="majorBidi" w:hAnsiTheme="majorBidi" w:cstheme="majorBidi"/>
          <w:lang w:val="en-AU"/>
        </w:rPr>
        <w:t>y have made a valid and effective</w:t>
      </w:r>
      <w:r w:rsidR="00F560F2" w:rsidRPr="004C5271">
        <w:rPr>
          <w:rStyle w:val="FootnoteReference"/>
          <w:rFonts w:asciiTheme="majorBidi" w:hAnsiTheme="majorBidi" w:cstheme="majorBidi"/>
          <w:lang w:val="en-AU"/>
        </w:rPr>
        <w:footnoteReference w:id="62"/>
      </w:r>
      <w:r w:rsidR="00F560F2" w:rsidRPr="004C5271">
        <w:rPr>
          <w:rFonts w:asciiTheme="majorBidi" w:hAnsiTheme="majorBidi" w:cstheme="majorBidi"/>
          <w:lang w:val="en-AU"/>
        </w:rPr>
        <w:t xml:space="preserve"> binding death benefit nomination that directs </w:t>
      </w:r>
      <w:proofErr w:type="gramStart"/>
      <w:r w:rsidR="00F560F2" w:rsidRPr="004C5271">
        <w:rPr>
          <w:rFonts w:asciiTheme="majorBidi" w:hAnsiTheme="majorBidi" w:cstheme="majorBidi"/>
          <w:lang w:val="en-AU"/>
        </w:rPr>
        <w:t>all of</w:t>
      </w:r>
      <w:proofErr w:type="gramEnd"/>
      <w:r w:rsidR="00F560F2" w:rsidRPr="004C5271">
        <w:rPr>
          <w:rFonts w:asciiTheme="majorBidi" w:hAnsiTheme="majorBidi" w:cstheme="majorBidi"/>
          <w:lang w:val="en-AU"/>
        </w:rPr>
        <w:t xml:space="preserve"> their death benefits to a beneficiary, for example to a spouse or other dependant.</w:t>
      </w:r>
    </w:p>
    <w:p w14:paraId="3AE07964" w14:textId="3AE7CD8B" w:rsidR="008C09C6" w:rsidRPr="004C5271" w:rsidRDefault="00017D86" w:rsidP="000C0A3F">
      <w:pPr>
        <w:pStyle w:val="NormalNumberedTextTLRI"/>
        <w:rPr>
          <w:rFonts w:asciiTheme="majorBidi" w:hAnsiTheme="majorBidi" w:cstheme="majorBidi"/>
          <w:lang w:val="en-AU"/>
        </w:rPr>
      </w:pPr>
      <w:r w:rsidRPr="004C5271">
        <w:rPr>
          <w:rFonts w:asciiTheme="majorBidi" w:hAnsiTheme="majorBidi" w:cstheme="majorBidi"/>
          <w:lang w:val="en-AU"/>
        </w:rPr>
        <w:t xml:space="preserve">Death benefits </w:t>
      </w:r>
      <w:r w:rsidR="009F2435" w:rsidRPr="004C5271">
        <w:rPr>
          <w:rFonts w:asciiTheme="majorBidi" w:hAnsiTheme="majorBidi" w:cstheme="majorBidi"/>
          <w:lang w:val="en-AU"/>
        </w:rPr>
        <w:t xml:space="preserve">that a fund pay </w:t>
      </w:r>
      <w:r w:rsidRPr="004C5271">
        <w:rPr>
          <w:rFonts w:asciiTheme="majorBidi" w:hAnsiTheme="majorBidi" w:cstheme="majorBidi"/>
          <w:lang w:val="en-AU"/>
        </w:rPr>
        <w:t>directly to beneficiar</w:t>
      </w:r>
      <w:r w:rsidR="002B66AE" w:rsidRPr="004C5271">
        <w:rPr>
          <w:rFonts w:asciiTheme="majorBidi" w:hAnsiTheme="majorBidi" w:cstheme="majorBidi"/>
          <w:lang w:val="en-AU"/>
        </w:rPr>
        <w:t>ies</w:t>
      </w:r>
      <w:r w:rsidRPr="004C5271">
        <w:rPr>
          <w:rFonts w:asciiTheme="majorBidi" w:hAnsiTheme="majorBidi" w:cstheme="majorBidi"/>
          <w:lang w:val="en-AU"/>
        </w:rPr>
        <w:t xml:space="preserve"> fall outside of the purview of a claim </w:t>
      </w:r>
      <w:r w:rsidR="00DD2695" w:rsidRPr="004C5271">
        <w:rPr>
          <w:rFonts w:asciiTheme="majorBidi" w:hAnsiTheme="majorBidi" w:cstheme="majorBidi"/>
          <w:lang w:val="en-AU"/>
        </w:rPr>
        <w:t>under</w:t>
      </w:r>
      <w:r w:rsidRPr="004C5271">
        <w:rPr>
          <w:rFonts w:asciiTheme="majorBidi" w:hAnsiTheme="majorBidi" w:cstheme="majorBidi"/>
          <w:lang w:val="en-AU"/>
        </w:rPr>
        <w:t xml:space="preserve"> the </w:t>
      </w:r>
      <w:r w:rsidR="0072000B" w:rsidRPr="004C5271">
        <w:rPr>
          <w:rFonts w:asciiTheme="majorBidi" w:hAnsiTheme="majorBidi" w:cstheme="majorBidi"/>
          <w:i/>
          <w:lang w:val="en-AU"/>
        </w:rPr>
        <w:t xml:space="preserve">TFM </w:t>
      </w:r>
      <w:r w:rsidRPr="004C5271">
        <w:rPr>
          <w:rFonts w:asciiTheme="majorBidi" w:hAnsiTheme="majorBidi" w:cstheme="majorBidi"/>
          <w:i/>
          <w:lang w:val="en-AU"/>
        </w:rPr>
        <w:t>Act</w:t>
      </w:r>
      <w:r w:rsidRPr="004C5271">
        <w:rPr>
          <w:rFonts w:asciiTheme="majorBidi" w:hAnsiTheme="majorBidi" w:cstheme="majorBidi"/>
          <w:lang w:val="en-AU"/>
        </w:rPr>
        <w:t xml:space="preserve">. It is only death benefits that are paid to a deceased’s legal personal representative that become available </w:t>
      </w:r>
      <w:r w:rsidR="008757D1" w:rsidRPr="004C5271">
        <w:rPr>
          <w:rFonts w:asciiTheme="majorBidi" w:hAnsiTheme="majorBidi" w:cstheme="majorBidi"/>
          <w:lang w:val="en-AU"/>
        </w:rPr>
        <w:t>for use to fund successful claim</w:t>
      </w:r>
      <w:r w:rsidR="008347B7" w:rsidRPr="004C5271">
        <w:rPr>
          <w:rFonts w:asciiTheme="majorBidi" w:hAnsiTheme="majorBidi" w:cstheme="majorBidi"/>
          <w:lang w:val="en-AU"/>
        </w:rPr>
        <w:t>s</w:t>
      </w:r>
      <w:r w:rsidRPr="004C5271">
        <w:rPr>
          <w:rFonts w:asciiTheme="majorBidi" w:hAnsiTheme="majorBidi" w:cstheme="majorBidi"/>
          <w:lang w:val="en-AU"/>
        </w:rPr>
        <w:t>.</w:t>
      </w:r>
    </w:p>
    <w:p w14:paraId="299A24D5" w14:textId="7852C6D9" w:rsidR="008757D1" w:rsidRPr="004C5271" w:rsidRDefault="008757D1" w:rsidP="000C0A3F">
      <w:pPr>
        <w:pStyle w:val="NormalNumberedTextTLRI"/>
        <w:rPr>
          <w:rFonts w:asciiTheme="majorBidi" w:hAnsiTheme="majorBidi" w:cstheme="majorBidi"/>
          <w:lang w:val="en-AU"/>
        </w:rPr>
      </w:pPr>
      <w:r w:rsidRPr="004C5271">
        <w:rPr>
          <w:rFonts w:asciiTheme="majorBidi" w:hAnsiTheme="majorBidi" w:cstheme="majorBidi"/>
          <w:lang w:val="en-AU"/>
        </w:rPr>
        <w:t xml:space="preserve">The Issues Paper gave the following </w:t>
      </w:r>
      <w:r w:rsidR="009F7CC6" w:rsidRPr="004C5271">
        <w:rPr>
          <w:rFonts w:asciiTheme="majorBidi" w:hAnsiTheme="majorBidi" w:cstheme="majorBidi"/>
          <w:lang w:val="en-AU"/>
        </w:rPr>
        <w:t xml:space="preserve">illustrative </w:t>
      </w:r>
      <w:r w:rsidRPr="004C5271">
        <w:rPr>
          <w:rFonts w:asciiTheme="majorBidi" w:hAnsiTheme="majorBidi" w:cstheme="majorBidi"/>
          <w:lang w:val="en-AU"/>
        </w:rPr>
        <w:t xml:space="preserve">example: </w:t>
      </w:r>
    </w:p>
    <w:p w14:paraId="745C62CF" w14:textId="4E6ED3A8" w:rsidR="00D86D7F" w:rsidRPr="004C5271" w:rsidRDefault="00D86D7F" w:rsidP="00040B01">
      <w:pPr>
        <w:pStyle w:val="QuoteTLRI"/>
        <w:keepNext/>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b/>
        </w:rPr>
      </w:pPr>
      <w:r w:rsidRPr="004C5271">
        <w:rPr>
          <w:rFonts w:asciiTheme="majorBidi" w:hAnsiTheme="majorBidi" w:cstheme="majorBidi"/>
          <w:b/>
        </w:rPr>
        <w:t>Example:</w:t>
      </w:r>
    </w:p>
    <w:p w14:paraId="0CBAB72A" w14:textId="20E87D8E" w:rsidR="00D86D7F" w:rsidRPr="004C5271" w:rsidRDefault="00DD2695" w:rsidP="00040B01">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Barry</w:t>
      </w:r>
      <w:r w:rsidR="00D86D7F" w:rsidRPr="004C5271">
        <w:rPr>
          <w:rFonts w:asciiTheme="majorBidi" w:hAnsiTheme="majorBidi" w:cstheme="majorBidi"/>
        </w:rPr>
        <w:t xml:space="preserve"> has superannuation with </w:t>
      </w:r>
      <w:r w:rsidR="000C0A3F" w:rsidRPr="004C5271">
        <w:rPr>
          <w:rFonts w:asciiTheme="majorBidi" w:hAnsiTheme="majorBidi" w:cstheme="majorBidi"/>
        </w:rPr>
        <w:t xml:space="preserve">the </w:t>
      </w:r>
      <w:r w:rsidR="00D86D7F" w:rsidRPr="004C5271">
        <w:rPr>
          <w:rFonts w:asciiTheme="majorBidi" w:hAnsiTheme="majorBidi" w:cstheme="majorBidi"/>
        </w:rPr>
        <w:t>ABC</w:t>
      </w:r>
      <w:r w:rsidR="000C0A3F" w:rsidRPr="004C5271">
        <w:rPr>
          <w:rFonts w:asciiTheme="majorBidi" w:hAnsiTheme="majorBidi" w:cstheme="majorBidi"/>
        </w:rPr>
        <w:t xml:space="preserve"> </w:t>
      </w:r>
      <w:r w:rsidR="00D86D7F" w:rsidRPr="004C5271">
        <w:rPr>
          <w:rFonts w:asciiTheme="majorBidi" w:hAnsiTheme="majorBidi" w:cstheme="majorBidi"/>
        </w:rPr>
        <w:t>Superannuation Fund with $450</w:t>
      </w:r>
      <w:r w:rsidR="000C0A3F" w:rsidRPr="004C5271">
        <w:rPr>
          <w:rFonts w:asciiTheme="majorBidi" w:hAnsiTheme="majorBidi" w:cstheme="majorBidi"/>
        </w:rPr>
        <w:t>,</w:t>
      </w:r>
      <w:r w:rsidR="00D86D7F" w:rsidRPr="004C5271">
        <w:rPr>
          <w:rFonts w:asciiTheme="majorBidi" w:hAnsiTheme="majorBidi" w:cstheme="majorBidi"/>
        </w:rPr>
        <w:t>000 in his member account. He wants his five children to receive his superannuation when he dies and does not want any of it to be claimed by his partner.</w:t>
      </w:r>
    </w:p>
    <w:p w14:paraId="4750547B" w14:textId="60E83A34" w:rsidR="00D86D7F" w:rsidRPr="004C5271" w:rsidRDefault="00DD2695" w:rsidP="00040B01">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Barry</w:t>
      </w:r>
      <w:r w:rsidR="00D86D7F" w:rsidRPr="004C5271">
        <w:rPr>
          <w:rFonts w:asciiTheme="majorBidi" w:hAnsiTheme="majorBidi" w:cstheme="majorBidi"/>
        </w:rPr>
        <w:t xml:space="preserve"> completes a binding death benefit nomination that directs </w:t>
      </w:r>
      <w:proofErr w:type="gramStart"/>
      <w:r w:rsidR="00D86D7F" w:rsidRPr="004C5271">
        <w:rPr>
          <w:rFonts w:asciiTheme="majorBidi" w:hAnsiTheme="majorBidi" w:cstheme="majorBidi"/>
        </w:rPr>
        <w:t>all of</w:t>
      </w:r>
      <w:proofErr w:type="gramEnd"/>
      <w:r w:rsidR="00D86D7F" w:rsidRPr="004C5271">
        <w:rPr>
          <w:rFonts w:asciiTheme="majorBidi" w:hAnsiTheme="majorBidi" w:cstheme="majorBidi"/>
        </w:rPr>
        <w:t xml:space="preserve"> his superannuation to his five children equal</w:t>
      </w:r>
      <w:r w:rsidR="009F2435" w:rsidRPr="004C5271">
        <w:rPr>
          <w:rFonts w:asciiTheme="majorBidi" w:hAnsiTheme="majorBidi" w:cstheme="majorBidi"/>
        </w:rPr>
        <w:t>ly</w:t>
      </w:r>
      <w:r w:rsidR="00D86D7F" w:rsidRPr="004C5271">
        <w:rPr>
          <w:rFonts w:asciiTheme="majorBidi" w:hAnsiTheme="majorBidi" w:cstheme="majorBidi"/>
        </w:rPr>
        <w:t xml:space="preserve">. The nomination means that, on his death, </w:t>
      </w:r>
      <w:r w:rsidRPr="004C5271">
        <w:rPr>
          <w:rFonts w:asciiTheme="majorBidi" w:hAnsiTheme="majorBidi" w:cstheme="majorBidi"/>
        </w:rPr>
        <w:t>Barry’s</w:t>
      </w:r>
      <w:r w:rsidR="00D86D7F" w:rsidRPr="004C5271">
        <w:rPr>
          <w:rFonts w:asciiTheme="majorBidi" w:hAnsiTheme="majorBidi" w:cstheme="majorBidi"/>
        </w:rPr>
        <w:t xml:space="preserve"> super must be paid to his children, which is what the fund ultimately does. His partner is unable to claim provision from any of the superannuation when making a </w:t>
      </w:r>
      <w:r w:rsidR="005447D3" w:rsidRPr="004C5271">
        <w:rPr>
          <w:rFonts w:asciiTheme="majorBidi" w:hAnsiTheme="majorBidi" w:cstheme="majorBidi"/>
        </w:rPr>
        <w:t xml:space="preserve">family provision </w:t>
      </w:r>
      <w:r w:rsidR="00D86D7F" w:rsidRPr="004C5271">
        <w:rPr>
          <w:rFonts w:asciiTheme="majorBidi" w:hAnsiTheme="majorBidi" w:cstheme="majorBidi"/>
        </w:rPr>
        <w:t xml:space="preserve">claim under the </w:t>
      </w:r>
      <w:r w:rsidR="00D7593E" w:rsidRPr="004C5271">
        <w:rPr>
          <w:rFonts w:asciiTheme="majorBidi" w:hAnsiTheme="majorBidi" w:cstheme="majorBidi"/>
          <w:i/>
        </w:rPr>
        <w:t xml:space="preserve">TFM </w:t>
      </w:r>
      <w:r w:rsidR="00D86D7F" w:rsidRPr="004C5271">
        <w:rPr>
          <w:rFonts w:asciiTheme="majorBidi" w:hAnsiTheme="majorBidi" w:cstheme="majorBidi"/>
          <w:i/>
        </w:rPr>
        <w:t>Act</w:t>
      </w:r>
      <w:r w:rsidR="00D86D7F" w:rsidRPr="004C5271">
        <w:rPr>
          <w:rFonts w:asciiTheme="majorBidi" w:hAnsiTheme="majorBidi" w:cstheme="majorBidi"/>
        </w:rPr>
        <w:t>.</w:t>
      </w:r>
    </w:p>
    <w:p w14:paraId="118A1D25" w14:textId="7A8CD267" w:rsidR="00F560F2" w:rsidRPr="004C5271" w:rsidRDefault="00F560F2" w:rsidP="002B66AE">
      <w:pPr>
        <w:pStyle w:val="NumberedHeadingTLRI"/>
        <w:rPr>
          <w:rFonts w:asciiTheme="majorBidi" w:hAnsiTheme="majorBidi" w:cstheme="majorBidi"/>
          <w:lang w:val="en-AU"/>
        </w:rPr>
      </w:pPr>
      <w:bookmarkStart w:id="46" w:name="_Toc12268940"/>
      <w:r w:rsidRPr="004C5271">
        <w:rPr>
          <w:rFonts w:asciiTheme="majorBidi" w:hAnsiTheme="majorBidi" w:cstheme="majorBidi"/>
          <w:lang w:val="en-AU"/>
        </w:rPr>
        <w:lastRenderedPageBreak/>
        <w:t>Proceeds of a life insurance policy</w:t>
      </w:r>
      <w:bookmarkEnd w:id="46"/>
    </w:p>
    <w:p w14:paraId="0770C1F1" w14:textId="642E9FDC" w:rsidR="00F560F2" w:rsidRPr="004C5271" w:rsidRDefault="002B66AE" w:rsidP="006828A9">
      <w:pPr>
        <w:pStyle w:val="NormalNumberedTextTLRI"/>
        <w:rPr>
          <w:rFonts w:asciiTheme="majorBidi" w:hAnsiTheme="majorBidi" w:cstheme="majorBidi"/>
          <w:lang w:val="en-AU"/>
        </w:rPr>
      </w:pPr>
      <w:r w:rsidRPr="004C5271">
        <w:rPr>
          <w:rFonts w:asciiTheme="majorBidi" w:hAnsiTheme="majorBidi" w:cstheme="majorBidi"/>
          <w:lang w:val="en-AU"/>
        </w:rPr>
        <w:t xml:space="preserve">The way that </w:t>
      </w:r>
      <w:r w:rsidR="00F560F2" w:rsidRPr="004C5271">
        <w:rPr>
          <w:rFonts w:asciiTheme="majorBidi" w:hAnsiTheme="majorBidi" w:cstheme="majorBidi"/>
          <w:lang w:val="en-AU"/>
        </w:rPr>
        <w:t xml:space="preserve">the proceeds of a life insurance policy </w:t>
      </w:r>
      <w:r w:rsidRPr="004C5271">
        <w:rPr>
          <w:rFonts w:asciiTheme="majorBidi" w:hAnsiTheme="majorBidi" w:cstheme="majorBidi"/>
          <w:lang w:val="en-AU"/>
        </w:rPr>
        <w:t xml:space="preserve">are treated </w:t>
      </w:r>
      <w:r w:rsidR="00F560F2" w:rsidRPr="004C5271">
        <w:rPr>
          <w:rFonts w:asciiTheme="majorBidi" w:hAnsiTheme="majorBidi" w:cstheme="majorBidi"/>
          <w:lang w:val="en-AU"/>
        </w:rPr>
        <w:t xml:space="preserve">is </w:t>
      </w:r>
      <w:proofErr w:type="gramStart"/>
      <w:r w:rsidR="00F560F2" w:rsidRPr="004C5271">
        <w:rPr>
          <w:rFonts w:asciiTheme="majorBidi" w:hAnsiTheme="majorBidi" w:cstheme="majorBidi"/>
          <w:lang w:val="en-AU"/>
        </w:rPr>
        <w:t>similar to</w:t>
      </w:r>
      <w:proofErr w:type="gramEnd"/>
      <w:r w:rsidR="00F560F2" w:rsidRPr="004C5271">
        <w:rPr>
          <w:rFonts w:asciiTheme="majorBidi" w:hAnsiTheme="majorBidi" w:cstheme="majorBidi"/>
          <w:lang w:val="en-AU"/>
        </w:rPr>
        <w:t xml:space="preserve"> the position in relation to superannuation. In </w:t>
      </w:r>
      <w:r w:rsidR="00DD2695" w:rsidRPr="004C5271">
        <w:rPr>
          <w:rFonts w:asciiTheme="majorBidi" w:hAnsiTheme="majorBidi" w:cstheme="majorBidi"/>
          <w:lang w:val="en-AU"/>
        </w:rPr>
        <w:t>summary</w:t>
      </w:r>
      <w:r w:rsidR="00F560F2" w:rsidRPr="004C5271">
        <w:rPr>
          <w:rFonts w:asciiTheme="majorBidi" w:hAnsiTheme="majorBidi" w:cstheme="majorBidi"/>
          <w:lang w:val="en-AU"/>
        </w:rPr>
        <w:t xml:space="preserve">, the </w:t>
      </w:r>
      <w:r w:rsidR="005E74C8" w:rsidRPr="004C5271">
        <w:rPr>
          <w:rFonts w:asciiTheme="majorBidi" w:hAnsiTheme="majorBidi" w:cstheme="majorBidi"/>
          <w:lang w:val="en-AU"/>
        </w:rPr>
        <w:t xml:space="preserve">proceeds of a life insurance policy are paid according to the details of the policy </w:t>
      </w:r>
      <w:r w:rsidR="006828A9" w:rsidRPr="004C5271">
        <w:rPr>
          <w:rFonts w:asciiTheme="majorBidi" w:hAnsiTheme="majorBidi" w:cstheme="majorBidi"/>
          <w:lang w:val="en-AU"/>
        </w:rPr>
        <w:t>—</w:t>
      </w:r>
      <w:r w:rsidR="005E74C8" w:rsidRPr="004C5271">
        <w:rPr>
          <w:rFonts w:asciiTheme="majorBidi" w:hAnsiTheme="majorBidi" w:cstheme="majorBidi"/>
          <w:lang w:val="en-AU"/>
        </w:rPr>
        <w:t xml:space="preserve"> who the account holder </w:t>
      </w:r>
      <w:proofErr w:type="gramStart"/>
      <w:r w:rsidR="006828A9" w:rsidRPr="004C5271">
        <w:rPr>
          <w:rFonts w:asciiTheme="majorBidi" w:hAnsiTheme="majorBidi" w:cstheme="majorBidi"/>
          <w:lang w:val="en-AU"/>
        </w:rPr>
        <w:t>is</w:t>
      </w:r>
      <w:proofErr w:type="gramEnd"/>
      <w:r w:rsidR="005E74C8" w:rsidRPr="004C5271">
        <w:rPr>
          <w:rFonts w:asciiTheme="majorBidi" w:hAnsiTheme="majorBidi" w:cstheme="majorBidi"/>
          <w:lang w:val="en-AU"/>
        </w:rPr>
        <w:t xml:space="preserve"> and any beneficiaries nominated.</w:t>
      </w:r>
    </w:p>
    <w:p w14:paraId="4C2A2395" w14:textId="03118DFC" w:rsidR="005E74C8" w:rsidRPr="004C5271" w:rsidRDefault="005E74C8" w:rsidP="006828A9">
      <w:pPr>
        <w:pStyle w:val="NormalNumberedTextTLRI"/>
        <w:rPr>
          <w:rFonts w:asciiTheme="majorBidi" w:hAnsiTheme="majorBidi" w:cstheme="majorBidi"/>
          <w:lang w:val="en-AU"/>
        </w:rPr>
      </w:pPr>
      <w:r w:rsidRPr="004C5271">
        <w:rPr>
          <w:rFonts w:asciiTheme="majorBidi" w:hAnsiTheme="majorBidi" w:cstheme="majorBidi"/>
          <w:lang w:val="en-AU"/>
        </w:rPr>
        <w:t xml:space="preserve">Proceeds of a life insurance policy paid to a person’s legal personal representative form part of their estate and are available for challenge under the </w:t>
      </w:r>
      <w:r w:rsidR="006758BF" w:rsidRPr="004C5271">
        <w:rPr>
          <w:rFonts w:asciiTheme="majorBidi" w:hAnsiTheme="majorBidi" w:cstheme="majorBidi"/>
          <w:i/>
          <w:lang w:val="en-AU"/>
        </w:rPr>
        <w:t xml:space="preserve">TFM </w:t>
      </w:r>
      <w:r w:rsidRPr="004C5271">
        <w:rPr>
          <w:rFonts w:asciiTheme="majorBidi" w:hAnsiTheme="majorBidi" w:cstheme="majorBidi"/>
          <w:i/>
          <w:lang w:val="en-AU"/>
        </w:rPr>
        <w:t>Act</w:t>
      </w:r>
      <w:r w:rsidRPr="004C5271">
        <w:rPr>
          <w:rFonts w:asciiTheme="majorBidi" w:hAnsiTheme="majorBidi" w:cstheme="majorBidi"/>
          <w:lang w:val="en-AU"/>
        </w:rPr>
        <w:t xml:space="preserve">. Proceeds of a life insurance policy that are paid directly to a nominated beneficiary fall outside of the person’s estate and are not available to satisfy successful </w:t>
      </w:r>
      <w:r w:rsidR="002B66AE" w:rsidRPr="004C5271">
        <w:rPr>
          <w:rFonts w:asciiTheme="majorBidi" w:hAnsiTheme="majorBidi" w:cstheme="majorBidi"/>
          <w:lang w:val="en-AU"/>
        </w:rPr>
        <w:t>family provision</w:t>
      </w:r>
      <w:r w:rsidRPr="004C5271">
        <w:rPr>
          <w:rFonts w:asciiTheme="majorBidi" w:hAnsiTheme="majorBidi" w:cstheme="majorBidi"/>
          <w:lang w:val="en-AU"/>
        </w:rPr>
        <w:t xml:space="preserve"> claims.</w:t>
      </w:r>
    </w:p>
    <w:p w14:paraId="1168098A" w14:textId="0AA2A7BF" w:rsidR="008757D1" w:rsidRPr="004C5271" w:rsidRDefault="008757D1" w:rsidP="006828A9">
      <w:pPr>
        <w:pStyle w:val="NormalNumberedTextTLRI"/>
        <w:rPr>
          <w:rFonts w:asciiTheme="majorBidi" w:hAnsiTheme="majorBidi" w:cstheme="majorBidi"/>
          <w:lang w:val="en-AU"/>
        </w:rPr>
      </w:pPr>
      <w:r w:rsidRPr="004C5271">
        <w:rPr>
          <w:rFonts w:asciiTheme="majorBidi" w:hAnsiTheme="majorBidi" w:cstheme="majorBidi"/>
          <w:lang w:val="en-AU"/>
        </w:rPr>
        <w:t xml:space="preserve">The Issues Paper gave the following </w:t>
      </w:r>
      <w:r w:rsidR="002B66AE" w:rsidRPr="004C5271">
        <w:rPr>
          <w:rFonts w:asciiTheme="majorBidi" w:hAnsiTheme="majorBidi" w:cstheme="majorBidi"/>
          <w:lang w:val="en-AU"/>
        </w:rPr>
        <w:t>hypothetical</w:t>
      </w:r>
      <w:r w:rsidRPr="004C5271">
        <w:rPr>
          <w:rFonts w:asciiTheme="majorBidi" w:hAnsiTheme="majorBidi" w:cstheme="majorBidi"/>
          <w:lang w:val="en-AU"/>
        </w:rPr>
        <w:t xml:space="preserve"> scenario:</w:t>
      </w:r>
    </w:p>
    <w:p w14:paraId="3652FB9F" w14:textId="763E9D22" w:rsidR="00F824EC" w:rsidRPr="004C5271" w:rsidRDefault="00FB2842" w:rsidP="00AF36E4">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b/>
        </w:rPr>
        <w:t>Example</w:t>
      </w:r>
      <w:r w:rsidRPr="004C5271">
        <w:rPr>
          <w:rFonts w:asciiTheme="majorBidi" w:hAnsiTheme="majorBidi" w:cstheme="majorBidi"/>
        </w:rPr>
        <w:t>:</w:t>
      </w:r>
    </w:p>
    <w:p w14:paraId="5B1F1497" w14:textId="42220CDA" w:rsidR="00FB2842" w:rsidRPr="004C5271" w:rsidRDefault="00CD00CB" w:rsidP="00AF36E4">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Jenny</w:t>
      </w:r>
      <w:r w:rsidR="00FB2842" w:rsidRPr="004C5271">
        <w:rPr>
          <w:rFonts w:asciiTheme="majorBidi" w:hAnsiTheme="majorBidi" w:cstheme="majorBidi"/>
        </w:rPr>
        <w:t xml:space="preserve"> takes out a life insurance policy to ensure that there will be enough money for her daughter, Tamika, to complete her education if </w:t>
      </w:r>
      <w:r w:rsidRPr="004C5271">
        <w:rPr>
          <w:rFonts w:asciiTheme="majorBidi" w:hAnsiTheme="majorBidi" w:cstheme="majorBidi"/>
        </w:rPr>
        <w:t xml:space="preserve">Jenny </w:t>
      </w:r>
      <w:r w:rsidR="00FB2842" w:rsidRPr="004C5271">
        <w:rPr>
          <w:rFonts w:asciiTheme="majorBidi" w:hAnsiTheme="majorBidi" w:cstheme="majorBidi"/>
        </w:rPr>
        <w:t xml:space="preserve">were to die young. </w:t>
      </w:r>
      <w:r w:rsidRPr="004C5271">
        <w:rPr>
          <w:rFonts w:asciiTheme="majorBidi" w:hAnsiTheme="majorBidi" w:cstheme="majorBidi"/>
        </w:rPr>
        <w:t xml:space="preserve">Jenny </w:t>
      </w:r>
      <w:r w:rsidR="00FB2842" w:rsidRPr="004C5271">
        <w:rPr>
          <w:rFonts w:asciiTheme="majorBidi" w:hAnsiTheme="majorBidi" w:cstheme="majorBidi"/>
        </w:rPr>
        <w:t xml:space="preserve">does not want there to be any possibility that the proceeds of the policy could be paid to anyone else and wants them </w:t>
      </w:r>
      <w:r w:rsidR="000402B0" w:rsidRPr="004C5271">
        <w:rPr>
          <w:rFonts w:asciiTheme="majorBidi" w:hAnsiTheme="majorBidi" w:cstheme="majorBidi"/>
        </w:rPr>
        <w:t>used</w:t>
      </w:r>
      <w:r w:rsidR="00FB2842" w:rsidRPr="004C5271">
        <w:rPr>
          <w:rFonts w:asciiTheme="majorBidi" w:hAnsiTheme="majorBidi" w:cstheme="majorBidi"/>
        </w:rPr>
        <w:t xml:space="preserve"> solely for Tamika’s benefit. </w:t>
      </w:r>
    </w:p>
    <w:p w14:paraId="419ACF61" w14:textId="380C2FDA" w:rsidR="00FB2842" w:rsidRPr="004C5271" w:rsidRDefault="00CD00CB" w:rsidP="00AF36E4">
      <w:pPr>
        <w:pStyle w:val="QuoteTLRI"/>
        <w:pBdr>
          <w:top w:val="single" w:sz="4" w:space="1" w:color="auto"/>
          <w:left w:val="single" w:sz="4" w:space="1" w:color="auto"/>
          <w:bottom w:val="single" w:sz="4" w:space="1" w:color="auto"/>
          <w:right w:val="single" w:sz="4" w:space="1" w:color="auto"/>
        </w:pBdr>
        <w:ind w:left="737" w:right="907"/>
        <w:rPr>
          <w:rFonts w:asciiTheme="majorBidi" w:hAnsiTheme="majorBidi" w:cstheme="majorBidi"/>
        </w:rPr>
      </w:pPr>
      <w:r w:rsidRPr="004C5271">
        <w:rPr>
          <w:rFonts w:asciiTheme="majorBidi" w:hAnsiTheme="majorBidi" w:cstheme="majorBidi"/>
        </w:rPr>
        <w:t xml:space="preserve">Jenny </w:t>
      </w:r>
      <w:r w:rsidR="00FB2842" w:rsidRPr="004C5271">
        <w:rPr>
          <w:rFonts w:asciiTheme="majorBidi" w:hAnsiTheme="majorBidi" w:cstheme="majorBidi"/>
        </w:rPr>
        <w:t xml:space="preserve">therefore nominates Tamika as the beneficiary of her life insurance policy. The effect is that the life insurance company must pay the proceeds to Tamika and they are unable to be </w:t>
      </w:r>
      <w:r w:rsidRPr="004C5271">
        <w:rPr>
          <w:rFonts w:asciiTheme="majorBidi" w:hAnsiTheme="majorBidi" w:cstheme="majorBidi"/>
        </w:rPr>
        <w:t>affected by</w:t>
      </w:r>
      <w:r w:rsidR="00FB2842" w:rsidRPr="004C5271">
        <w:rPr>
          <w:rFonts w:asciiTheme="majorBidi" w:hAnsiTheme="majorBidi" w:cstheme="majorBidi"/>
        </w:rPr>
        <w:t xml:space="preserve"> any claim that might be made under the </w:t>
      </w:r>
      <w:r w:rsidR="006758BF" w:rsidRPr="004C5271">
        <w:rPr>
          <w:rFonts w:asciiTheme="majorBidi" w:hAnsiTheme="majorBidi" w:cstheme="majorBidi"/>
          <w:i/>
        </w:rPr>
        <w:t xml:space="preserve">TFM </w:t>
      </w:r>
      <w:r w:rsidR="00FB2842" w:rsidRPr="004C5271">
        <w:rPr>
          <w:rFonts w:asciiTheme="majorBidi" w:hAnsiTheme="majorBidi" w:cstheme="majorBidi"/>
          <w:i/>
        </w:rPr>
        <w:t>Act</w:t>
      </w:r>
      <w:r w:rsidR="00FB2842" w:rsidRPr="004C5271">
        <w:rPr>
          <w:rFonts w:asciiTheme="majorBidi" w:hAnsiTheme="majorBidi" w:cstheme="majorBidi"/>
        </w:rPr>
        <w:t>.</w:t>
      </w:r>
    </w:p>
    <w:p w14:paraId="6DA967B0" w14:textId="2886A143" w:rsidR="00BF7231" w:rsidRPr="004C5271" w:rsidRDefault="00170380" w:rsidP="005A1176">
      <w:pPr>
        <w:pStyle w:val="NumberedHeadingTLRI"/>
        <w:rPr>
          <w:rFonts w:asciiTheme="majorBidi" w:hAnsiTheme="majorBidi" w:cstheme="majorBidi"/>
          <w:lang w:val="en-AU"/>
        </w:rPr>
      </w:pPr>
      <w:bookmarkStart w:id="47" w:name="_Toc12268941"/>
      <w:r w:rsidRPr="004C5271">
        <w:rPr>
          <w:rFonts w:asciiTheme="majorBidi" w:hAnsiTheme="majorBidi" w:cstheme="majorBidi"/>
          <w:lang w:val="en-AU"/>
        </w:rPr>
        <w:lastRenderedPageBreak/>
        <w:t>Trust assets and p</w:t>
      </w:r>
      <w:r w:rsidR="00BF7231" w:rsidRPr="004C5271">
        <w:rPr>
          <w:rFonts w:asciiTheme="majorBidi" w:hAnsiTheme="majorBidi" w:cstheme="majorBidi"/>
          <w:lang w:val="en-AU"/>
        </w:rPr>
        <w:t>roperty the subject of a power of appointment</w:t>
      </w:r>
      <w:bookmarkEnd w:id="47"/>
    </w:p>
    <w:p w14:paraId="52DF6198" w14:textId="6B878F6B" w:rsidR="00170380" w:rsidRPr="004C5271" w:rsidRDefault="00170380" w:rsidP="00994436">
      <w:pPr>
        <w:pStyle w:val="NormalNumberedTextTLRI"/>
        <w:rPr>
          <w:rFonts w:asciiTheme="majorBidi" w:hAnsiTheme="majorBidi" w:cstheme="majorBidi"/>
          <w:lang w:val="en-AU"/>
        </w:rPr>
      </w:pPr>
      <w:r w:rsidRPr="004C5271">
        <w:rPr>
          <w:rFonts w:asciiTheme="majorBidi" w:hAnsiTheme="majorBidi" w:cstheme="majorBidi"/>
          <w:lang w:val="en-AU"/>
        </w:rPr>
        <w:t xml:space="preserve">Assets </w:t>
      </w:r>
      <w:r w:rsidR="00F560F2" w:rsidRPr="004C5271">
        <w:rPr>
          <w:rFonts w:asciiTheme="majorBidi" w:hAnsiTheme="majorBidi" w:cstheme="majorBidi"/>
          <w:lang w:val="en-AU"/>
        </w:rPr>
        <w:t>held within</w:t>
      </w:r>
      <w:r w:rsidRPr="004C5271">
        <w:rPr>
          <w:rFonts w:asciiTheme="majorBidi" w:hAnsiTheme="majorBidi" w:cstheme="majorBidi"/>
          <w:lang w:val="en-AU"/>
        </w:rPr>
        <w:t xml:space="preserve"> a trust, for example a family trust, do not form part of a </w:t>
      </w:r>
      <w:r w:rsidR="00F560F2" w:rsidRPr="004C5271">
        <w:rPr>
          <w:rFonts w:asciiTheme="majorBidi" w:hAnsiTheme="majorBidi" w:cstheme="majorBidi"/>
          <w:lang w:val="en-AU"/>
        </w:rPr>
        <w:t>person’s</w:t>
      </w:r>
      <w:r w:rsidRPr="004C5271">
        <w:rPr>
          <w:rFonts w:asciiTheme="majorBidi" w:hAnsiTheme="majorBidi" w:cstheme="majorBidi"/>
          <w:lang w:val="en-AU"/>
        </w:rPr>
        <w:t xml:space="preserve"> estate</w:t>
      </w:r>
      <w:r w:rsidR="00CD00CB" w:rsidRPr="004C5271">
        <w:rPr>
          <w:rFonts w:asciiTheme="majorBidi" w:hAnsiTheme="majorBidi" w:cstheme="majorBidi"/>
          <w:lang w:val="en-AU"/>
        </w:rPr>
        <w:t xml:space="preserve"> </w:t>
      </w:r>
      <w:proofErr w:type="gramStart"/>
      <w:r w:rsidR="00CD00CB" w:rsidRPr="004C5271">
        <w:rPr>
          <w:rFonts w:asciiTheme="majorBidi" w:hAnsiTheme="majorBidi" w:cstheme="majorBidi"/>
          <w:lang w:val="en-AU"/>
        </w:rPr>
        <w:t xml:space="preserve">with the </w:t>
      </w:r>
      <w:r w:rsidRPr="004C5271">
        <w:rPr>
          <w:rFonts w:asciiTheme="majorBidi" w:hAnsiTheme="majorBidi" w:cstheme="majorBidi"/>
          <w:lang w:val="en-AU"/>
        </w:rPr>
        <w:t>ex</w:t>
      </w:r>
      <w:r w:rsidR="00F560F2" w:rsidRPr="004C5271">
        <w:rPr>
          <w:rFonts w:asciiTheme="majorBidi" w:hAnsiTheme="majorBidi" w:cstheme="majorBidi"/>
          <w:lang w:val="en-AU"/>
        </w:rPr>
        <w:t>c</w:t>
      </w:r>
      <w:r w:rsidRPr="004C5271">
        <w:rPr>
          <w:rFonts w:asciiTheme="majorBidi" w:hAnsiTheme="majorBidi" w:cstheme="majorBidi"/>
          <w:lang w:val="en-AU"/>
        </w:rPr>
        <w:t xml:space="preserve">eption </w:t>
      </w:r>
      <w:r w:rsidR="00CD00CB" w:rsidRPr="004C5271">
        <w:rPr>
          <w:rFonts w:asciiTheme="majorBidi" w:hAnsiTheme="majorBidi" w:cstheme="majorBidi"/>
          <w:lang w:val="en-AU"/>
        </w:rPr>
        <w:t>of</w:t>
      </w:r>
      <w:proofErr w:type="gramEnd"/>
      <w:r w:rsidRPr="004C5271">
        <w:rPr>
          <w:rFonts w:asciiTheme="majorBidi" w:hAnsiTheme="majorBidi" w:cstheme="majorBidi"/>
          <w:lang w:val="en-AU"/>
        </w:rPr>
        <w:t xml:space="preserve"> </w:t>
      </w:r>
      <w:r w:rsidR="00017D86" w:rsidRPr="004C5271">
        <w:rPr>
          <w:rFonts w:asciiTheme="majorBidi" w:hAnsiTheme="majorBidi" w:cstheme="majorBidi"/>
          <w:lang w:val="en-AU"/>
        </w:rPr>
        <w:t>a</w:t>
      </w:r>
      <w:r w:rsidR="00F560F2" w:rsidRPr="004C5271">
        <w:rPr>
          <w:rFonts w:asciiTheme="majorBidi" w:hAnsiTheme="majorBidi" w:cstheme="majorBidi"/>
          <w:lang w:val="en-AU"/>
        </w:rPr>
        <w:t>ny</w:t>
      </w:r>
      <w:r w:rsidRPr="004C5271">
        <w:rPr>
          <w:rFonts w:asciiTheme="majorBidi" w:hAnsiTheme="majorBidi" w:cstheme="majorBidi"/>
          <w:lang w:val="en-AU"/>
        </w:rPr>
        <w:t xml:space="preserve"> </w:t>
      </w:r>
      <w:r w:rsidR="00F560F2" w:rsidRPr="004C5271">
        <w:rPr>
          <w:rFonts w:asciiTheme="majorBidi" w:hAnsiTheme="majorBidi" w:cstheme="majorBidi"/>
          <w:lang w:val="en-AU"/>
        </w:rPr>
        <w:t xml:space="preserve">beneficiary </w:t>
      </w:r>
      <w:r w:rsidRPr="004C5271">
        <w:rPr>
          <w:rFonts w:asciiTheme="majorBidi" w:hAnsiTheme="majorBidi" w:cstheme="majorBidi"/>
          <w:lang w:val="en-AU"/>
        </w:rPr>
        <w:t>loan account</w:t>
      </w:r>
      <w:r w:rsidR="00017D86" w:rsidRPr="004C5271">
        <w:rPr>
          <w:rFonts w:asciiTheme="majorBidi" w:hAnsiTheme="majorBidi" w:cstheme="majorBidi"/>
          <w:lang w:val="en-AU"/>
        </w:rPr>
        <w:t xml:space="preserve"> </w:t>
      </w:r>
      <w:r w:rsidR="008347B7" w:rsidRPr="004C5271">
        <w:rPr>
          <w:rFonts w:asciiTheme="majorBidi" w:hAnsiTheme="majorBidi" w:cstheme="majorBidi"/>
          <w:lang w:val="en-AU"/>
        </w:rPr>
        <w:t xml:space="preserve">the deceased has </w:t>
      </w:r>
      <w:r w:rsidRPr="004C5271">
        <w:rPr>
          <w:rFonts w:asciiTheme="majorBidi" w:hAnsiTheme="majorBidi" w:cstheme="majorBidi"/>
          <w:lang w:val="en-AU"/>
        </w:rPr>
        <w:t>within the trust.</w:t>
      </w:r>
      <w:r w:rsidR="002B66AE" w:rsidRPr="004C5271">
        <w:rPr>
          <w:rStyle w:val="FootnoteReference"/>
          <w:rFonts w:asciiTheme="majorBidi" w:hAnsiTheme="majorBidi" w:cstheme="majorBidi"/>
          <w:lang w:val="en-AU"/>
        </w:rPr>
        <w:footnoteReference w:id="63"/>
      </w:r>
    </w:p>
    <w:p w14:paraId="30A8EE68" w14:textId="710F0116" w:rsidR="00C111B9" w:rsidRPr="004C5271" w:rsidRDefault="00BC0A84" w:rsidP="00E76B72">
      <w:pPr>
        <w:pStyle w:val="NormalNumberedTextTLRI"/>
        <w:rPr>
          <w:rFonts w:asciiTheme="majorBidi" w:hAnsiTheme="majorBidi" w:cstheme="majorBidi"/>
          <w:lang w:val="en-AU"/>
        </w:rPr>
      </w:pPr>
      <w:r w:rsidRPr="004C5271">
        <w:rPr>
          <w:rFonts w:asciiTheme="majorBidi" w:hAnsiTheme="majorBidi" w:cstheme="majorBidi"/>
          <w:lang w:val="en-AU"/>
        </w:rPr>
        <w:t>A</w:t>
      </w:r>
      <w:r w:rsidR="00170380" w:rsidRPr="004C5271">
        <w:rPr>
          <w:rFonts w:asciiTheme="majorBidi" w:hAnsiTheme="majorBidi" w:cstheme="majorBidi"/>
          <w:lang w:val="en-AU"/>
        </w:rPr>
        <w:t xml:space="preserve"> </w:t>
      </w:r>
      <w:r w:rsidR="008757D1" w:rsidRPr="004C5271">
        <w:rPr>
          <w:rFonts w:asciiTheme="majorBidi" w:hAnsiTheme="majorBidi" w:cstheme="majorBidi"/>
          <w:lang w:val="en-AU"/>
        </w:rPr>
        <w:t>will</w:t>
      </w:r>
      <w:r w:rsidR="000B7F3C" w:rsidRPr="004C5271">
        <w:rPr>
          <w:rFonts w:asciiTheme="majorBidi" w:hAnsiTheme="majorBidi" w:cstheme="majorBidi"/>
          <w:lang w:val="en-AU"/>
        </w:rPr>
        <w:t>-</w:t>
      </w:r>
      <w:r w:rsidR="008757D1" w:rsidRPr="004C5271">
        <w:rPr>
          <w:rFonts w:asciiTheme="majorBidi" w:hAnsiTheme="majorBidi" w:cstheme="majorBidi"/>
          <w:lang w:val="en-AU"/>
        </w:rPr>
        <w:t>maker</w:t>
      </w:r>
      <w:r w:rsidRPr="004C5271">
        <w:rPr>
          <w:rFonts w:asciiTheme="majorBidi" w:hAnsiTheme="majorBidi" w:cstheme="majorBidi"/>
          <w:lang w:val="en-AU"/>
        </w:rPr>
        <w:t xml:space="preserve"> </w:t>
      </w:r>
      <w:r w:rsidR="00170380" w:rsidRPr="004C5271">
        <w:rPr>
          <w:rFonts w:asciiTheme="majorBidi" w:hAnsiTheme="majorBidi" w:cstheme="majorBidi"/>
          <w:lang w:val="en-AU"/>
        </w:rPr>
        <w:t xml:space="preserve">may have a controlling role in relation to </w:t>
      </w:r>
      <w:r w:rsidR="00017D86" w:rsidRPr="004C5271">
        <w:rPr>
          <w:rFonts w:asciiTheme="majorBidi" w:hAnsiTheme="majorBidi" w:cstheme="majorBidi"/>
          <w:lang w:val="en-AU"/>
        </w:rPr>
        <w:t>a</w:t>
      </w:r>
      <w:r w:rsidR="00170380" w:rsidRPr="004C5271">
        <w:rPr>
          <w:rFonts w:asciiTheme="majorBidi" w:hAnsiTheme="majorBidi" w:cstheme="majorBidi"/>
          <w:lang w:val="en-AU"/>
        </w:rPr>
        <w:t xml:space="preserve"> trust, for example as a trustee, appointor, protector or guardian.</w:t>
      </w:r>
      <w:r w:rsidR="00101368" w:rsidRPr="004C5271">
        <w:rPr>
          <w:rFonts w:asciiTheme="majorBidi" w:hAnsiTheme="majorBidi" w:cstheme="majorBidi"/>
          <w:lang w:val="en-AU"/>
        </w:rPr>
        <w:t xml:space="preserve"> </w:t>
      </w:r>
      <w:r w:rsidR="00C111B9" w:rsidRPr="004C5271">
        <w:rPr>
          <w:rFonts w:asciiTheme="majorBidi" w:hAnsiTheme="majorBidi" w:cstheme="majorBidi"/>
          <w:lang w:val="en-AU"/>
        </w:rPr>
        <w:t>In many instances,</w:t>
      </w:r>
      <w:r w:rsidR="00101368" w:rsidRPr="004C5271">
        <w:rPr>
          <w:rFonts w:asciiTheme="majorBidi" w:hAnsiTheme="majorBidi" w:cstheme="majorBidi"/>
          <w:lang w:val="en-AU"/>
        </w:rPr>
        <w:t xml:space="preserve"> the terms of a trust deed give the trustee broad discretion about the treatment of income and capital. A</w:t>
      </w:r>
      <w:r w:rsidR="009F2435" w:rsidRPr="004C5271">
        <w:rPr>
          <w:rFonts w:asciiTheme="majorBidi" w:hAnsiTheme="majorBidi" w:cstheme="majorBidi"/>
          <w:lang w:val="en-AU"/>
        </w:rPr>
        <w:t xml:space="preserve"> </w:t>
      </w:r>
      <w:r w:rsidR="00101368" w:rsidRPr="004C5271">
        <w:rPr>
          <w:rFonts w:asciiTheme="majorBidi" w:hAnsiTheme="majorBidi" w:cstheme="majorBidi"/>
          <w:lang w:val="en-AU"/>
        </w:rPr>
        <w:t xml:space="preserve">trustee may, for example, have power to distribute income </w:t>
      </w:r>
      <w:r w:rsidR="009F2435" w:rsidRPr="004C5271">
        <w:rPr>
          <w:rFonts w:asciiTheme="majorBidi" w:hAnsiTheme="majorBidi" w:cstheme="majorBidi"/>
          <w:lang w:val="en-AU"/>
        </w:rPr>
        <w:t>and/o</w:t>
      </w:r>
      <w:r w:rsidR="00101368" w:rsidRPr="004C5271">
        <w:rPr>
          <w:rFonts w:asciiTheme="majorBidi" w:hAnsiTheme="majorBidi" w:cstheme="majorBidi"/>
          <w:lang w:val="en-AU"/>
        </w:rPr>
        <w:t>r capital to themselves</w:t>
      </w:r>
      <w:r w:rsidR="00D00F7F" w:rsidRPr="004C5271">
        <w:rPr>
          <w:rFonts w:asciiTheme="majorBidi" w:hAnsiTheme="majorBidi" w:cstheme="majorBidi"/>
          <w:lang w:val="en-AU"/>
        </w:rPr>
        <w:t xml:space="preserve"> as </w:t>
      </w:r>
      <w:r w:rsidR="009F2435" w:rsidRPr="004C5271">
        <w:rPr>
          <w:rFonts w:asciiTheme="majorBidi" w:hAnsiTheme="majorBidi" w:cstheme="majorBidi"/>
          <w:lang w:val="en-AU"/>
        </w:rPr>
        <w:t xml:space="preserve">a </w:t>
      </w:r>
      <w:r w:rsidR="00D00F7F" w:rsidRPr="004C5271">
        <w:rPr>
          <w:rFonts w:asciiTheme="majorBidi" w:hAnsiTheme="majorBidi" w:cstheme="majorBidi"/>
          <w:lang w:val="en-AU"/>
        </w:rPr>
        <w:t>beneficiary</w:t>
      </w:r>
      <w:r w:rsidR="008757D1" w:rsidRPr="004C5271">
        <w:rPr>
          <w:rFonts w:asciiTheme="majorBidi" w:hAnsiTheme="majorBidi" w:cstheme="majorBidi"/>
          <w:lang w:val="en-AU"/>
        </w:rPr>
        <w:t>. I</w:t>
      </w:r>
      <w:r w:rsidR="009F2435" w:rsidRPr="004C5271">
        <w:rPr>
          <w:rFonts w:asciiTheme="majorBidi" w:hAnsiTheme="majorBidi" w:cstheme="majorBidi"/>
          <w:lang w:val="en-AU"/>
        </w:rPr>
        <w:t xml:space="preserve">f they </w:t>
      </w:r>
      <w:r w:rsidR="006758BF" w:rsidRPr="004C5271">
        <w:rPr>
          <w:rFonts w:asciiTheme="majorBidi" w:hAnsiTheme="majorBidi" w:cstheme="majorBidi"/>
          <w:lang w:val="en-AU"/>
        </w:rPr>
        <w:t xml:space="preserve">were to </w:t>
      </w:r>
      <w:r w:rsidR="00F51E14" w:rsidRPr="004C5271">
        <w:rPr>
          <w:rFonts w:asciiTheme="majorBidi" w:hAnsiTheme="majorBidi" w:cstheme="majorBidi"/>
          <w:lang w:val="en-AU"/>
        </w:rPr>
        <w:t>make such a distribution</w:t>
      </w:r>
      <w:r w:rsidR="009F2435" w:rsidRPr="004C5271">
        <w:rPr>
          <w:rFonts w:asciiTheme="majorBidi" w:hAnsiTheme="majorBidi" w:cstheme="majorBidi"/>
          <w:lang w:val="en-AU"/>
        </w:rPr>
        <w:t>,</w:t>
      </w:r>
      <w:r w:rsidR="00F944AC" w:rsidRPr="004C5271">
        <w:rPr>
          <w:rFonts w:asciiTheme="majorBidi" w:hAnsiTheme="majorBidi" w:cstheme="majorBidi"/>
          <w:lang w:val="en-AU"/>
        </w:rPr>
        <w:t xml:space="preserve"> </w:t>
      </w:r>
      <w:r w:rsidR="009F2435" w:rsidRPr="004C5271">
        <w:rPr>
          <w:rFonts w:asciiTheme="majorBidi" w:hAnsiTheme="majorBidi" w:cstheme="majorBidi"/>
          <w:lang w:val="en-AU"/>
        </w:rPr>
        <w:t xml:space="preserve">then </w:t>
      </w:r>
      <w:r w:rsidR="00F51E14" w:rsidRPr="004C5271">
        <w:rPr>
          <w:rFonts w:asciiTheme="majorBidi" w:hAnsiTheme="majorBidi" w:cstheme="majorBidi"/>
          <w:lang w:val="en-AU"/>
        </w:rPr>
        <w:t xml:space="preserve">the amount </w:t>
      </w:r>
      <w:r w:rsidR="00C111B9" w:rsidRPr="004C5271">
        <w:rPr>
          <w:rFonts w:asciiTheme="majorBidi" w:hAnsiTheme="majorBidi" w:cstheme="majorBidi"/>
          <w:lang w:val="en-AU"/>
        </w:rPr>
        <w:t>received</w:t>
      </w:r>
      <w:r w:rsidR="00F944AC" w:rsidRPr="004C5271">
        <w:rPr>
          <w:rFonts w:asciiTheme="majorBidi" w:hAnsiTheme="majorBidi" w:cstheme="majorBidi"/>
          <w:lang w:val="en-AU"/>
        </w:rPr>
        <w:t xml:space="preserve"> </w:t>
      </w:r>
      <w:r w:rsidR="00101368" w:rsidRPr="004C5271">
        <w:rPr>
          <w:rFonts w:asciiTheme="majorBidi" w:hAnsiTheme="majorBidi" w:cstheme="majorBidi"/>
          <w:lang w:val="en-AU"/>
        </w:rPr>
        <w:t xml:space="preserve">would </w:t>
      </w:r>
      <w:r w:rsidR="003A3FC9" w:rsidRPr="004C5271">
        <w:rPr>
          <w:rFonts w:asciiTheme="majorBidi" w:hAnsiTheme="majorBidi" w:cstheme="majorBidi"/>
          <w:lang w:val="en-AU"/>
        </w:rPr>
        <w:t>become</w:t>
      </w:r>
      <w:r w:rsidR="00101368" w:rsidRPr="004C5271">
        <w:rPr>
          <w:rFonts w:asciiTheme="majorBidi" w:hAnsiTheme="majorBidi" w:cstheme="majorBidi"/>
          <w:lang w:val="en-AU"/>
        </w:rPr>
        <w:t xml:space="preserve"> part of their estate.</w:t>
      </w:r>
      <w:bookmarkStart w:id="48" w:name="_Ref13152597"/>
      <w:r w:rsidR="00101368" w:rsidRPr="004C5271">
        <w:rPr>
          <w:rStyle w:val="FootnoteReference"/>
          <w:rFonts w:asciiTheme="majorBidi" w:hAnsiTheme="majorBidi" w:cstheme="majorBidi"/>
          <w:lang w:val="en-AU"/>
        </w:rPr>
        <w:footnoteReference w:id="64"/>
      </w:r>
      <w:bookmarkEnd w:id="48"/>
      <w:r w:rsidR="00101368" w:rsidRPr="004C5271">
        <w:rPr>
          <w:rFonts w:asciiTheme="majorBidi" w:hAnsiTheme="majorBidi" w:cstheme="majorBidi"/>
          <w:lang w:val="en-AU"/>
        </w:rPr>
        <w:t xml:space="preserve"> </w:t>
      </w:r>
    </w:p>
    <w:p w14:paraId="54B226C3" w14:textId="5D2AD1AD" w:rsidR="00FC0127" w:rsidRPr="004C5271" w:rsidRDefault="00101368" w:rsidP="00E76B72">
      <w:pPr>
        <w:pStyle w:val="NormalNumberedTextTLRI"/>
        <w:rPr>
          <w:rFonts w:asciiTheme="majorBidi" w:hAnsiTheme="majorBidi" w:cstheme="majorBidi"/>
          <w:lang w:val="en-AU"/>
        </w:rPr>
      </w:pPr>
      <w:r w:rsidRPr="004C5271">
        <w:rPr>
          <w:rFonts w:asciiTheme="majorBidi" w:hAnsiTheme="majorBidi" w:cstheme="majorBidi"/>
          <w:lang w:val="en-AU"/>
        </w:rPr>
        <w:t xml:space="preserve">Despite a </w:t>
      </w:r>
      <w:r w:rsidR="00A90479" w:rsidRPr="004C5271">
        <w:rPr>
          <w:rFonts w:asciiTheme="majorBidi" w:hAnsiTheme="majorBidi" w:cstheme="majorBidi"/>
          <w:lang w:val="en-AU"/>
        </w:rPr>
        <w:t xml:space="preserve">person </w:t>
      </w:r>
      <w:r w:rsidRPr="004C5271">
        <w:rPr>
          <w:rFonts w:asciiTheme="majorBidi" w:hAnsiTheme="majorBidi" w:cstheme="majorBidi"/>
          <w:lang w:val="en-AU"/>
        </w:rPr>
        <w:t xml:space="preserve">having had </w:t>
      </w:r>
      <w:r w:rsidR="00A90479" w:rsidRPr="004C5271">
        <w:rPr>
          <w:rFonts w:asciiTheme="majorBidi" w:hAnsiTheme="majorBidi" w:cstheme="majorBidi"/>
          <w:lang w:val="en-AU"/>
        </w:rPr>
        <w:t xml:space="preserve">effective </w:t>
      </w:r>
      <w:r w:rsidRPr="004C5271">
        <w:rPr>
          <w:rFonts w:asciiTheme="majorBidi" w:hAnsiTheme="majorBidi" w:cstheme="majorBidi"/>
          <w:lang w:val="en-AU"/>
        </w:rPr>
        <w:t>control of a trust during their life, including the ability to appoint income and capital to themselves</w:t>
      </w:r>
      <w:r w:rsidR="008347B7" w:rsidRPr="004C5271">
        <w:rPr>
          <w:rFonts w:asciiTheme="majorBidi" w:hAnsiTheme="majorBidi" w:cstheme="majorBidi"/>
          <w:lang w:val="en-AU"/>
        </w:rPr>
        <w:t xml:space="preserve"> as a beneficiary</w:t>
      </w:r>
      <w:r w:rsidRPr="004C5271">
        <w:rPr>
          <w:rFonts w:asciiTheme="majorBidi" w:hAnsiTheme="majorBidi" w:cstheme="majorBidi"/>
          <w:lang w:val="en-AU"/>
        </w:rPr>
        <w:t>, the assets of th</w:t>
      </w:r>
      <w:r w:rsidR="00A90479" w:rsidRPr="004C5271">
        <w:rPr>
          <w:rFonts w:asciiTheme="majorBidi" w:hAnsiTheme="majorBidi" w:cstheme="majorBidi"/>
          <w:lang w:val="en-AU"/>
        </w:rPr>
        <w:t>at</w:t>
      </w:r>
      <w:r w:rsidRPr="004C5271">
        <w:rPr>
          <w:rFonts w:asciiTheme="majorBidi" w:hAnsiTheme="majorBidi" w:cstheme="majorBidi"/>
          <w:lang w:val="en-AU"/>
        </w:rPr>
        <w:t xml:space="preserve"> trust </w:t>
      </w:r>
      <w:r w:rsidR="00A90479" w:rsidRPr="004C5271">
        <w:rPr>
          <w:rFonts w:asciiTheme="majorBidi" w:hAnsiTheme="majorBidi" w:cstheme="majorBidi"/>
          <w:lang w:val="en-AU"/>
        </w:rPr>
        <w:t>are not</w:t>
      </w:r>
      <w:r w:rsidRPr="004C5271">
        <w:rPr>
          <w:rFonts w:asciiTheme="majorBidi" w:hAnsiTheme="majorBidi" w:cstheme="majorBidi"/>
          <w:lang w:val="en-AU"/>
        </w:rPr>
        <w:t xml:space="preserve"> part of the</w:t>
      </w:r>
      <w:r w:rsidR="00A90479" w:rsidRPr="004C5271">
        <w:rPr>
          <w:rFonts w:asciiTheme="majorBidi" w:hAnsiTheme="majorBidi" w:cstheme="majorBidi"/>
          <w:lang w:val="en-AU"/>
        </w:rPr>
        <w:t xml:space="preserve">ir estate. The trust’s assets may not, therefore, be </w:t>
      </w:r>
      <w:r w:rsidRPr="004C5271">
        <w:rPr>
          <w:rFonts w:asciiTheme="majorBidi" w:hAnsiTheme="majorBidi" w:cstheme="majorBidi"/>
          <w:lang w:val="en-AU"/>
        </w:rPr>
        <w:t xml:space="preserve">used to </w:t>
      </w:r>
      <w:r w:rsidR="00A90479" w:rsidRPr="004C5271">
        <w:rPr>
          <w:rFonts w:asciiTheme="majorBidi" w:hAnsiTheme="majorBidi" w:cstheme="majorBidi"/>
          <w:lang w:val="en-AU"/>
        </w:rPr>
        <w:t>fund</w:t>
      </w:r>
      <w:r w:rsidRPr="004C5271">
        <w:rPr>
          <w:rFonts w:asciiTheme="majorBidi" w:hAnsiTheme="majorBidi" w:cstheme="majorBidi"/>
          <w:lang w:val="en-AU"/>
        </w:rPr>
        <w:t xml:space="preserve"> provision for a successful </w:t>
      </w:r>
      <w:r w:rsidR="008757D1" w:rsidRPr="004C5271">
        <w:rPr>
          <w:rFonts w:asciiTheme="majorBidi" w:hAnsiTheme="majorBidi" w:cstheme="majorBidi"/>
          <w:lang w:val="en-AU"/>
        </w:rPr>
        <w:t>family provision</w:t>
      </w:r>
      <w:r w:rsidRPr="004C5271">
        <w:rPr>
          <w:rFonts w:asciiTheme="majorBidi" w:hAnsiTheme="majorBidi" w:cstheme="majorBidi"/>
          <w:lang w:val="en-AU"/>
        </w:rPr>
        <w:t xml:space="preserve"> applicant.</w:t>
      </w:r>
    </w:p>
    <w:p w14:paraId="7015B81F" w14:textId="67A9A1A0" w:rsidR="00FC0127" w:rsidRPr="004C5271" w:rsidRDefault="00A90479" w:rsidP="002D0BFF">
      <w:pPr>
        <w:pStyle w:val="NormalNumberedTextTLRI"/>
        <w:rPr>
          <w:rFonts w:asciiTheme="majorBidi" w:hAnsiTheme="majorBidi" w:cstheme="majorBidi"/>
          <w:lang w:val="en-AU"/>
        </w:rPr>
      </w:pPr>
      <w:r w:rsidRPr="004C5271">
        <w:rPr>
          <w:rFonts w:asciiTheme="majorBidi" w:hAnsiTheme="majorBidi" w:cstheme="majorBidi"/>
          <w:lang w:val="en-AU"/>
        </w:rPr>
        <w:t>T</w:t>
      </w:r>
      <w:r w:rsidR="00170380" w:rsidRPr="004C5271">
        <w:rPr>
          <w:rFonts w:asciiTheme="majorBidi" w:hAnsiTheme="majorBidi" w:cstheme="majorBidi"/>
          <w:lang w:val="en-AU"/>
        </w:rPr>
        <w:t xml:space="preserve">he terms of a trust deed </w:t>
      </w:r>
      <w:r w:rsidR="008757D1" w:rsidRPr="004C5271">
        <w:rPr>
          <w:rFonts w:asciiTheme="majorBidi" w:hAnsiTheme="majorBidi" w:cstheme="majorBidi"/>
          <w:lang w:val="en-AU"/>
        </w:rPr>
        <w:t>may</w:t>
      </w:r>
      <w:r w:rsidRPr="004C5271">
        <w:rPr>
          <w:rFonts w:asciiTheme="majorBidi" w:hAnsiTheme="majorBidi" w:cstheme="majorBidi"/>
          <w:lang w:val="en-AU"/>
        </w:rPr>
        <w:t xml:space="preserve"> </w:t>
      </w:r>
      <w:r w:rsidR="00C111B9" w:rsidRPr="004C5271">
        <w:rPr>
          <w:rFonts w:asciiTheme="majorBidi" w:hAnsiTheme="majorBidi" w:cstheme="majorBidi"/>
          <w:lang w:val="en-AU"/>
        </w:rPr>
        <w:t xml:space="preserve">also </w:t>
      </w:r>
      <w:r w:rsidR="008757D1" w:rsidRPr="004C5271">
        <w:rPr>
          <w:rFonts w:asciiTheme="majorBidi" w:hAnsiTheme="majorBidi" w:cstheme="majorBidi"/>
          <w:lang w:val="en-AU"/>
        </w:rPr>
        <w:t>give</w:t>
      </w:r>
      <w:r w:rsidR="00170380" w:rsidRPr="004C5271">
        <w:rPr>
          <w:rFonts w:asciiTheme="majorBidi" w:hAnsiTheme="majorBidi" w:cstheme="majorBidi"/>
          <w:lang w:val="en-AU"/>
        </w:rPr>
        <w:t xml:space="preserve"> </w:t>
      </w:r>
      <w:r w:rsidR="005E74C8" w:rsidRPr="004C5271">
        <w:rPr>
          <w:rFonts w:asciiTheme="majorBidi" w:hAnsiTheme="majorBidi" w:cstheme="majorBidi"/>
          <w:lang w:val="en-AU"/>
        </w:rPr>
        <w:t>individual</w:t>
      </w:r>
      <w:r w:rsidR="008757D1" w:rsidRPr="004C5271">
        <w:rPr>
          <w:rFonts w:asciiTheme="majorBidi" w:hAnsiTheme="majorBidi" w:cstheme="majorBidi"/>
          <w:lang w:val="en-AU"/>
        </w:rPr>
        <w:t>s the ability</w:t>
      </w:r>
      <w:r w:rsidR="005E74C8" w:rsidRPr="004C5271">
        <w:rPr>
          <w:rFonts w:asciiTheme="majorBidi" w:hAnsiTheme="majorBidi" w:cstheme="majorBidi"/>
          <w:lang w:val="en-AU"/>
        </w:rPr>
        <w:t xml:space="preserve"> </w:t>
      </w:r>
      <w:r w:rsidR="00170380" w:rsidRPr="004C5271">
        <w:rPr>
          <w:rFonts w:asciiTheme="majorBidi" w:hAnsiTheme="majorBidi" w:cstheme="majorBidi"/>
          <w:lang w:val="en-AU"/>
        </w:rPr>
        <w:t xml:space="preserve">to appoint a successor </w:t>
      </w:r>
      <w:r w:rsidR="003A37CA" w:rsidRPr="004C5271">
        <w:rPr>
          <w:rFonts w:asciiTheme="majorBidi" w:hAnsiTheme="majorBidi" w:cstheme="majorBidi"/>
          <w:lang w:val="en-AU"/>
        </w:rPr>
        <w:t xml:space="preserve">controller </w:t>
      </w:r>
      <w:r w:rsidR="003A3FC9" w:rsidRPr="004C5271">
        <w:rPr>
          <w:rFonts w:asciiTheme="majorBidi" w:hAnsiTheme="majorBidi" w:cstheme="majorBidi"/>
          <w:lang w:val="en-AU"/>
        </w:rPr>
        <w:t xml:space="preserve">of the trust </w:t>
      </w:r>
      <w:r w:rsidR="00170380" w:rsidRPr="004C5271">
        <w:rPr>
          <w:rFonts w:asciiTheme="majorBidi" w:hAnsiTheme="majorBidi" w:cstheme="majorBidi"/>
          <w:lang w:val="en-AU"/>
        </w:rPr>
        <w:t xml:space="preserve">by deed or </w:t>
      </w:r>
      <w:r w:rsidR="000402B0" w:rsidRPr="004C5271">
        <w:rPr>
          <w:rFonts w:asciiTheme="majorBidi" w:hAnsiTheme="majorBidi" w:cstheme="majorBidi"/>
          <w:lang w:val="en-AU"/>
        </w:rPr>
        <w:t xml:space="preserve">by </w:t>
      </w:r>
      <w:r w:rsidR="00170380" w:rsidRPr="004C5271">
        <w:rPr>
          <w:rFonts w:asciiTheme="majorBidi" w:hAnsiTheme="majorBidi" w:cstheme="majorBidi"/>
          <w:lang w:val="en-AU"/>
        </w:rPr>
        <w:t>will.</w:t>
      </w:r>
      <w:r w:rsidR="00017D86" w:rsidRPr="004C5271">
        <w:rPr>
          <w:rFonts w:asciiTheme="majorBidi" w:hAnsiTheme="majorBidi" w:cstheme="majorBidi"/>
          <w:lang w:val="en-AU"/>
        </w:rPr>
        <w:t xml:space="preserve"> </w:t>
      </w:r>
      <w:r w:rsidR="00886080" w:rsidRPr="004C5271">
        <w:rPr>
          <w:rFonts w:asciiTheme="majorBidi" w:hAnsiTheme="majorBidi" w:cstheme="majorBidi"/>
          <w:lang w:val="en-AU"/>
        </w:rPr>
        <w:t xml:space="preserve">When a </w:t>
      </w:r>
      <w:r w:rsidR="008757D1" w:rsidRPr="004C5271">
        <w:rPr>
          <w:rFonts w:asciiTheme="majorBidi" w:hAnsiTheme="majorBidi" w:cstheme="majorBidi"/>
          <w:lang w:val="en-AU"/>
        </w:rPr>
        <w:t>will</w:t>
      </w:r>
      <w:r w:rsidR="000B7F3C" w:rsidRPr="004C5271">
        <w:rPr>
          <w:rFonts w:asciiTheme="majorBidi" w:hAnsiTheme="majorBidi" w:cstheme="majorBidi"/>
          <w:lang w:val="en-AU"/>
        </w:rPr>
        <w:t>-</w:t>
      </w:r>
      <w:r w:rsidR="008757D1" w:rsidRPr="004C5271">
        <w:rPr>
          <w:rFonts w:asciiTheme="majorBidi" w:hAnsiTheme="majorBidi" w:cstheme="majorBidi"/>
          <w:lang w:val="en-AU"/>
        </w:rPr>
        <w:t>maker</w:t>
      </w:r>
      <w:r w:rsidR="00886080" w:rsidRPr="004C5271">
        <w:rPr>
          <w:rFonts w:asciiTheme="majorBidi" w:hAnsiTheme="majorBidi" w:cstheme="majorBidi"/>
          <w:lang w:val="en-AU"/>
        </w:rPr>
        <w:t xml:space="preserve"> exercises </w:t>
      </w:r>
      <w:r w:rsidR="005447D3" w:rsidRPr="004C5271">
        <w:rPr>
          <w:rFonts w:asciiTheme="majorBidi" w:hAnsiTheme="majorBidi" w:cstheme="majorBidi"/>
          <w:lang w:val="en-AU"/>
        </w:rPr>
        <w:t>their</w:t>
      </w:r>
      <w:r w:rsidR="00886080" w:rsidRPr="004C5271">
        <w:rPr>
          <w:rFonts w:asciiTheme="majorBidi" w:hAnsiTheme="majorBidi" w:cstheme="majorBidi"/>
          <w:lang w:val="en-AU"/>
        </w:rPr>
        <w:t xml:space="preserve"> power of appointment </w:t>
      </w:r>
      <w:r w:rsidR="005447D3" w:rsidRPr="004C5271">
        <w:rPr>
          <w:rFonts w:asciiTheme="majorBidi" w:hAnsiTheme="majorBidi" w:cstheme="majorBidi"/>
          <w:lang w:val="en-AU"/>
        </w:rPr>
        <w:t>in their</w:t>
      </w:r>
      <w:r w:rsidR="00886080" w:rsidRPr="004C5271">
        <w:rPr>
          <w:rFonts w:asciiTheme="majorBidi" w:hAnsiTheme="majorBidi" w:cstheme="majorBidi"/>
          <w:lang w:val="en-AU"/>
        </w:rPr>
        <w:t xml:space="preserve"> will, the property appointed is not part of the</w:t>
      </w:r>
      <w:r w:rsidR="005447D3" w:rsidRPr="004C5271">
        <w:rPr>
          <w:rFonts w:asciiTheme="majorBidi" w:hAnsiTheme="majorBidi" w:cstheme="majorBidi"/>
          <w:lang w:val="en-AU"/>
        </w:rPr>
        <w:t xml:space="preserve">ir </w:t>
      </w:r>
      <w:r w:rsidR="00886080" w:rsidRPr="004C5271">
        <w:rPr>
          <w:rFonts w:asciiTheme="majorBidi" w:hAnsiTheme="majorBidi" w:cstheme="majorBidi"/>
          <w:lang w:val="en-AU"/>
        </w:rPr>
        <w:t>estate</w:t>
      </w:r>
      <w:r w:rsidR="0075689B" w:rsidRPr="004C5271">
        <w:rPr>
          <w:rFonts w:asciiTheme="majorBidi" w:hAnsiTheme="majorBidi" w:cstheme="majorBidi"/>
          <w:lang w:val="en-AU"/>
        </w:rPr>
        <w:t>.</w:t>
      </w:r>
      <w:r w:rsidR="00F560F2" w:rsidRPr="004C5271">
        <w:rPr>
          <w:rFonts w:asciiTheme="majorBidi" w:hAnsiTheme="majorBidi" w:cstheme="majorBidi"/>
          <w:lang w:val="en-AU"/>
        </w:rPr>
        <w:t xml:space="preserve"> </w:t>
      </w:r>
    </w:p>
    <w:p w14:paraId="2CE27380" w14:textId="2CC84819" w:rsidR="005447D3" w:rsidRPr="004C5271" w:rsidRDefault="005447D3" w:rsidP="002D0BFF">
      <w:pPr>
        <w:pStyle w:val="NormalNumberedTextTLRI"/>
        <w:rPr>
          <w:rFonts w:asciiTheme="majorBidi" w:hAnsiTheme="majorBidi" w:cstheme="majorBidi"/>
          <w:lang w:val="en-AU"/>
        </w:rPr>
      </w:pPr>
      <w:r w:rsidRPr="004C5271">
        <w:rPr>
          <w:rFonts w:asciiTheme="majorBidi" w:hAnsiTheme="majorBidi" w:cstheme="majorBidi"/>
          <w:lang w:val="en-AU"/>
        </w:rPr>
        <w:lastRenderedPageBreak/>
        <w:t>The following example was given in the Issues Paper to demonstrate this type of scenario:</w:t>
      </w:r>
    </w:p>
    <w:p w14:paraId="550D3122" w14:textId="36900B3D" w:rsidR="00FB2842" w:rsidRPr="004C5271" w:rsidRDefault="00FB2842" w:rsidP="00215C85">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b/>
        </w:rPr>
        <w:t>Example</w:t>
      </w:r>
      <w:r w:rsidRPr="004C5271">
        <w:rPr>
          <w:rFonts w:asciiTheme="majorBidi" w:hAnsiTheme="majorBidi" w:cstheme="majorBidi"/>
        </w:rPr>
        <w:t>:</w:t>
      </w:r>
    </w:p>
    <w:p w14:paraId="4F0BEED6" w14:textId="2C1989F7" w:rsidR="00FB2842" w:rsidRPr="004C5271" w:rsidRDefault="00FB2842" w:rsidP="00215C85">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Mr Nguyen is the sole appointor and trustee of the Nguyen Family Trust. The trust has in excess of $1</w:t>
      </w:r>
      <w:r w:rsidR="007059C4" w:rsidRPr="004C5271">
        <w:rPr>
          <w:rFonts w:asciiTheme="majorBidi" w:hAnsiTheme="majorBidi" w:cstheme="majorBidi"/>
        </w:rPr>
        <w:t xml:space="preserve"> </w:t>
      </w:r>
      <w:r w:rsidRPr="004C5271">
        <w:rPr>
          <w:rFonts w:asciiTheme="majorBidi" w:hAnsiTheme="majorBidi" w:cstheme="majorBidi"/>
        </w:rPr>
        <w:t>m</w:t>
      </w:r>
      <w:r w:rsidR="007059C4" w:rsidRPr="004C5271">
        <w:rPr>
          <w:rFonts w:asciiTheme="majorBidi" w:hAnsiTheme="majorBidi" w:cstheme="majorBidi"/>
        </w:rPr>
        <w:t>illion</w:t>
      </w:r>
      <w:r w:rsidRPr="004C5271">
        <w:rPr>
          <w:rFonts w:asciiTheme="majorBidi" w:hAnsiTheme="majorBidi" w:cstheme="majorBidi"/>
        </w:rPr>
        <w:t xml:space="preserve"> net assets.</w:t>
      </w:r>
      <w:r w:rsidR="006A4AB6" w:rsidRPr="004C5271">
        <w:rPr>
          <w:rFonts w:asciiTheme="majorBidi" w:hAnsiTheme="majorBidi" w:cstheme="majorBidi"/>
        </w:rPr>
        <w:t xml:space="preserve"> Despite having terminal cancer and knowing of his imminent death, Mr Nguyen does not appoint </w:t>
      </w:r>
      <w:r w:rsidR="00D00F7F" w:rsidRPr="004C5271">
        <w:rPr>
          <w:rFonts w:asciiTheme="majorBidi" w:hAnsiTheme="majorBidi" w:cstheme="majorBidi"/>
        </w:rPr>
        <w:t>any</w:t>
      </w:r>
      <w:r w:rsidR="006A4AB6" w:rsidRPr="004C5271">
        <w:rPr>
          <w:rFonts w:asciiTheme="majorBidi" w:hAnsiTheme="majorBidi" w:cstheme="majorBidi"/>
        </w:rPr>
        <w:t xml:space="preserve"> capital of the trust to himself as </w:t>
      </w:r>
      <w:r w:rsidR="003A3FC9" w:rsidRPr="004C5271">
        <w:rPr>
          <w:rFonts w:asciiTheme="majorBidi" w:hAnsiTheme="majorBidi" w:cstheme="majorBidi"/>
        </w:rPr>
        <w:t xml:space="preserve">a </w:t>
      </w:r>
      <w:r w:rsidR="006A4AB6" w:rsidRPr="004C5271">
        <w:rPr>
          <w:rFonts w:asciiTheme="majorBidi" w:hAnsiTheme="majorBidi" w:cstheme="majorBidi"/>
        </w:rPr>
        <w:t>beneficiary. The $1</w:t>
      </w:r>
      <w:r w:rsidR="007059C4" w:rsidRPr="004C5271">
        <w:rPr>
          <w:rFonts w:asciiTheme="majorBidi" w:hAnsiTheme="majorBidi" w:cstheme="majorBidi"/>
        </w:rPr>
        <w:t xml:space="preserve"> million</w:t>
      </w:r>
      <w:r w:rsidR="006A4AB6" w:rsidRPr="004C5271">
        <w:rPr>
          <w:rFonts w:asciiTheme="majorBidi" w:hAnsiTheme="majorBidi" w:cstheme="majorBidi"/>
        </w:rPr>
        <w:t xml:space="preserve"> of net assets therefore remain within the trust</w:t>
      </w:r>
      <w:r w:rsidR="00D00F7F" w:rsidRPr="004C5271">
        <w:rPr>
          <w:rFonts w:asciiTheme="majorBidi" w:hAnsiTheme="majorBidi" w:cstheme="majorBidi"/>
        </w:rPr>
        <w:t xml:space="preserve"> following his death</w:t>
      </w:r>
      <w:r w:rsidR="006A4AB6" w:rsidRPr="004C5271">
        <w:rPr>
          <w:rFonts w:asciiTheme="majorBidi" w:hAnsiTheme="majorBidi" w:cstheme="majorBidi"/>
        </w:rPr>
        <w:t>.</w:t>
      </w:r>
    </w:p>
    <w:p w14:paraId="55CA7676" w14:textId="5281098E" w:rsidR="00BF251F" w:rsidRPr="004C5271" w:rsidRDefault="00FB2842" w:rsidP="00215C85">
      <w:pPr>
        <w:pStyle w:val="QuoteTLRI"/>
        <w:pBdr>
          <w:top w:val="single" w:sz="4" w:space="1" w:color="auto"/>
          <w:left w:val="single" w:sz="4" w:space="1" w:color="auto"/>
          <w:bottom w:val="single" w:sz="4" w:space="1" w:color="auto"/>
          <w:right w:val="single" w:sz="4" w:space="1" w:color="auto"/>
        </w:pBdr>
        <w:spacing w:after="120"/>
        <w:ind w:left="737" w:right="907"/>
        <w:rPr>
          <w:rFonts w:asciiTheme="majorBidi" w:hAnsiTheme="majorBidi" w:cstheme="majorBidi"/>
        </w:rPr>
      </w:pPr>
      <w:r w:rsidRPr="004C5271">
        <w:rPr>
          <w:rFonts w:asciiTheme="majorBidi" w:hAnsiTheme="majorBidi" w:cstheme="majorBidi"/>
        </w:rPr>
        <w:t xml:space="preserve">The Trust Deed sets out how Mr Nguyen can pass control of the trust to successors in the event of his death. </w:t>
      </w:r>
      <w:r w:rsidR="003A3FC9" w:rsidRPr="004C5271">
        <w:rPr>
          <w:rFonts w:asciiTheme="majorBidi" w:hAnsiTheme="majorBidi" w:cstheme="majorBidi"/>
        </w:rPr>
        <w:t xml:space="preserve">Before his death, </w:t>
      </w:r>
      <w:r w:rsidRPr="004C5271">
        <w:rPr>
          <w:rFonts w:asciiTheme="majorBidi" w:hAnsiTheme="majorBidi" w:cstheme="majorBidi"/>
        </w:rPr>
        <w:t>Mr Nguyen exercise</w:t>
      </w:r>
      <w:r w:rsidR="003A3FC9" w:rsidRPr="004C5271">
        <w:rPr>
          <w:rFonts w:asciiTheme="majorBidi" w:hAnsiTheme="majorBidi" w:cstheme="majorBidi"/>
        </w:rPr>
        <w:t>d</w:t>
      </w:r>
      <w:r w:rsidRPr="004C5271">
        <w:rPr>
          <w:rFonts w:asciiTheme="majorBidi" w:hAnsiTheme="majorBidi" w:cstheme="majorBidi"/>
        </w:rPr>
        <w:t xml:space="preserve"> this power by including a clause in his will which </w:t>
      </w:r>
      <w:r w:rsidR="00ED3BA7" w:rsidRPr="004C5271">
        <w:rPr>
          <w:rFonts w:asciiTheme="majorBidi" w:hAnsiTheme="majorBidi" w:cstheme="majorBidi"/>
        </w:rPr>
        <w:t>nominate</w:t>
      </w:r>
      <w:r w:rsidR="003A3FC9" w:rsidRPr="004C5271">
        <w:rPr>
          <w:rFonts w:asciiTheme="majorBidi" w:hAnsiTheme="majorBidi" w:cstheme="majorBidi"/>
        </w:rPr>
        <w:t>d</w:t>
      </w:r>
      <w:r w:rsidR="00ED3BA7" w:rsidRPr="004C5271">
        <w:rPr>
          <w:rFonts w:asciiTheme="majorBidi" w:hAnsiTheme="majorBidi" w:cstheme="majorBidi"/>
        </w:rPr>
        <w:t xml:space="preserve"> </w:t>
      </w:r>
      <w:r w:rsidR="00BF251F" w:rsidRPr="004C5271">
        <w:rPr>
          <w:rFonts w:asciiTheme="majorBidi" w:hAnsiTheme="majorBidi" w:cstheme="majorBidi"/>
        </w:rPr>
        <w:t>Mrs Nguyen.</w:t>
      </w:r>
    </w:p>
    <w:p w14:paraId="50362484" w14:textId="3CB7CEB3" w:rsidR="00BF251F" w:rsidRPr="004C5271" w:rsidRDefault="00BF251F" w:rsidP="00215C85">
      <w:pPr>
        <w:pStyle w:val="QuoteTLRI"/>
        <w:pBdr>
          <w:top w:val="single" w:sz="4" w:space="1" w:color="auto"/>
          <w:left w:val="single" w:sz="4" w:space="1" w:color="auto"/>
          <w:bottom w:val="single" w:sz="4" w:space="1" w:color="auto"/>
          <w:right w:val="single" w:sz="4" w:space="1" w:color="auto"/>
        </w:pBdr>
        <w:ind w:left="737" w:right="907"/>
        <w:rPr>
          <w:rFonts w:asciiTheme="majorBidi" w:hAnsiTheme="majorBidi" w:cstheme="majorBidi"/>
        </w:rPr>
      </w:pPr>
      <w:r w:rsidRPr="004C5271">
        <w:rPr>
          <w:rFonts w:asciiTheme="majorBidi" w:hAnsiTheme="majorBidi" w:cstheme="majorBidi"/>
        </w:rPr>
        <w:t xml:space="preserve">Mr Nguyen’s children are </w:t>
      </w:r>
      <w:r w:rsidR="000402B0" w:rsidRPr="004C5271">
        <w:rPr>
          <w:rFonts w:asciiTheme="majorBidi" w:hAnsiTheme="majorBidi" w:cstheme="majorBidi"/>
        </w:rPr>
        <w:t>worried because</w:t>
      </w:r>
      <w:r w:rsidRPr="004C5271">
        <w:rPr>
          <w:rFonts w:asciiTheme="majorBidi" w:hAnsiTheme="majorBidi" w:cstheme="majorBidi"/>
        </w:rPr>
        <w:t xml:space="preserve"> they have no guarantee that they will receive </w:t>
      </w:r>
      <w:r w:rsidR="000402B0" w:rsidRPr="004C5271">
        <w:rPr>
          <w:rFonts w:asciiTheme="majorBidi" w:hAnsiTheme="majorBidi" w:cstheme="majorBidi"/>
        </w:rPr>
        <w:t>any distributions from the trust</w:t>
      </w:r>
      <w:r w:rsidR="006A4AB6" w:rsidRPr="004C5271">
        <w:rPr>
          <w:rFonts w:asciiTheme="majorBidi" w:hAnsiTheme="majorBidi" w:cstheme="majorBidi"/>
        </w:rPr>
        <w:t>. T</w:t>
      </w:r>
      <w:r w:rsidR="000402B0" w:rsidRPr="004C5271">
        <w:rPr>
          <w:rFonts w:asciiTheme="majorBidi" w:hAnsiTheme="majorBidi" w:cstheme="majorBidi"/>
        </w:rPr>
        <w:t xml:space="preserve">he </w:t>
      </w:r>
      <w:r w:rsidR="006A4AB6" w:rsidRPr="004C5271">
        <w:rPr>
          <w:rFonts w:asciiTheme="majorBidi" w:hAnsiTheme="majorBidi" w:cstheme="majorBidi"/>
        </w:rPr>
        <w:t xml:space="preserve">terms of the trust give the </w:t>
      </w:r>
      <w:r w:rsidR="000402B0" w:rsidRPr="004C5271">
        <w:rPr>
          <w:rFonts w:asciiTheme="majorBidi" w:hAnsiTheme="majorBidi" w:cstheme="majorBidi"/>
        </w:rPr>
        <w:t xml:space="preserve">trustee a broad discretion in relation to </w:t>
      </w:r>
      <w:r w:rsidR="00D00F7F" w:rsidRPr="004C5271">
        <w:rPr>
          <w:rFonts w:asciiTheme="majorBidi" w:hAnsiTheme="majorBidi" w:cstheme="majorBidi"/>
        </w:rPr>
        <w:t>decisions about</w:t>
      </w:r>
      <w:r w:rsidR="000402B0" w:rsidRPr="004C5271">
        <w:rPr>
          <w:rFonts w:asciiTheme="majorBidi" w:hAnsiTheme="majorBidi" w:cstheme="majorBidi"/>
        </w:rPr>
        <w:t xml:space="preserve"> distribution</w:t>
      </w:r>
      <w:r w:rsidR="00D00F7F" w:rsidRPr="004C5271">
        <w:rPr>
          <w:rFonts w:asciiTheme="majorBidi" w:hAnsiTheme="majorBidi" w:cstheme="majorBidi"/>
        </w:rPr>
        <w:t>s</w:t>
      </w:r>
      <w:r w:rsidR="000402B0" w:rsidRPr="004C5271">
        <w:rPr>
          <w:rFonts w:asciiTheme="majorBidi" w:hAnsiTheme="majorBidi" w:cstheme="majorBidi"/>
        </w:rPr>
        <w:t xml:space="preserve"> of income and capital. Mr Nguyen’s children are unable to claim any of the assets held in the Nguyen Family Trust if they </w:t>
      </w:r>
      <w:r w:rsidR="006A4AB6" w:rsidRPr="004C5271">
        <w:rPr>
          <w:rFonts w:asciiTheme="majorBidi" w:hAnsiTheme="majorBidi" w:cstheme="majorBidi"/>
        </w:rPr>
        <w:t>decide</w:t>
      </w:r>
      <w:r w:rsidR="000402B0" w:rsidRPr="004C5271">
        <w:rPr>
          <w:rFonts w:asciiTheme="majorBidi" w:hAnsiTheme="majorBidi" w:cstheme="majorBidi"/>
        </w:rPr>
        <w:t xml:space="preserve"> to bring a </w:t>
      </w:r>
      <w:r w:rsidR="005447D3" w:rsidRPr="004C5271">
        <w:rPr>
          <w:rFonts w:asciiTheme="majorBidi" w:hAnsiTheme="majorBidi" w:cstheme="majorBidi"/>
        </w:rPr>
        <w:t>family provision</w:t>
      </w:r>
      <w:r w:rsidR="000402B0" w:rsidRPr="004C5271">
        <w:rPr>
          <w:rFonts w:asciiTheme="majorBidi" w:hAnsiTheme="majorBidi" w:cstheme="majorBidi"/>
        </w:rPr>
        <w:t xml:space="preserve"> claim against Mr Nguyen’s estate.</w:t>
      </w:r>
    </w:p>
    <w:p w14:paraId="6A280F66" w14:textId="1F58A69C" w:rsidR="005F5D89" w:rsidRPr="004C5271" w:rsidRDefault="00C111B9" w:rsidP="00C47D98">
      <w:pPr>
        <w:pStyle w:val="NumberedHeadingTLRI"/>
        <w:rPr>
          <w:rFonts w:asciiTheme="majorBidi" w:hAnsiTheme="majorBidi" w:cstheme="majorBidi"/>
          <w:lang w:val="en-AU"/>
        </w:rPr>
      </w:pPr>
      <w:bookmarkStart w:id="49" w:name="_Toc12268942"/>
      <w:r w:rsidRPr="004C5271">
        <w:rPr>
          <w:rFonts w:asciiTheme="majorBidi" w:hAnsiTheme="majorBidi" w:cstheme="majorBidi"/>
          <w:lang w:val="en-AU"/>
        </w:rPr>
        <w:t>E</w:t>
      </w:r>
      <w:r w:rsidR="005F5D89" w:rsidRPr="004C5271">
        <w:rPr>
          <w:rFonts w:asciiTheme="majorBidi" w:hAnsiTheme="majorBidi" w:cstheme="majorBidi"/>
          <w:lang w:val="en-AU"/>
        </w:rPr>
        <w:t>state</w:t>
      </w:r>
      <w:r w:rsidRPr="004C5271">
        <w:rPr>
          <w:rFonts w:asciiTheme="majorBidi" w:hAnsiTheme="majorBidi" w:cstheme="majorBidi"/>
          <w:lang w:val="en-AU"/>
        </w:rPr>
        <w:t xml:space="preserve"> assets</w:t>
      </w:r>
      <w:r w:rsidR="005F5D89" w:rsidRPr="004C5271">
        <w:rPr>
          <w:rFonts w:asciiTheme="majorBidi" w:hAnsiTheme="majorBidi" w:cstheme="majorBidi"/>
          <w:lang w:val="en-AU"/>
        </w:rPr>
        <w:t xml:space="preserve"> distributed</w:t>
      </w:r>
      <w:r w:rsidRPr="004C5271">
        <w:rPr>
          <w:rFonts w:asciiTheme="majorBidi" w:hAnsiTheme="majorBidi" w:cstheme="majorBidi"/>
          <w:lang w:val="en-AU"/>
        </w:rPr>
        <w:t xml:space="preserve"> from an estate</w:t>
      </w:r>
      <w:bookmarkEnd w:id="49"/>
    </w:p>
    <w:p w14:paraId="36A5B059" w14:textId="0A4D1054" w:rsidR="00CD2C8F" w:rsidRPr="004C5271" w:rsidRDefault="00CD2C8F" w:rsidP="00CB7945">
      <w:pPr>
        <w:pStyle w:val="NormalNumberedTextTLRI"/>
        <w:rPr>
          <w:rFonts w:asciiTheme="majorBidi" w:hAnsiTheme="majorBidi" w:cstheme="majorBidi"/>
          <w:lang w:val="en-AU"/>
        </w:rPr>
      </w:pPr>
      <w:r w:rsidRPr="004C5271">
        <w:rPr>
          <w:rFonts w:asciiTheme="majorBidi" w:hAnsiTheme="majorBidi" w:cstheme="majorBidi"/>
          <w:lang w:val="en-AU"/>
        </w:rPr>
        <w:t xml:space="preserve">Assets that were within an estate, but that a legal personal representative distributed prior to the making of a family provision claim, may also </w:t>
      </w:r>
      <w:r w:rsidR="00C111B9" w:rsidRPr="004C5271">
        <w:rPr>
          <w:rFonts w:asciiTheme="majorBidi" w:hAnsiTheme="majorBidi" w:cstheme="majorBidi"/>
          <w:lang w:val="en-AU"/>
        </w:rPr>
        <w:t>be excluded from a family provision claim.</w:t>
      </w:r>
    </w:p>
    <w:p w14:paraId="30C2769F" w14:textId="0AE6BB76" w:rsidR="005F5D89" w:rsidRPr="004C5271" w:rsidRDefault="00F71DAD" w:rsidP="00CB7945">
      <w:pPr>
        <w:pStyle w:val="NormalNumberedTextTLRI"/>
        <w:rPr>
          <w:rFonts w:asciiTheme="majorBidi" w:hAnsiTheme="majorBidi" w:cstheme="majorBidi"/>
          <w:lang w:val="en-AU"/>
        </w:rPr>
      </w:pPr>
      <w:r w:rsidRPr="004C5271">
        <w:rPr>
          <w:rFonts w:asciiTheme="majorBidi" w:hAnsiTheme="majorBidi" w:cstheme="majorBidi"/>
          <w:lang w:val="en-AU"/>
        </w:rPr>
        <w:t>T</w:t>
      </w:r>
      <w:r w:rsidR="005F5D89" w:rsidRPr="004C5271">
        <w:rPr>
          <w:rFonts w:asciiTheme="majorBidi" w:hAnsiTheme="majorBidi" w:cstheme="majorBidi"/>
          <w:lang w:val="en-AU"/>
        </w:rPr>
        <w:t>he</w:t>
      </w:r>
      <w:r w:rsidR="00C111B9" w:rsidRPr="004C5271">
        <w:rPr>
          <w:rFonts w:asciiTheme="majorBidi" w:hAnsiTheme="majorBidi" w:cstheme="majorBidi"/>
          <w:lang w:val="en-AU"/>
        </w:rPr>
        <w:t xml:space="preserve"> </w:t>
      </w:r>
      <w:r w:rsidR="00C111B9" w:rsidRPr="004C5271">
        <w:rPr>
          <w:rFonts w:asciiTheme="majorBidi" w:hAnsiTheme="majorBidi" w:cstheme="majorBidi"/>
          <w:i/>
          <w:iCs/>
          <w:lang w:val="en-AU"/>
        </w:rPr>
        <w:t>TFM</w:t>
      </w:r>
      <w:r w:rsidR="005F5D89" w:rsidRPr="004C5271">
        <w:rPr>
          <w:rFonts w:asciiTheme="majorBidi" w:hAnsiTheme="majorBidi" w:cstheme="majorBidi"/>
          <w:i/>
          <w:iCs/>
          <w:lang w:val="en-AU"/>
        </w:rPr>
        <w:t xml:space="preserve"> Act</w:t>
      </w:r>
      <w:r w:rsidR="005F5D89" w:rsidRPr="004C5271">
        <w:rPr>
          <w:rFonts w:asciiTheme="majorBidi" w:hAnsiTheme="majorBidi" w:cstheme="majorBidi"/>
          <w:lang w:val="en-AU"/>
        </w:rPr>
        <w:t xml:space="preserve"> requires a </w:t>
      </w:r>
      <w:r w:rsidR="00CD2C8F" w:rsidRPr="004C5271">
        <w:rPr>
          <w:rFonts w:asciiTheme="majorBidi" w:hAnsiTheme="majorBidi" w:cstheme="majorBidi"/>
          <w:lang w:val="en-AU"/>
        </w:rPr>
        <w:t>family provision</w:t>
      </w:r>
      <w:r w:rsidR="00EA39FD" w:rsidRPr="004C5271">
        <w:rPr>
          <w:rFonts w:asciiTheme="majorBidi" w:hAnsiTheme="majorBidi" w:cstheme="majorBidi"/>
          <w:lang w:val="en-AU"/>
        </w:rPr>
        <w:t xml:space="preserve"> </w:t>
      </w:r>
      <w:r w:rsidR="00D60D5F" w:rsidRPr="004C5271">
        <w:rPr>
          <w:rFonts w:asciiTheme="majorBidi" w:hAnsiTheme="majorBidi" w:cstheme="majorBidi"/>
          <w:lang w:val="en-AU"/>
        </w:rPr>
        <w:t>claim</w:t>
      </w:r>
      <w:r w:rsidR="005F5D89" w:rsidRPr="004C5271">
        <w:rPr>
          <w:rFonts w:asciiTheme="majorBidi" w:hAnsiTheme="majorBidi" w:cstheme="majorBidi"/>
          <w:lang w:val="en-AU"/>
        </w:rPr>
        <w:t xml:space="preserve"> to be filed </w:t>
      </w:r>
      <w:r w:rsidR="00D60D5F" w:rsidRPr="004C5271">
        <w:rPr>
          <w:rFonts w:asciiTheme="majorBidi" w:hAnsiTheme="majorBidi" w:cstheme="majorBidi"/>
          <w:lang w:val="en-AU"/>
        </w:rPr>
        <w:t xml:space="preserve">with the Court </w:t>
      </w:r>
      <w:r w:rsidR="005F5D89" w:rsidRPr="004C5271">
        <w:rPr>
          <w:rFonts w:asciiTheme="majorBidi" w:hAnsiTheme="majorBidi" w:cstheme="majorBidi"/>
          <w:lang w:val="en-AU"/>
        </w:rPr>
        <w:t xml:space="preserve">within three months of </w:t>
      </w:r>
      <w:r w:rsidR="00E048B8" w:rsidRPr="004C5271">
        <w:rPr>
          <w:rFonts w:asciiTheme="majorBidi" w:hAnsiTheme="majorBidi" w:cstheme="majorBidi"/>
          <w:lang w:val="en-AU"/>
        </w:rPr>
        <w:t>the</w:t>
      </w:r>
      <w:r w:rsidR="005F5D89" w:rsidRPr="004C5271">
        <w:rPr>
          <w:rFonts w:asciiTheme="majorBidi" w:hAnsiTheme="majorBidi" w:cstheme="majorBidi"/>
          <w:lang w:val="en-AU"/>
        </w:rPr>
        <w:t xml:space="preserve"> </w:t>
      </w:r>
      <w:r w:rsidRPr="004C5271">
        <w:rPr>
          <w:rFonts w:asciiTheme="majorBidi" w:hAnsiTheme="majorBidi" w:cstheme="majorBidi"/>
          <w:lang w:val="en-AU"/>
        </w:rPr>
        <w:t>g</w:t>
      </w:r>
      <w:r w:rsidR="005F5D89" w:rsidRPr="004C5271">
        <w:rPr>
          <w:rFonts w:asciiTheme="majorBidi" w:hAnsiTheme="majorBidi" w:cstheme="majorBidi"/>
          <w:lang w:val="en-AU"/>
        </w:rPr>
        <w:t xml:space="preserve">rant of </w:t>
      </w:r>
      <w:r w:rsidRPr="004C5271">
        <w:rPr>
          <w:rFonts w:asciiTheme="majorBidi" w:hAnsiTheme="majorBidi" w:cstheme="majorBidi"/>
          <w:lang w:val="en-AU"/>
        </w:rPr>
        <w:t>a</w:t>
      </w:r>
      <w:r w:rsidR="005F5D89" w:rsidRPr="004C5271">
        <w:rPr>
          <w:rFonts w:asciiTheme="majorBidi" w:hAnsiTheme="majorBidi" w:cstheme="majorBidi"/>
          <w:lang w:val="en-AU"/>
        </w:rPr>
        <w:t>dministration.</w:t>
      </w:r>
      <w:r w:rsidR="005F5D89" w:rsidRPr="004C5271">
        <w:rPr>
          <w:rStyle w:val="FootnoteReference"/>
          <w:rFonts w:asciiTheme="majorBidi" w:hAnsiTheme="majorBidi" w:cstheme="majorBidi"/>
          <w:lang w:val="en-AU"/>
        </w:rPr>
        <w:footnoteReference w:id="65"/>
      </w:r>
      <w:r w:rsidR="005F5D89" w:rsidRPr="004C5271">
        <w:rPr>
          <w:rFonts w:asciiTheme="majorBidi" w:hAnsiTheme="majorBidi" w:cstheme="majorBidi"/>
          <w:lang w:val="en-AU"/>
        </w:rPr>
        <w:t xml:space="preserve"> </w:t>
      </w:r>
      <w:r w:rsidR="00C512D1" w:rsidRPr="004C5271">
        <w:rPr>
          <w:rFonts w:asciiTheme="majorBidi" w:hAnsiTheme="majorBidi" w:cstheme="majorBidi"/>
          <w:lang w:val="en-AU"/>
        </w:rPr>
        <w:t>S</w:t>
      </w:r>
      <w:r w:rsidR="005F5D89" w:rsidRPr="004C5271">
        <w:rPr>
          <w:rFonts w:asciiTheme="majorBidi" w:hAnsiTheme="majorBidi" w:cstheme="majorBidi"/>
          <w:lang w:val="en-AU"/>
        </w:rPr>
        <w:t xml:space="preserve">ection </w:t>
      </w:r>
      <w:r w:rsidR="00BF6C19" w:rsidRPr="004C5271">
        <w:rPr>
          <w:rFonts w:asciiTheme="majorBidi" w:hAnsiTheme="majorBidi" w:cstheme="majorBidi"/>
          <w:lang w:val="en-AU"/>
        </w:rPr>
        <w:t xml:space="preserve">11(4) </w:t>
      </w:r>
      <w:r w:rsidR="005F5D89" w:rsidRPr="004C5271">
        <w:rPr>
          <w:rFonts w:asciiTheme="majorBidi" w:hAnsiTheme="majorBidi" w:cstheme="majorBidi"/>
          <w:lang w:val="en-AU"/>
        </w:rPr>
        <w:t>provide</w:t>
      </w:r>
      <w:r w:rsidR="00FB51C8" w:rsidRPr="004C5271">
        <w:rPr>
          <w:rFonts w:asciiTheme="majorBidi" w:hAnsiTheme="majorBidi" w:cstheme="majorBidi"/>
          <w:lang w:val="en-AU"/>
        </w:rPr>
        <w:t>s</w:t>
      </w:r>
      <w:r w:rsidR="005F5D89" w:rsidRPr="004C5271">
        <w:rPr>
          <w:rFonts w:asciiTheme="majorBidi" w:hAnsiTheme="majorBidi" w:cstheme="majorBidi"/>
          <w:lang w:val="en-AU"/>
        </w:rPr>
        <w:t xml:space="preserve"> that any application </w:t>
      </w:r>
      <w:r w:rsidR="00D60D5F" w:rsidRPr="004C5271">
        <w:rPr>
          <w:rFonts w:asciiTheme="majorBidi" w:hAnsiTheme="majorBidi" w:cstheme="majorBidi"/>
          <w:lang w:val="en-AU"/>
        </w:rPr>
        <w:t>seeking</w:t>
      </w:r>
      <w:r w:rsidR="005F5D89" w:rsidRPr="004C5271">
        <w:rPr>
          <w:rFonts w:asciiTheme="majorBidi" w:hAnsiTheme="majorBidi" w:cstheme="majorBidi"/>
          <w:lang w:val="en-AU"/>
        </w:rPr>
        <w:t xml:space="preserve"> an extension </w:t>
      </w:r>
      <w:r w:rsidR="0027220D" w:rsidRPr="004C5271">
        <w:rPr>
          <w:rFonts w:asciiTheme="majorBidi" w:hAnsiTheme="majorBidi" w:cstheme="majorBidi"/>
          <w:lang w:val="en-AU"/>
        </w:rPr>
        <w:t>of</w:t>
      </w:r>
      <w:r w:rsidR="00F1190E" w:rsidRPr="004C5271">
        <w:rPr>
          <w:rFonts w:asciiTheme="majorBidi" w:hAnsiTheme="majorBidi" w:cstheme="majorBidi"/>
          <w:lang w:val="en-AU"/>
        </w:rPr>
        <w:t xml:space="preserve"> </w:t>
      </w:r>
      <w:r w:rsidRPr="004C5271">
        <w:rPr>
          <w:rFonts w:asciiTheme="majorBidi" w:hAnsiTheme="majorBidi" w:cstheme="majorBidi"/>
          <w:lang w:val="en-AU"/>
        </w:rPr>
        <w:t xml:space="preserve">this </w:t>
      </w:r>
      <w:r w:rsidR="005F5D89" w:rsidRPr="004C5271">
        <w:rPr>
          <w:rFonts w:asciiTheme="majorBidi" w:hAnsiTheme="majorBidi" w:cstheme="majorBidi"/>
          <w:lang w:val="en-AU"/>
        </w:rPr>
        <w:t xml:space="preserve">time </w:t>
      </w:r>
      <w:r w:rsidRPr="004C5271">
        <w:rPr>
          <w:rFonts w:asciiTheme="majorBidi" w:hAnsiTheme="majorBidi" w:cstheme="majorBidi"/>
          <w:lang w:val="en-AU"/>
        </w:rPr>
        <w:t xml:space="preserve">limit </w:t>
      </w:r>
      <w:r w:rsidR="005F5D89" w:rsidRPr="004C5271">
        <w:rPr>
          <w:rFonts w:asciiTheme="majorBidi" w:hAnsiTheme="majorBidi" w:cstheme="majorBidi"/>
          <w:lang w:val="en-AU"/>
        </w:rPr>
        <w:t>must be made before the estate has been fully distributed.</w:t>
      </w:r>
      <w:r w:rsidR="005F5D89" w:rsidRPr="004C5271">
        <w:rPr>
          <w:rStyle w:val="FootnoteReference"/>
          <w:rFonts w:asciiTheme="majorBidi" w:hAnsiTheme="majorBidi" w:cstheme="majorBidi"/>
          <w:lang w:val="en-AU"/>
        </w:rPr>
        <w:footnoteReference w:id="66"/>
      </w:r>
      <w:r w:rsidR="005F5D89" w:rsidRPr="004C5271">
        <w:rPr>
          <w:rFonts w:asciiTheme="majorBidi" w:hAnsiTheme="majorBidi" w:cstheme="majorBidi"/>
          <w:lang w:val="en-AU"/>
        </w:rPr>
        <w:t xml:space="preserve"> It </w:t>
      </w:r>
      <w:r w:rsidR="002816E4" w:rsidRPr="004C5271">
        <w:rPr>
          <w:rFonts w:asciiTheme="majorBidi" w:hAnsiTheme="majorBidi" w:cstheme="majorBidi"/>
          <w:lang w:val="en-AU"/>
        </w:rPr>
        <w:t>states</w:t>
      </w:r>
      <w:r w:rsidR="005F5D89" w:rsidRPr="004C5271">
        <w:rPr>
          <w:rFonts w:asciiTheme="majorBidi" w:hAnsiTheme="majorBidi" w:cstheme="majorBidi"/>
          <w:lang w:val="en-AU"/>
        </w:rPr>
        <w:t>:</w:t>
      </w:r>
    </w:p>
    <w:p w14:paraId="19D7D83A" w14:textId="567A2607" w:rsidR="005F5D89" w:rsidRPr="004C5271" w:rsidRDefault="00BF6C19" w:rsidP="00515E8C">
      <w:pPr>
        <w:pStyle w:val="QuoteTLRI"/>
        <w:rPr>
          <w:rFonts w:asciiTheme="majorBidi" w:hAnsiTheme="majorBidi" w:cstheme="majorBidi"/>
        </w:rPr>
      </w:pPr>
      <w:r w:rsidRPr="004C5271">
        <w:rPr>
          <w:rFonts w:asciiTheme="majorBidi" w:hAnsiTheme="majorBidi" w:cstheme="majorBidi"/>
        </w:rPr>
        <w:lastRenderedPageBreak/>
        <w:t xml:space="preserve">An application … shall be made before the final distribution of the estate of the deceased person, and </w:t>
      </w:r>
      <w:r w:rsidR="005F5D89" w:rsidRPr="004C5271">
        <w:rPr>
          <w:rFonts w:asciiTheme="majorBidi" w:hAnsiTheme="majorBidi" w:cstheme="majorBidi"/>
        </w:rPr>
        <w:t xml:space="preserve">no distribution of any part of the estate made before the making of an application </w:t>
      </w:r>
      <w:r w:rsidRPr="004C5271">
        <w:rPr>
          <w:rFonts w:asciiTheme="majorBidi" w:hAnsiTheme="majorBidi" w:cstheme="majorBidi"/>
        </w:rPr>
        <w:t>…</w:t>
      </w:r>
      <w:r w:rsidR="005F5D89" w:rsidRPr="004C5271">
        <w:rPr>
          <w:rFonts w:asciiTheme="majorBidi" w:hAnsiTheme="majorBidi" w:cstheme="majorBidi"/>
        </w:rPr>
        <w:t xml:space="preserve"> shall be disturbed by reason of that application or of any order made thereon or in consequence thereof.</w:t>
      </w:r>
    </w:p>
    <w:p w14:paraId="18639A09" w14:textId="0DB81D65" w:rsidR="005F5D89" w:rsidRPr="004C5271" w:rsidRDefault="00CE3C96" w:rsidP="00AA737F">
      <w:pPr>
        <w:pStyle w:val="NormalNumberedTextTLRI"/>
        <w:rPr>
          <w:rFonts w:asciiTheme="majorBidi" w:hAnsiTheme="majorBidi" w:cstheme="majorBidi"/>
          <w:lang w:val="en-AU"/>
        </w:rPr>
      </w:pPr>
      <w:r w:rsidRPr="004C5271">
        <w:rPr>
          <w:rFonts w:asciiTheme="majorBidi" w:hAnsiTheme="majorBidi" w:cstheme="majorBidi"/>
          <w:lang w:val="en-AU"/>
        </w:rPr>
        <w:t xml:space="preserve">This was the </w:t>
      </w:r>
      <w:r w:rsidR="002816E4" w:rsidRPr="004C5271">
        <w:rPr>
          <w:rFonts w:asciiTheme="majorBidi" w:hAnsiTheme="majorBidi" w:cstheme="majorBidi"/>
          <w:lang w:val="en-AU"/>
        </w:rPr>
        <w:t xml:space="preserve">situation that arose in </w:t>
      </w:r>
      <w:r w:rsidR="002816E4" w:rsidRPr="004C5271">
        <w:rPr>
          <w:rFonts w:asciiTheme="majorBidi" w:hAnsiTheme="majorBidi" w:cstheme="majorBidi"/>
          <w:i/>
          <w:lang w:val="en-AU"/>
        </w:rPr>
        <w:t>Williams v Williams</w:t>
      </w:r>
      <w:r w:rsidR="002816E4" w:rsidRPr="004C5271">
        <w:rPr>
          <w:rFonts w:asciiTheme="majorBidi" w:hAnsiTheme="majorBidi" w:cstheme="majorBidi"/>
          <w:lang w:val="en-AU"/>
        </w:rPr>
        <w:t>.</w:t>
      </w:r>
      <w:r w:rsidR="002816E4" w:rsidRPr="004C5271">
        <w:rPr>
          <w:rStyle w:val="FootnoteReference"/>
          <w:rFonts w:asciiTheme="majorBidi" w:hAnsiTheme="majorBidi" w:cstheme="majorBidi"/>
          <w:lang w:val="en-AU"/>
        </w:rPr>
        <w:footnoteReference w:id="67"/>
      </w:r>
      <w:r w:rsidR="002816E4" w:rsidRPr="004C5271">
        <w:rPr>
          <w:rFonts w:asciiTheme="majorBidi" w:hAnsiTheme="majorBidi" w:cstheme="majorBidi"/>
          <w:lang w:val="en-AU"/>
        </w:rPr>
        <w:t xml:space="preserve"> This case involved an application by </w:t>
      </w:r>
      <w:r w:rsidR="00587E28" w:rsidRPr="004C5271">
        <w:rPr>
          <w:rFonts w:asciiTheme="majorBidi" w:hAnsiTheme="majorBidi" w:cstheme="majorBidi"/>
          <w:lang w:val="en-AU"/>
        </w:rPr>
        <w:t>a</w:t>
      </w:r>
      <w:r w:rsidR="002816E4" w:rsidRPr="004C5271">
        <w:rPr>
          <w:rFonts w:asciiTheme="majorBidi" w:hAnsiTheme="majorBidi" w:cstheme="majorBidi"/>
          <w:lang w:val="en-AU"/>
        </w:rPr>
        <w:t xml:space="preserve"> surviving spouse which was made after the</w:t>
      </w:r>
      <w:r w:rsidR="00480BA7" w:rsidRPr="004C5271">
        <w:rPr>
          <w:rFonts w:asciiTheme="majorBidi" w:hAnsiTheme="majorBidi" w:cstheme="majorBidi"/>
          <w:lang w:val="en-AU"/>
        </w:rPr>
        <w:t xml:space="preserve"> expiry of the</w:t>
      </w:r>
      <w:r w:rsidR="002816E4" w:rsidRPr="004C5271">
        <w:rPr>
          <w:rFonts w:asciiTheme="majorBidi" w:hAnsiTheme="majorBidi" w:cstheme="majorBidi"/>
          <w:lang w:val="en-AU"/>
        </w:rPr>
        <w:t xml:space="preserve"> three </w:t>
      </w:r>
      <w:proofErr w:type="gramStart"/>
      <w:r w:rsidR="002816E4" w:rsidRPr="004C5271">
        <w:rPr>
          <w:rFonts w:asciiTheme="majorBidi" w:hAnsiTheme="majorBidi" w:cstheme="majorBidi"/>
          <w:lang w:val="en-AU"/>
        </w:rPr>
        <w:t>month</w:t>
      </w:r>
      <w:proofErr w:type="gramEnd"/>
      <w:r w:rsidR="002816E4" w:rsidRPr="004C5271">
        <w:rPr>
          <w:rFonts w:asciiTheme="majorBidi" w:hAnsiTheme="majorBidi" w:cstheme="majorBidi"/>
          <w:lang w:val="en-AU"/>
        </w:rPr>
        <w:t xml:space="preserve"> claim period. In the meantime, the </w:t>
      </w:r>
      <w:r w:rsidR="00587E28" w:rsidRPr="004C5271">
        <w:rPr>
          <w:rFonts w:asciiTheme="majorBidi" w:hAnsiTheme="majorBidi" w:cstheme="majorBidi"/>
          <w:lang w:val="en-AU"/>
        </w:rPr>
        <w:t>e</w:t>
      </w:r>
      <w:r w:rsidR="002816E4" w:rsidRPr="004C5271">
        <w:rPr>
          <w:rFonts w:asciiTheme="majorBidi" w:hAnsiTheme="majorBidi" w:cstheme="majorBidi"/>
          <w:lang w:val="en-AU"/>
        </w:rPr>
        <w:t xml:space="preserve">xecutors had distributed the main asset </w:t>
      </w:r>
      <w:r w:rsidR="009E44AE" w:rsidRPr="004C5271">
        <w:rPr>
          <w:rFonts w:asciiTheme="majorBidi" w:hAnsiTheme="majorBidi" w:cstheme="majorBidi"/>
          <w:lang w:val="en-AU"/>
        </w:rPr>
        <w:t>in the estate</w:t>
      </w:r>
      <w:r w:rsidR="002816E4" w:rsidRPr="004C5271">
        <w:rPr>
          <w:rFonts w:asciiTheme="majorBidi" w:hAnsiTheme="majorBidi" w:cstheme="majorBidi"/>
          <w:lang w:val="en-AU"/>
        </w:rPr>
        <w:t>, property at St Helens</w:t>
      </w:r>
      <w:r w:rsidR="00D60D5F" w:rsidRPr="004C5271">
        <w:rPr>
          <w:rFonts w:asciiTheme="majorBidi" w:hAnsiTheme="majorBidi" w:cstheme="majorBidi"/>
          <w:lang w:val="en-AU"/>
        </w:rPr>
        <w:t xml:space="preserve"> </w:t>
      </w:r>
      <w:r w:rsidR="002816E4" w:rsidRPr="004C5271">
        <w:rPr>
          <w:rFonts w:asciiTheme="majorBidi" w:hAnsiTheme="majorBidi" w:cstheme="majorBidi"/>
          <w:lang w:val="en-AU"/>
        </w:rPr>
        <w:t>worth about $650,000, in accordance with the terms of Mr Williams’ will.</w:t>
      </w:r>
    </w:p>
    <w:p w14:paraId="50D7DE43" w14:textId="189BD89F" w:rsidR="002816E4" w:rsidRPr="004C5271" w:rsidRDefault="002816E4" w:rsidP="00AA737F">
      <w:pPr>
        <w:pStyle w:val="NormalNumberedTextTLRI"/>
        <w:rPr>
          <w:rFonts w:asciiTheme="majorBidi" w:hAnsiTheme="majorBidi" w:cstheme="majorBidi"/>
          <w:lang w:val="en-AU"/>
        </w:rPr>
      </w:pPr>
      <w:r w:rsidRPr="004C5271">
        <w:rPr>
          <w:rFonts w:asciiTheme="majorBidi" w:hAnsiTheme="majorBidi" w:cstheme="majorBidi"/>
          <w:lang w:val="en-AU"/>
        </w:rPr>
        <w:t>Whilst the Court approved the applicant’s claim being made out of time,</w:t>
      </w:r>
      <w:r w:rsidRPr="004C5271">
        <w:rPr>
          <w:rStyle w:val="FootnoteReference"/>
          <w:rFonts w:asciiTheme="majorBidi" w:hAnsiTheme="majorBidi" w:cstheme="majorBidi"/>
          <w:lang w:val="en-AU"/>
        </w:rPr>
        <w:footnoteReference w:id="68"/>
      </w:r>
      <w:r w:rsidRPr="004C5271">
        <w:rPr>
          <w:rFonts w:asciiTheme="majorBidi" w:hAnsiTheme="majorBidi" w:cstheme="majorBidi"/>
          <w:lang w:val="en-AU"/>
        </w:rPr>
        <w:t xml:space="preserve"> it was confirmed that, as a consequence of </w:t>
      </w:r>
      <w:r w:rsidR="00D60D5F" w:rsidRPr="004C5271">
        <w:rPr>
          <w:rFonts w:asciiTheme="majorBidi" w:hAnsiTheme="majorBidi" w:cstheme="majorBidi"/>
          <w:lang w:val="en-AU"/>
        </w:rPr>
        <w:t xml:space="preserve">s 11(4) </w:t>
      </w:r>
      <w:r w:rsidRPr="004C5271">
        <w:rPr>
          <w:rFonts w:asciiTheme="majorBidi" w:hAnsiTheme="majorBidi" w:cstheme="majorBidi"/>
          <w:lang w:val="en-AU"/>
        </w:rPr>
        <w:t xml:space="preserve">the </w:t>
      </w:r>
      <w:r w:rsidR="00F148E9" w:rsidRPr="004C5271">
        <w:rPr>
          <w:rFonts w:asciiTheme="majorBidi" w:hAnsiTheme="majorBidi" w:cstheme="majorBidi"/>
          <w:i/>
          <w:lang w:val="en-AU"/>
        </w:rPr>
        <w:t xml:space="preserve">TFM </w:t>
      </w:r>
      <w:r w:rsidRPr="004C5271">
        <w:rPr>
          <w:rFonts w:asciiTheme="majorBidi" w:hAnsiTheme="majorBidi" w:cstheme="majorBidi"/>
          <w:i/>
          <w:lang w:val="en-AU"/>
        </w:rPr>
        <w:t>Act</w:t>
      </w:r>
      <w:r w:rsidRPr="004C5271">
        <w:rPr>
          <w:rFonts w:asciiTheme="majorBidi" w:hAnsiTheme="majorBidi" w:cstheme="majorBidi"/>
          <w:lang w:val="en-AU"/>
        </w:rPr>
        <w:t xml:space="preserve">, the distribution of </w:t>
      </w:r>
      <w:r w:rsidR="002028A5" w:rsidRPr="004C5271">
        <w:rPr>
          <w:rFonts w:asciiTheme="majorBidi" w:hAnsiTheme="majorBidi" w:cstheme="majorBidi"/>
          <w:lang w:val="en-AU"/>
        </w:rPr>
        <w:t xml:space="preserve">the </w:t>
      </w:r>
      <w:r w:rsidR="00196370" w:rsidRPr="004C5271">
        <w:rPr>
          <w:rFonts w:asciiTheme="majorBidi" w:hAnsiTheme="majorBidi" w:cstheme="majorBidi"/>
          <w:lang w:val="en-AU"/>
        </w:rPr>
        <w:t>St Helens</w:t>
      </w:r>
      <w:r w:rsidR="00587E28" w:rsidRPr="004C5271">
        <w:rPr>
          <w:rFonts w:asciiTheme="majorBidi" w:hAnsiTheme="majorBidi" w:cstheme="majorBidi"/>
          <w:lang w:val="en-AU"/>
        </w:rPr>
        <w:t xml:space="preserve"> property </w:t>
      </w:r>
      <w:r w:rsidRPr="004C5271">
        <w:rPr>
          <w:rFonts w:asciiTheme="majorBidi" w:hAnsiTheme="majorBidi" w:cstheme="majorBidi"/>
          <w:lang w:val="en-AU"/>
        </w:rPr>
        <w:t xml:space="preserve">could not be disturbed for the purpose of making provision </w:t>
      </w:r>
      <w:r w:rsidR="00C111B9" w:rsidRPr="004C5271">
        <w:rPr>
          <w:rFonts w:asciiTheme="majorBidi" w:hAnsiTheme="majorBidi" w:cstheme="majorBidi"/>
          <w:lang w:val="en-AU"/>
        </w:rPr>
        <w:t>for</w:t>
      </w:r>
      <w:r w:rsidRPr="004C5271">
        <w:rPr>
          <w:rFonts w:asciiTheme="majorBidi" w:hAnsiTheme="majorBidi" w:cstheme="majorBidi"/>
          <w:lang w:val="en-AU"/>
        </w:rPr>
        <w:t xml:space="preserve"> the applicant.</w:t>
      </w:r>
      <w:r w:rsidRPr="004C5271">
        <w:rPr>
          <w:rStyle w:val="FootnoteReference"/>
          <w:rFonts w:asciiTheme="majorBidi" w:hAnsiTheme="majorBidi" w:cstheme="majorBidi"/>
          <w:lang w:val="en-AU"/>
        </w:rPr>
        <w:footnoteReference w:id="69"/>
      </w:r>
      <w:r w:rsidR="00D60D5F" w:rsidRPr="004C5271">
        <w:rPr>
          <w:rFonts w:asciiTheme="majorBidi" w:hAnsiTheme="majorBidi" w:cstheme="majorBidi"/>
          <w:lang w:val="en-AU"/>
        </w:rPr>
        <w:t xml:space="preserve"> This significantly reduced the pool</w:t>
      </w:r>
      <w:r w:rsidR="00C111B9" w:rsidRPr="004C5271">
        <w:rPr>
          <w:rFonts w:asciiTheme="majorBidi" w:hAnsiTheme="majorBidi" w:cstheme="majorBidi"/>
          <w:lang w:val="en-AU"/>
        </w:rPr>
        <w:t xml:space="preserve"> of assets</w:t>
      </w:r>
      <w:r w:rsidR="00D60D5F" w:rsidRPr="004C5271">
        <w:rPr>
          <w:rFonts w:asciiTheme="majorBidi" w:hAnsiTheme="majorBidi" w:cstheme="majorBidi"/>
          <w:lang w:val="en-AU"/>
        </w:rPr>
        <w:t xml:space="preserve"> from which additional provision could be made for the spouse.</w:t>
      </w:r>
    </w:p>
    <w:p w14:paraId="3DCAEE20" w14:textId="332FA6BA" w:rsidR="006D5B8B" w:rsidRPr="004C5271" w:rsidRDefault="00C111B9" w:rsidP="006D5B8B">
      <w:pPr>
        <w:pStyle w:val="NormalNumberedTextTLRI"/>
        <w:rPr>
          <w:rFonts w:asciiTheme="majorBidi" w:hAnsiTheme="majorBidi" w:cstheme="majorBidi"/>
          <w:lang w:val="en-AU"/>
        </w:rPr>
      </w:pPr>
      <w:r w:rsidRPr="004C5271">
        <w:rPr>
          <w:rFonts w:asciiTheme="majorBidi" w:hAnsiTheme="majorBidi" w:cstheme="majorBidi"/>
          <w:lang w:val="en-AU"/>
        </w:rPr>
        <w:t>The courts have made clear</w:t>
      </w:r>
      <w:r w:rsidR="006D5B8B" w:rsidRPr="004C5271">
        <w:rPr>
          <w:rFonts w:asciiTheme="majorBidi" w:hAnsiTheme="majorBidi" w:cstheme="majorBidi"/>
          <w:lang w:val="en-AU"/>
        </w:rPr>
        <w:t>, however, that where an executor or administrator distributes an estate prematurely</w:t>
      </w:r>
      <w:r w:rsidR="008347B7" w:rsidRPr="004C5271">
        <w:rPr>
          <w:rFonts w:asciiTheme="majorBidi" w:hAnsiTheme="majorBidi" w:cstheme="majorBidi"/>
          <w:lang w:val="en-AU"/>
        </w:rPr>
        <w:t xml:space="preserve"> or with notice of a claim</w:t>
      </w:r>
      <w:r w:rsidR="006D5B8B" w:rsidRPr="004C5271">
        <w:rPr>
          <w:rFonts w:asciiTheme="majorBidi" w:hAnsiTheme="majorBidi" w:cstheme="majorBidi"/>
          <w:lang w:val="en-AU"/>
        </w:rPr>
        <w:t xml:space="preserve">, the court may make orders requiring a representative to restore assets to an estate. By way of illustration, in the case of </w:t>
      </w:r>
      <w:r w:rsidR="006D5B8B" w:rsidRPr="004C5271">
        <w:rPr>
          <w:rFonts w:asciiTheme="majorBidi" w:hAnsiTheme="majorBidi" w:cstheme="majorBidi"/>
          <w:i/>
          <w:iCs/>
          <w:lang w:val="en-AU"/>
        </w:rPr>
        <w:t>Soens v Rathborne</w:t>
      </w:r>
      <w:r w:rsidR="006D5B8B" w:rsidRPr="004C5271">
        <w:rPr>
          <w:rFonts w:asciiTheme="majorBidi" w:hAnsiTheme="majorBidi" w:cstheme="majorBidi"/>
          <w:lang w:val="en-AU"/>
        </w:rPr>
        <w:t>,</w:t>
      </w:r>
      <w:r w:rsidR="006D5B8B" w:rsidRPr="004C5271">
        <w:rPr>
          <w:rStyle w:val="FootnoteReference"/>
          <w:rFonts w:asciiTheme="majorBidi" w:hAnsiTheme="majorBidi" w:cstheme="majorBidi"/>
        </w:rPr>
        <w:footnoteReference w:id="70"/>
      </w:r>
      <w:r w:rsidR="006D5B8B" w:rsidRPr="004C5271">
        <w:rPr>
          <w:rFonts w:asciiTheme="majorBidi" w:hAnsiTheme="majorBidi" w:cstheme="majorBidi"/>
          <w:vertAlign w:val="superscript"/>
          <w:lang w:val="en-AU"/>
        </w:rPr>
        <w:t xml:space="preserve"> </w:t>
      </w:r>
      <w:r w:rsidR="009167AF" w:rsidRPr="004C5271">
        <w:rPr>
          <w:rFonts w:asciiTheme="majorBidi" w:hAnsiTheme="majorBidi" w:cstheme="majorBidi"/>
          <w:lang w:val="en-AU"/>
        </w:rPr>
        <w:t>Justice H</w:t>
      </w:r>
      <w:r w:rsidR="006D5B8B" w:rsidRPr="004C5271">
        <w:rPr>
          <w:rFonts w:asciiTheme="majorBidi" w:hAnsiTheme="majorBidi" w:cstheme="majorBidi"/>
          <w:lang w:val="en-AU"/>
        </w:rPr>
        <w:t xml:space="preserve">allen quoted the following statement by </w:t>
      </w:r>
      <w:r w:rsidR="008347B7" w:rsidRPr="004C5271">
        <w:rPr>
          <w:rFonts w:asciiTheme="majorBidi" w:hAnsiTheme="majorBidi" w:cstheme="majorBidi"/>
          <w:lang w:val="en-AU"/>
        </w:rPr>
        <w:t xml:space="preserve">Chief Justice </w:t>
      </w:r>
      <w:r w:rsidR="006D5B8B" w:rsidRPr="004C5271">
        <w:rPr>
          <w:rFonts w:asciiTheme="majorBidi" w:hAnsiTheme="majorBidi" w:cstheme="majorBidi"/>
          <w:lang w:val="en-AU"/>
        </w:rPr>
        <w:t>Young:</w:t>
      </w:r>
    </w:p>
    <w:p w14:paraId="6801D9A8" w14:textId="4FA5FDC6" w:rsidR="006D5B8B" w:rsidRPr="004C5271" w:rsidRDefault="006D5B8B" w:rsidP="00515E8C">
      <w:pPr>
        <w:pStyle w:val="QuoteTLRI"/>
        <w:rPr>
          <w:rFonts w:asciiTheme="majorBidi" w:hAnsiTheme="majorBidi" w:cstheme="majorBidi"/>
        </w:rPr>
      </w:pPr>
      <w:r w:rsidRPr="004C5271">
        <w:rPr>
          <w:rFonts w:asciiTheme="majorBidi" w:hAnsiTheme="majorBidi" w:cstheme="majorBidi"/>
        </w:rPr>
        <w:t>I wish to make it quite clear that in my view that where there has been a premature distribution of the estate the Court is not obliged to consider questions of notional estate, but would make an order that the executors personally restore the money which they have taken into the estate with interest and then make an order out of the augmented actual estate.</w:t>
      </w:r>
      <w:r w:rsidRPr="004C5271">
        <w:rPr>
          <w:rStyle w:val="FootnoteReference"/>
          <w:rFonts w:asciiTheme="majorBidi" w:hAnsiTheme="majorBidi" w:cstheme="majorBidi"/>
        </w:rPr>
        <w:footnoteReference w:id="71"/>
      </w:r>
      <w:r w:rsidRPr="004C5271">
        <w:rPr>
          <w:rFonts w:asciiTheme="majorBidi" w:hAnsiTheme="majorBidi" w:cstheme="majorBidi"/>
          <w:spacing w:val="-8"/>
        </w:rPr>
        <w:t xml:space="preserve"> </w:t>
      </w:r>
    </w:p>
    <w:p w14:paraId="4071A310" w14:textId="7AC3620A" w:rsidR="006D5B8B" w:rsidRPr="004C5271" w:rsidRDefault="006D5B8B" w:rsidP="00AA737F">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 </w:t>
      </w:r>
      <w:r w:rsidR="00C111B9" w:rsidRPr="004C5271">
        <w:rPr>
          <w:rFonts w:asciiTheme="majorBidi" w:hAnsiTheme="majorBidi" w:cstheme="majorBidi"/>
          <w:lang w:val="en-AU"/>
        </w:rPr>
        <w:t xml:space="preserve">There thus remains scope for the court to restore assets to an estate where they have been distributed improperly. In that instance, those assets would remain available to fund claims under the </w:t>
      </w:r>
      <w:r w:rsidR="00C111B9" w:rsidRPr="004C5271">
        <w:rPr>
          <w:rFonts w:asciiTheme="majorBidi" w:hAnsiTheme="majorBidi" w:cstheme="majorBidi"/>
          <w:i/>
          <w:iCs/>
          <w:lang w:val="en-AU"/>
        </w:rPr>
        <w:t>TFM Act</w:t>
      </w:r>
      <w:r w:rsidR="00C111B9" w:rsidRPr="004C5271">
        <w:rPr>
          <w:rFonts w:asciiTheme="majorBidi" w:hAnsiTheme="majorBidi" w:cstheme="majorBidi"/>
          <w:lang w:val="en-AU"/>
        </w:rPr>
        <w:t>.</w:t>
      </w:r>
    </w:p>
    <w:p w14:paraId="64E1DE42" w14:textId="0A895A9C" w:rsidR="005447D3" w:rsidRPr="004C5271" w:rsidRDefault="00C111B9" w:rsidP="006D493A">
      <w:pPr>
        <w:pStyle w:val="NumberedHeadingTLRI"/>
        <w:spacing w:after="120"/>
        <w:rPr>
          <w:rFonts w:asciiTheme="majorBidi" w:hAnsiTheme="majorBidi" w:cstheme="majorBidi"/>
          <w:lang w:val="en-AU"/>
        </w:rPr>
      </w:pPr>
      <w:bookmarkStart w:id="51" w:name="_Toc12268943"/>
      <w:r w:rsidRPr="004C5271">
        <w:rPr>
          <w:rFonts w:asciiTheme="majorBidi" w:hAnsiTheme="majorBidi" w:cstheme="majorBidi"/>
          <w:lang w:val="en-AU"/>
        </w:rPr>
        <w:t>Conclusion</w:t>
      </w:r>
      <w:bookmarkEnd w:id="51"/>
    </w:p>
    <w:p w14:paraId="6EAC069B" w14:textId="29DBF9B5" w:rsidR="00CD2C8F" w:rsidRPr="004C5271" w:rsidRDefault="005447D3" w:rsidP="005447D3">
      <w:pPr>
        <w:pStyle w:val="NormalNumberedTextTLRI"/>
        <w:spacing w:before="120"/>
        <w:rPr>
          <w:rFonts w:asciiTheme="majorBidi" w:hAnsiTheme="majorBidi" w:cstheme="majorBidi"/>
          <w:lang w:val="en-AU"/>
        </w:rPr>
      </w:pPr>
      <w:r w:rsidRPr="004C5271">
        <w:rPr>
          <w:rFonts w:asciiTheme="majorBidi" w:hAnsiTheme="majorBidi" w:cstheme="majorBidi"/>
          <w:lang w:val="en-AU"/>
        </w:rPr>
        <w:t xml:space="preserve">As </w:t>
      </w:r>
      <w:r w:rsidR="002028A5" w:rsidRPr="004C5271">
        <w:rPr>
          <w:rFonts w:asciiTheme="majorBidi" w:hAnsiTheme="majorBidi" w:cstheme="majorBidi"/>
          <w:lang w:val="en-AU"/>
        </w:rPr>
        <w:t xml:space="preserve">the analysis in </w:t>
      </w:r>
      <w:r w:rsidRPr="004C5271">
        <w:rPr>
          <w:rFonts w:asciiTheme="majorBidi" w:hAnsiTheme="majorBidi" w:cstheme="majorBidi"/>
          <w:lang w:val="en-AU"/>
        </w:rPr>
        <w:t xml:space="preserve">this </w:t>
      </w:r>
      <w:r w:rsidR="00564E44" w:rsidRPr="004C5271">
        <w:rPr>
          <w:rFonts w:asciiTheme="majorBidi" w:hAnsiTheme="majorBidi" w:cstheme="majorBidi"/>
          <w:lang w:val="en-AU"/>
        </w:rPr>
        <w:t>p</w:t>
      </w:r>
      <w:r w:rsidRPr="004C5271">
        <w:rPr>
          <w:rFonts w:asciiTheme="majorBidi" w:hAnsiTheme="majorBidi" w:cstheme="majorBidi"/>
          <w:lang w:val="en-AU"/>
        </w:rPr>
        <w:t xml:space="preserve">art illustrates, potential family provision claims may be defeated, or at least the assets at risk reduced, based upon the way that a person structures and deals with their assets during their life. </w:t>
      </w:r>
    </w:p>
    <w:p w14:paraId="54E51DC9" w14:textId="00182CD7" w:rsidR="00BF32CD" w:rsidRPr="003C3780" w:rsidRDefault="005447D3" w:rsidP="00C61533">
      <w:pPr>
        <w:pStyle w:val="NormalNumberedTextTLRI"/>
        <w:rPr>
          <w:rFonts w:asciiTheme="majorBidi" w:hAnsiTheme="majorBidi" w:cstheme="majorBidi"/>
        </w:rPr>
      </w:pPr>
      <w:r w:rsidRPr="003C3780">
        <w:rPr>
          <w:rFonts w:asciiTheme="majorBidi" w:hAnsiTheme="majorBidi" w:cstheme="majorBidi"/>
          <w:lang w:val="en-AU"/>
        </w:rPr>
        <w:t xml:space="preserve">In response to this circumstance, </w:t>
      </w:r>
      <w:r w:rsidR="00CD6063" w:rsidRPr="003C3780">
        <w:rPr>
          <w:rFonts w:asciiTheme="majorBidi" w:hAnsiTheme="majorBidi" w:cstheme="majorBidi"/>
          <w:lang w:val="en-AU"/>
        </w:rPr>
        <w:t xml:space="preserve">New South Wales and </w:t>
      </w:r>
      <w:r w:rsidR="00C111B9" w:rsidRPr="003C3780">
        <w:rPr>
          <w:rFonts w:asciiTheme="majorBidi" w:hAnsiTheme="majorBidi" w:cstheme="majorBidi"/>
          <w:lang w:val="en-AU"/>
        </w:rPr>
        <w:t xml:space="preserve">some </w:t>
      </w:r>
      <w:r w:rsidR="00CD6063" w:rsidRPr="003C3780">
        <w:rPr>
          <w:rFonts w:asciiTheme="majorBidi" w:hAnsiTheme="majorBidi" w:cstheme="majorBidi"/>
          <w:lang w:val="en-AU"/>
        </w:rPr>
        <w:t xml:space="preserve">overseas </w:t>
      </w:r>
      <w:r w:rsidR="00C111B9" w:rsidRPr="003C3780">
        <w:rPr>
          <w:rFonts w:asciiTheme="majorBidi" w:hAnsiTheme="majorBidi" w:cstheme="majorBidi"/>
          <w:lang w:val="en-AU"/>
        </w:rPr>
        <w:t>jurisdictions have</w:t>
      </w:r>
      <w:r w:rsidRPr="003C3780">
        <w:rPr>
          <w:rFonts w:asciiTheme="majorBidi" w:hAnsiTheme="majorBidi" w:cstheme="majorBidi"/>
          <w:lang w:val="en-AU"/>
        </w:rPr>
        <w:t xml:space="preserve"> enacted notional estate provisions</w:t>
      </w:r>
      <w:r w:rsidR="00C111B9" w:rsidRPr="003C3780">
        <w:rPr>
          <w:rFonts w:asciiTheme="majorBidi" w:hAnsiTheme="majorBidi" w:cstheme="majorBidi"/>
          <w:lang w:val="en-AU"/>
        </w:rPr>
        <w:t xml:space="preserve"> (however called)</w:t>
      </w:r>
      <w:r w:rsidRPr="003C3780">
        <w:rPr>
          <w:rFonts w:asciiTheme="majorBidi" w:hAnsiTheme="majorBidi" w:cstheme="majorBidi"/>
          <w:lang w:val="en-AU"/>
        </w:rPr>
        <w:t xml:space="preserve"> within family provision legislation. These </w:t>
      </w:r>
      <w:r w:rsidR="00C111B9" w:rsidRPr="003C3780">
        <w:rPr>
          <w:rFonts w:asciiTheme="majorBidi" w:hAnsiTheme="majorBidi" w:cstheme="majorBidi"/>
          <w:lang w:val="en-AU"/>
        </w:rPr>
        <w:t xml:space="preserve">provisions </w:t>
      </w:r>
      <w:r w:rsidRPr="003C3780">
        <w:rPr>
          <w:rFonts w:asciiTheme="majorBidi" w:hAnsiTheme="majorBidi" w:cstheme="majorBidi"/>
          <w:lang w:val="en-AU"/>
        </w:rPr>
        <w:t>enable assets to be treated as though they comprised part of a person’s estate for the purpose of award</w:t>
      </w:r>
      <w:r w:rsidR="00CD2C8F" w:rsidRPr="003C3780">
        <w:rPr>
          <w:rFonts w:asciiTheme="majorBidi" w:hAnsiTheme="majorBidi" w:cstheme="majorBidi"/>
          <w:lang w:val="en-AU"/>
        </w:rPr>
        <w:t>ing</w:t>
      </w:r>
      <w:r w:rsidRPr="003C3780">
        <w:rPr>
          <w:rFonts w:asciiTheme="majorBidi" w:hAnsiTheme="majorBidi" w:cstheme="majorBidi"/>
          <w:lang w:val="en-AU"/>
        </w:rPr>
        <w:t xml:space="preserve"> provision to a successful </w:t>
      </w:r>
      <w:r w:rsidR="00CD2C8F" w:rsidRPr="003C3780">
        <w:rPr>
          <w:rFonts w:asciiTheme="majorBidi" w:hAnsiTheme="majorBidi" w:cstheme="majorBidi"/>
          <w:lang w:val="en-AU"/>
        </w:rPr>
        <w:t>family provision</w:t>
      </w:r>
      <w:r w:rsidRPr="003C3780">
        <w:rPr>
          <w:rFonts w:asciiTheme="majorBidi" w:hAnsiTheme="majorBidi" w:cstheme="majorBidi"/>
          <w:lang w:val="en-AU"/>
        </w:rPr>
        <w:t xml:space="preserve"> </w:t>
      </w:r>
      <w:r w:rsidR="00CD2C8F" w:rsidRPr="003C3780">
        <w:rPr>
          <w:rFonts w:asciiTheme="majorBidi" w:hAnsiTheme="majorBidi" w:cstheme="majorBidi"/>
          <w:lang w:val="en-AU"/>
        </w:rPr>
        <w:t>claimant</w:t>
      </w:r>
      <w:r w:rsidRPr="003C3780">
        <w:rPr>
          <w:rFonts w:asciiTheme="majorBidi" w:hAnsiTheme="majorBidi" w:cstheme="majorBidi"/>
          <w:lang w:val="en-AU"/>
        </w:rPr>
        <w:t>. T</w:t>
      </w:r>
      <w:r w:rsidR="00C111B9" w:rsidRPr="003C3780">
        <w:rPr>
          <w:rFonts w:asciiTheme="majorBidi" w:hAnsiTheme="majorBidi" w:cstheme="majorBidi"/>
          <w:lang w:val="en-AU"/>
        </w:rPr>
        <w:t>he development of t</w:t>
      </w:r>
      <w:r w:rsidRPr="003C3780">
        <w:rPr>
          <w:rFonts w:asciiTheme="majorBidi" w:hAnsiTheme="majorBidi" w:cstheme="majorBidi"/>
          <w:lang w:val="en-AU"/>
        </w:rPr>
        <w:t xml:space="preserve">hese </w:t>
      </w:r>
      <w:r w:rsidR="00CD2C8F" w:rsidRPr="003C3780">
        <w:rPr>
          <w:rFonts w:asciiTheme="majorBidi" w:hAnsiTheme="majorBidi" w:cstheme="majorBidi"/>
          <w:lang w:val="en-AU"/>
        </w:rPr>
        <w:t>‘notional estate’ laws</w:t>
      </w:r>
      <w:r w:rsidRPr="003C3780">
        <w:rPr>
          <w:rFonts w:asciiTheme="majorBidi" w:hAnsiTheme="majorBidi" w:cstheme="majorBidi"/>
          <w:lang w:val="en-AU"/>
        </w:rPr>
        <w:t xml:space="preserve"> are explained in </w:t>
      </w:r>
      <w:r w:rsidR="00CD2C8F" w:rsidRPr="003C3780">
        <w:rPr>
          <w:rFonts w:asciiTheme="majorBidi" w:hAnsiTheme="majorBidi" w:cstheme="majorBidi"/>
          <w:lang w:val="en-AU"/>
        </w:rPr>
        <w:t>Part 3</w:t>
      </w:r>
      <w:r w:rsidRPr="003C3780">
        <w:rPr>
          <w:rFonts w:asciiTheme="majorBidi" w:hAnsiTheme="majorBidi" w:cstheme="majorBidi"/>
          <w:lang w:val="en-AU"/>
        </w:rPr>
        <w:t>.</w:t>
      </w:r>
      <w:r w:rsidR="00C111B9" w:rsidRPr="003C3780">
        <w:rPr>
          <w:rFonts w:asciiTheme="majorBidi" w:hAnsiTheme="majorBidi" w:cstheme="majorBidi"/>
          <w:lang w:val="en-AU"/>
        </w:rPr>
        <w:t xml:space="preserve"> </w:t>
      </w:r>
      <w:r w:rsidR="00A27138" w:rsidRPr="003C3780">
        <w:rPr>
          <w:rFonts w:asciiTheme="majorBidi" w:hAnsiTheme="majorBidi" w:cstheme="majorBidi"/>
          <w:lang w:val="en-AU"/>
        </w:rPr>
        <w:t>T</w:t>
      </w:r>
      <w:r w:rsidR="00C111B9" w:rsidRPr="003C3780">
        <w:rPr>
          <w:rFonts w:asciiTheme="majorBidi" w:hAnsiTheme="majorBidi" w:cstheme="majorBidi"/>
          <w:lang w:val="en-AU"/>
        </w:rPr>
        <w:t xml:space="preserve">he New South Wales framework </w:t>
      </w:r>
      <w:r w:rsidR="00A27138" w:rsidRPr="003C3780">
        <w:rPr>
          <w:rFonts w:asciiTheme="majorBidi" w:hAnsiTheme="majorBidi" w:cstheme="majorBidi"/>
          <w:lang w:val="en-AU"/>
        </w:rPr>
        <w:t xml:space="preserve">is </w:t>
      </w:r>
      <w:r w:rsidR="00C111B9" w:rsidRPr="003C3780">
        <w:rPr>
          <w:rFonts w:asciiTheme="majorBidi" w:hAnsiTheme="majorBidi" w:cstheme="majorBidi"/>
          <w:lang w:val="en-AU"/>
        </w:rPr>
        <w:t>explained in more detail in Part 4.</w:t>
      </w:r>
      <w:r w:rsidR="003C3780" w:rsidRPr="003C3780">
        <w:rPr>
          <w:rFonts w:asciiTheme="majorBidi" w:hAnsiTheme="majorBidi" w:cstheme="majorBidi"/>
          <w:lang w:val="en-AU"/>
        </w:rPr>
        <w:t xml:space="preserve"> </w:t>
      </w:r>
    </w:p>
    <w:p w14:paraId="0DE85F5F" w14:textId="7B3C5711" w:rsidR="00BF32CD" w:rsidRPr="004C5271" w:rsidRDefault="00BF32CD" w:rsidP="00BF32CD">
      <w:pPr>
        <w:pStyle w:val="NormalNumberedTextTLRI"/>
        <w:rPr>
          <w:rFonts w:asciiTheme="majorBidi" w:hAnsiTheme="majorBidi" w:cstheme="majorBidi"/>
        </w:rPr>
        <w:sectPr w:rsidR="00BF32CD" w:rsidRPr="004C5271" w:rsidSect="004C5271">
          <w:headerReference w:type="default" r:id="rId37"/>
          <w:pgSz w:w="9979" w:h="14232" w:code="9"/>
          <w:pgMar w:top="1440" w:right="1440" w:bottom="1440" w:left="1440" w:header="709" w:footer="709" w:gutter="0"/>
          <w:cols w:space="708"/>
          <w:titlePg/>
          <w:docGrid w:linePitch="360"/>
        </w:sectPr>
      </w:pPr>
    </w:p>
    <w:p w14:paraId="6B1AB795" w14:textId="6D8E22CA" w:rsidR="00AA5FD8" w:rsidRPr="004C5271" w:rsidRDefault="00AA5FD8" w:rsidP="00EF722D">
      <w:pPr>
        <w:pStyle w:val="PartNoTLRI"/>
        <w:ind w:left="0" w:firstLine="0"/>
        <w:rPr>
          <w:rFonts w:asciiTheme="majorBidi" w:hAnsiTheme="majorBidi" w:cstheme="majorBidi"/>
        </w:rPr>
      </w:pPr>
      <w:bookmarkStart w:id="52" w:name="_Toc2256860"/>
      <w:bookmarkStart w:id="53" w:name="_Toc12268944"/>
      <w:bookmarkEnd w:id="52"/>
      <w:bookmarkEnd w:id="53"/>
    </w:p>
    <w:p w14:paraId="0FE05D2D" w14:textId="25CAA4F8" w:rsidR="002C3DFE" w:rsidRPr="004C5271" w:rsidRDefault="00343BFF" w:rsidP="00780FFD">
      <w:pPr>
        <w:pStyle w:val="PartHeadingTLRI"/>
        <w:rPr>
          <w:rFonts w:asciiTheme="majorBidi" w:hAnsiTheme="majorBidi" w:cstheme="majorBidi"/>
          <w:lang w:val="en-AU"/>
        </w:rPr>
      </w:pPr>
      <w:bookmarkStart w:id="54" w:name="_Toc12268945"/>
      <w:r w:rsidRPr="004C5271">
        <w:rPr>
          <w:rFonts w:asciiTheme="majorBidi" w:hAnsiTheme="majorBidi" w:cstheme="majorBidi"/>
          <w:lang w:val="en-AU"/>
        </w:rPr>
        <w:t xml:space="preserve">Development of </w:t>
      </w:r>
      <w:r w:rsidR="00C47D98" w:rsidRPr="004C5271">
        <w:rPr>
          <w:rFonts w:asciiTheme="majorBidi" w:hAnsiTheme="majorBidi" w:cstheme="majorBidi"/>
          <w:lang w:val="en-AU"/>
        </w:rPr>
        <w:t>N</w:t>
      </w:r>
      <w:r w:rsidR="00AA5FD8" w:rsidRPr="004C5271">
        <w:rPr>
          <w:rFonts w:asciiTheme="majorBidi" w:hAnsiTheme="majorBidi" w:cstheme="majorBidi"/>
          <w:lang w:val="en-AU"/>
        </w:rPr>
        <w:t xml:space="preserve">otional </w:t>
      </w:r>
      <w:r w:rsidR="00C47D98" w:rsidRPr="004C5271">
        <w:rPr>
          <w:rFonts w:asciiTheme="majorBidi" w:hAnsiTheme="majorBidi" w:cstheme="majorBidi"/>
          <w:lang w:val="en-AU"/>
        </w:rPr>
        <w:t>E</w:t>
      </w:r>
      <w:r w:rsidR="00AA5FD8" w:rsidRPr="004C5271">
        <w:rPr>
          <w:rFonts w:asciiTheme="majorBidi" w:hAnsiTheme="majorBidi" w:cstheme="majorBidi"/>
          <w:lang w:val="en-AU"/>
        </w:rPr>
        <w:t>state</w:t>
      </w:r>
      <w:r w:rsidR="00DA0E9D" w:rsidRPr="004C5271">
        <w:rPr>
          <w:rFonts w:asciiTheme="majorBidi" w:hAnsiTheme="majorBidi" w:cstheme="majorBidi"/>
          <w:lang w:val="en-AU"/>
        </w:rPr>
        <w:t xml:space="preserve"> Laws</w:t>
      </w:r>
      <w:bookmarkEnd w:id="54"/>
    </w:p>
    <w:p w14:paraId="3219E08D" w14:textId="15F9F635" w:rsidR="006232EA" w:rsidRPr="004C5271" w:rsidRDefault="006D436B" w:rsidP="006232EA">
      <w:pPr>
        <w:pStyle w:val="NumberedHeadingTLRI"/>
        <w:rPr>
          <w:rFonts w:asciiTheme="majorBidi" w:hAnsiTheme="majorBidi" w:cstheme="majorBidi"/>
          <w:lang w:val="en-AU"/>
        </w:rPr>
      </w:pPr>
      <w:bookmarkStart w:id="55" w:name="_Toc12268946"/>
      <w:r w:rsidRPr="004C5271">
        <w:rPr>
          <w:rFonts w:asciiTheme="majorBidi" w:hAnsiTheme="majorBidi" w:cstheme="majorBidi"/>
          <w:lang w:val="en-AU"/>
        </w:rPr>
        <w:t>Introductio</w:t>
      </w:r>
      <w:r w:rsidR="006232EA" w:rsidRPr="004C5271">
        <w:rPr>
          <w:rFonts w:asciiTheme="majorBidi" w:hAnsiTheme="majorBidi" w:cstheme="majorBidi"/>
          <w:lang w:val="en-AU"/>
        </w:rPr>
        <w:t>n</w:t>
      </w:r>
      <w:bookmarkEnd w:id="55"/>
    </w:p>
    <w:p w14:paraId="34022591" w14:textId="703C82B9" w:rsidR="00ED489F" w:rsidRPr="004C5271" w:rsidRDefault="005E74C8" w:rsidP="00C60311">
      <w:pPr>
        <w:pStyle w:val="NormalNumberedTextTLRI"/>
        <w:rPr>
          <w:rFonts w:asciiTheme="majorBidi" w:hAnsiTheme="majorBidi" w:cstheme="majorBidi"/>
          <w:lang w:val="en-AU"/>
        </w:rPr>
      </w:pPr>
      <w:r w:rsidRPr="004C5271">
        <w:rPr>
          <w:rFonts w:asciiTheme="majorBidi" w:hAnsiTheme="majorBidi" w:cstheme="majorBidi"/>
          <w:lang w:val="en-AU"/>
        </w:rPr>
        <w:t>Preceding parts</w:t>
      </w:r>
      <w:r w:rsidR="00B0231D" w:rsidRPr="004C5271">
        <w:rPr>
          <w:rFonts w:asciiTheme="majorBidi" w:hAnsiTheme="majorBidi" w:cstheme="majorBidi"/>
          <w:lang w:val="en-AU"/>
        </w:rPr>
        <w:t xml:space="preserve"> of this </w:t>
      </w:r>
      <w:r w:rsidR="00C60311" w:rsidRPr="004C5271">
        <w:rPr>
          <w:rFonts w:asciiTheme="majorBidi" w:hAnsiTheme="majorBidi" w:cstheme="majorBidi"/>
          <w:lang w:val="en-AU"/>
        </w:rPr>
        <w:t>r</w:t>
      </w:r>
      <w:r w:rsidR="00ED489F" w:rsidRPr="004C5271">
        <w:rPr>
          <w:rFonts w:asciiTheme="majorBidi" w:hAnsiTheme="majorBidi" w:cstheme="majorBidi"/>
          <w:lang w:val="en-AU"/>
        </w:rPr>
        <w:t>eport</w:t>
      </w:r>
      <w:r w:rsidRPr="004C5271">
        <w:rPr>
          <w:rFonts w:asciiTheme="majorBidi" w:hAnsiTheme="majorBidi" w:cstheme="majorBidi"/>
          <w:lang w:val="en-AU"/>
        </w:rPr>
        <w:t xml:space="preserve"> have </w:t>
      </w:r>
      <w:r w:rsidR="00063BF1" w:rsidRPr="004C5271">
        <w:rPr>
          <w:rFonts w:asciiTheme="majorBidi" w:hAnsiTheme="majorBidi" w:cstheme="majorBidi"/>
          <w:lang w:val="en-AU"/>
        </w:rPr>
        <w:t>summarised</w:t>
      </w:r>
      <w:r w:rsidRPr="004C5271">
        <w:rPr>
          <w:rFonts w:asciiTheme="majorBidi" w:hAnsiTheme="majorBidi" w:cstheme="majorBidi"/>
          <w:lang w:val="en-AU"/>
        </w:rPr>
        <w:t xml:space="preserve"> the development of family provision law</w:t>
      </w:r>
      <w:r w:rsidR="00063BF1" w:rsidRPr="004C5271">
        <w:rPr>
          <w:rFonts w:asciiTheme="majorBidi" w:hAnsiTheme="majorBidi" w:cstheme="majorBidi"/>
          <w:lang w:val="en-AU"/>
        </w:rPr>
        <w:t>s</w:t>
      </w:r>
      <w:r w:rsidR="004D32A8" w:rsidRPr="004C5271">
        <w:rPr>
          <w:rFonts w:asciiTheme="majorBidi" w:hAnsiTheme="majorBidi" w:cstheme="majorBidi"/>
          <w:lang w:val="en-AU"/>
        </w:rPr>
        <w:t xml:space="preserve"> </w:t>
      </w:r>
      <w:r w:rsidR="0065123E" w:rsidRPr="004C5271">
        <w:rPr>
          <w:rFonts w:asciiTheme="majorBidi" w:hAnsiTheme="majorBidi" w:cstheme="majorBidi"/>
          <w:lang w:val="en-AU"/>
        </w:rPr>
        <w:t xml:space="preserve">and </w:t>
      </w:r>
      <w:r w:rsidR="00063BF1" w:rsidRPr="004C5271">
        <w:rPr>
          <w:rFonts w:asciiTheme="majorBidi" w:hAnsiTheme="majorBidi" w:cstheme="majorBidi"/>
          <w:lang w:val="en-AU"/>
        </w:rPr>
        <w:t>explained those</w:t>
      </w:r>
      <w:r w:rsidR="0065123E" w:rsidRPr="004C5271">
        <w:rPr>
          <w:rFonts w:asciiTheme="majorBidi" w:hAnsiTheme="majorBidi" w:cstheme="majorBidi"/>
          <w:lang w:val="en-AU"/>
        </w:rPr>
        <w:t xml:space="preserve"> assets </w:t>
      </w:r>
      <w:r w:rsidR="00063BF1" w:rsidRPr="004C5271">
        <w:rPr>
          <w:rFonts w:asciiTheme="majorBidi" w:hAnsiTheme="majorBidi" w:cstheme="majorBidi"/>
          <w:lang w:val="en-AU"/>
        </w:rPr>
        <w:t>that may</w:t>
      </w:r>
      <w:r w:rsidR="0065123E" w:rsidRPr="004C5271">
        <w:rPr>
          <w:rFonts w:asciiTheme="majorBidi" w:hAnsiTheme="majorBidi" w:cstheme="majorBidi"/>
          <w:lang w:val="en-AU"/>
        </w:rPr>
        <w:t xml:space="preserve"> be claimed </w:t>
      </w:r>
      <w:r w:rsidR="00452686" w:rsidRPr="004C5271">
        <w:rPr>
          <w:rFonts w:asciiTheme="majorBidi" w:hAnsiTheme="majorBidi" w:cstheme="majorBidi"/>
          <w:lang w:val="en-AU"/>
        </w:rPr>
        <w:t>as part of</w:t>
      </w:r>
      <w:r w:rsidR="0065123E" w:rsidRPr="004C5271">
        <w:rPr>
          <w:rFonts w:asciiTheme="majorBidi" w:hAnsiTheme="majorBidi" w:cstheme="majorBidi"/>
          <w:lang w:val="en-AU"/>
        </w:rPr>
        <w:t xml:space="preserve"> </w:t>
      </w:r>
      <w:r w:rsidR="00566D4F" w:rsidRPr="004C5271">
        <w:rPr>
          <w:rFonts w:asciiTheme="majorBidi" w:hAnsiTheme="majorBidi" w:cstheme="majorBidi"/>
          <w:lang w:val="en-AU"/>
        </w:rPr>
        <w:t xml:space="preserve">a </w:t>
      </w:r>
      <w:r w:rsidR="00CD2C8F" w:rsidRPr="004C5271">
        <w:rPr>
          <w:rFonts w:asciiTheme="majorBidi" w:hAnsiTheme="majorBidi" w:cstheme="majorBidi"/>
          <w:lang w:val="en-AU"/>
        </w:rPr>
        <w:t>family provision</w:t>
      </w:r>
      <w:r w:rsidR="00566D4F" w:rsidRPr="004C5271">
        <w:rPr>
          <w:rFonts w:asciiTheme="majorBidi" w:hAnsiTheme="majorBidi" w:cstheme="majorBidi"/>
          <w:lang w:val="en-AU"/>
        </w:rPr>
        <w:t xml:space="preserve"> claim in </w:t>
      </w:r>
      <w:r w:rsidR="0065123E" w:rsidRPr="004C5271">
        <w:rPr>
          <w:rFonts w:asciiTheme="majorBidi" w:hAnsiTheme="majorBidi" w:cstheme="majorBidi"/>
          <w:lang w:val="en-AU"/>
        </w:rPr>
        <w:t>Tasmania</w:t>
      </w:r>
      <w:r w:rsidR="00566D4F" w:rsidRPr="004C5271">
        <w:rPr>
          <w:rFonts w:asciiTheme="majorBidi" w:hAnsiTheme="majorBidi" w:cstheme="majorBidi"/>
          <w:lang w:val="en-AU"/>
        </w:rPr>
        <w:t>.</w:t>
      </w:r>
      <w:r w:rsidR="00C60311" w:rsidRPr="004C5271">
        <w:rPr>
          <w:rFonts w:asciiTheme="majorBidi" w:hAnsiTheme="majorBidi" w:cstheme="majorBidi"/>
          <w:lang w:val="en-AU"/>
        </w:rPr>
        <w:t xml:space="preserve"> </w:t>
      </w:r>
      <w:r w:rsidR="00ED489F" w:rsidRPr="004C5271">
        <w:rPr>
          <w:rFonts w:asciiTheme="majorBidi" w:hAnsiTheme="majorBidi" w:cstheme="majorBidi"/>
          <w:lang w:val="en-AU"/>
        </w:rPr>
        <w:t xml:space="preserve">This part explains the development of notional estate </w:t>
      </w:r>
      <w:r w:rsidR="00005A70" w:rsidRPr="004C5271">
        <w:rPr>
          <w:rFonts w:asciiTheme="majorBidi" w:hAnsiTheme="majorBidi" w:cstheme="majorBidi"/>
          <w:lang w:val="en-AU"/>
        </w:rPr>
        <w:t>laws</w:t>
      </w:r>
      <w:r w:rsidR="00ED489F" w:rsidRPr="004C5271">
        <w:rPr>
          <w:rFonts w:asciiTheme="majorBidi" w:hAnsiTheme="majorBidi" w:cstheme="majorBidi"/>
          <w:lang w:val="en-AU"/>
        </w:rPr>
        <w:t xml:space="preserve"> </w:t>
      </w:r>
      <w:r w:rsidR="00063BF1" w:rsidRPr="004C5271">
        <w:rPr>
          <w:rFonts w:asciiTheme="majorBidi" w:hAnsiTheme="majorBidi" w:cstheme="majorBidi"/>
          <w:lang w:val="en-AU"/>
        </w:rPr>
        <w:t xml:space="preserve">in other jurisdictions </w:t>
      </w:r>
      <w:r w:rsidR="00ED489F" w:rsidRPr="004C5271">
        <w:rPr>
          <w:rFonts w:asciiTheme="majorBidi" w:hAnsiTheme="majorBidi" w:cstheme="majorBidi"/>
          <w:lang w:val="en-AU"/>
        </w:rPr>
        <w:t xml:space="preserve">which </w:t>
      </w:r>
      <w:r w:rsidR="00005A70" w:rsidRPr="004C5271">
        <w:rPr>
          <w:rFonts w:asciiTheme="majorBidi" w:hAnsiTheme="majorBidi" w:cstheme="majorBidi"/>
          <w:lang w:val="en-AU"/>
        </w:rPr>
        <w:t>are</w:t>
      </w:r>
      <w:r w:rsidR="00ED489F" w:rsidRPr="004C5271">
        <w:rPr>
          <w:rFonts w:asciiTheme="majorBidi" w:hAnsiTheme="majorBidi" w:cstheme="majorBidi"/>
          <w:lang w:val="en-AU"/>
        </w:rPr>
        <w:t xml:space="preserve"> broadly </w:t>
      </w:r>
      <w:r w:rsidR="00BB51F3" w:rsidRPr="004C5271">
        <w:rPr>
          <w:rFonts w:asciiTheme="majorBidi" w:hAnsiTheme="majorBidi" w:cstheme="majorBidi"/>
          <w:lang w:val="en-AU"/>
        </w:rPr>
        <w:t xml:space="preserve">framed </w:t>
      </w:r>
      <w:r w:rsidR="00ED489F" w:rsidRPr="004C5271">
        <w:rPr>
          <w:rFonts w:asciiTheme="majorBidi" w:hAnsiTheme="majorBidi" w:cstheme="majorBidi"/>
          <w:lang w:val="en-AU"/>
        </w:rPr>
        <w:t>as ‘anti-avoidance’</w:t>
      </w:r>
      <w:bookmarkStart w:id="56" w:name="_Ref13405638"/>
      <w:r w:rsidR="00063BF1" w:rsidRPr="004C5271">
        <w:rPr>
          <w:rStyle w:val="FootnoteReference"/>
          <w:rFonts w:asciiTheme="majorBidi" w:hAnsiTheme="majorBidi" w:cstheme="majorBidi"/>
          <w:lang w:val="en-AU"/>
        </w:rPr>
        <w:footnoteReference w:id="72"/>
      </w:r>
      <w:bookmarkEnd w:id="56"/>
      <w:r w:rsidR="00ED489F" w:rsidRPr="004C5271">
        <w:rPr>
          <w:rFonts w:asciiTheme="majorBidi" w:hAnsiTheme="majorBidi" w:cstheme="majorBidi"/>
          <w:lang w:val="en-AU"/>
        </w:rPr>
        <w:t xml:space="preserve"> </w:t>
      </w:r>
      <w:r w:rsidR="007529C1" w:rsidRPr="004C5271">
        <w:rPr>
          <w:rFonts w:asciiTheme="majorBidi" w:hAnsiTheme="majorBidi" w:cstheme="majorBidi"/>
          <w:lang w:val="en-AU"/>
        </w:rPr>
        <w:t>mechanisms</w:t>
      </w:r>
      <w:r w:rsidR="00ED489F" w:rsidRPr="004C5271">
        <w:rPr>
          <w:rFonts w:asciiTheme="majorBidi" w:hAnsiTheme="majorBidi" w:cstheme="majorBidi"/>
          <w:lang w:val="en-AU"/>
        </w:rPr>
        <w:t xml:space="preserve"> to eliminate</w:t>
      </w:r>
      <w:r w:rsidR="007529C1" w:rsidRPr="004C5271">
        <w:rPr>
          <w:rFonts w:asciiTheme="majorBidi" w:hAnsiTheme="majorBidi" w:cstheme="majorBidi"/>
          <w:lang w:val="en-AU"/>
        </w:rPr>
        <w:t xml:space="preserve">, </w:t>
      </w:r>
      <w:r w:rsidR="00ED489F" w:rsidRPr="004C5271">
        <w:rPr>
          <w:rFonts w:asciiTheme="majorBidi" w:hAnsiTheme="majorBidi" w:cstheme="majorBidi"/>
          <w:lang w:val="en-AU"/>
        </w:rPr>
        <w:t>or at least substantially reduce</w:t>
      </w:r>
      <w:r w:rsidR="007529C1" w:rsidRPr="004C5271">
        <w:rPr>
          <w:rFonts w:asciiTheme="majorBidi" w:hAnsiTheme="majorBidi" w:cstheme="majorBidi"/>
          <w:lang w:val="en-AU"/>
        </w:rPr>
        <w:t>,</w:t>
      </w:r>
      <w:r w:rsidR="00ED489F" w:rsidRPr="004C5271">
        <w:rPr>
          <w:rFonts w:asciiTheme="majorBidi" w:hAnsiTheme="majorBidi" w:cstheme="majorBidi"/>
          <w:lang w:val="en-AU"/>
        </w:rPr>
        <w:t xml:space="preserve"> the ability</w:t>
      </w:r>
      <w:r w:rsidR="00BB51F3" w:rsidRPr="004C5271">
        <w:rPr>
          <w:rFonts w:asciiTheme="majorBidi" w:hAnsiTheme="majorBidi" w:cstheme="majorBidi"/>
          <w:lang w:val="en-AU"/>
        </w:rPr>
        <w:t xml:space="preserve"> for </w:t>
      </w:r>
      <w:r w:rsidR="008C562C" w:rsidRPr="004C5271">
        <w:rPr>
          <w:rFonts w:asciiTheme="majorBidi" w:hAnsiTheme="majorBidi" w:cstheme="majorBidi"/>
          <w:lang w:val="en-AU"/>
        </w:rPr>
        <w:t>individuals</w:t>
      </w:r>
      <w:r w:rsidR="00ED489F" w:rsidRPr="004C5271">
        <w:rPr>
          <w:rFonts w:asciiTheme="majorBidi" w:hAnsiTheme="majorBidi" w:cstheme="majorBidi"/>
          <w:lang w:val="en-AU"/>
        </w:rPr>
        <w:t xml:space="preserve"> to defeat family provision claims by removing assets from challenge.</w:t>
      </w:r>
      <w:r w:rsidR="00BB51F3" w:rsidRPr="004C5271">
        <w:rPr>
          <w:rFonts w:asciiTheme="majorBidi" w:hAnsiTheme="majorBidi" w:cstheme="majorBidi"/>
          <w:lang w:val="en-AU"/>
        </w:rPr>
        <w:t xml:space="preserve"> New South Wales is the only jurisdiction in Australia to enact notional estate laws. However, consideration has been given to their introduction </w:t>
      </w:r>
      <w:r w:rsidR="005602B7" w:rsidRPr="004C5271">
        <w:rPr>
          <w:rFonts w:asciiTheme="majorBidi" w:hAnsiTheme="majorBidi" w:cstheme="majorBidi"/>
          <w:lang w:val="en-AU"/>
        </w:rPr>
        <w:t>in relation to joint tenancy properties in Western Australia</w:t>
      </w:r>
      <w:r w:rsidR="00BB51F3" w:rsidRPr="004C5271">
        <w:rPr>
          <w:rFonts w:asciiTheme="majorBidi" w:hAnsiTheme="majorBidi" w:cstheme="majorBidi"/>
          <w:lang w:val="en-AU"/>
        </w:rPr>
        <w:t xml:space="preserve">. </w:t>
      </w:r>
      <w:r w:rsidR="008347B7" w:rsidRPr="004C5271">
        <w:rPr>
          <w:rFonts w:asciiTheme="majorBidi" w:hAnsiTheme="majorBidi" w:cstheme="majorBidi"/>
          <w:lang w:val="en-AU"/>
        </w:rPr>
        <w:t xml:space="preserve">Their enactment has been rejected in Victoria and South Australia. </w:t>
      </w:r>
      <w:r w:rsidR="00BB51F3" w:rsidRPr="004C5271">
        <w:rPr>
          <w:rFonts w:asciiTheme="majorBidi" w:hAnsiTheme="majorBidi" w:cstheme="majorBidi"/>
          <w:lang w:val="en-AU"/>
        </w:rPr>
        <w:t>Internationally, they have been considered</w:t>
      </w:r>
      <w:r w:rsidR="00BB224A" w:rsidRPr="004C5271">
        <w:rPr>
          <w:rFonts w:asciiTheme="majorBidi" w:hAnsiTheme="majorBidi" w:cstheme="majorBidi"/>
          <w:lang w:val="en-AU"/>
        </w:rPr>
        <w:t xml:space="preserve"> in </w:t>
      </w:r>
      <w:r w:rsidR="00960360" w:rsidRPr="004C5271">
        <w:rPr>
          <w:rFonts w:asciiTheme="majorBidi" w:hAnsiTheme="majorBidi" w:cstheme="majorBidi"/>
          <w:lang w:val="en-AU"/>
        </w:rPr>
        <w:t>New Zealand and Scotland,</w:t>
      </w:r>
      <w:r w:rsidR="00BB51F3" w:rsidRPr="004C5271">
        <w:rPr>
          <w:rFonts w:asciiTheme="majorBidi" w:hAnsiTheme="majorBidi" w:cstheme="majorBidi"/>
          <w:lang w:val="en-AU"/>
        </w:rPr>
        <w:t xml:space="preserve"> and </w:t>
      </w:r>
      <w:r w:rsidR="00A27138" w:rsidRPr="004C5271">
        <w:rPr>
          <w:rFonts w:asciiTheme="majorBidi" w:hAnsiTheme="majorBidi" w:cstheme="majorBidi"/>
          <w:lang w:val="en-AU"/>
        </w:rPr>
        <w:t xml:space="preserve">implemented </w:t>
      </w:r>
      <w:r w:rsidR="001024C0" w:rsidRPr="004C5271">
        <w:rPr>
          <w:rFonts w:asciiTheme="majorBidi" w:hAnsiTheme="majorBidi" w:cstheme="majorBidi"/>
          <w:lang w:val="en-AU"/>
        </w:rPr>
        <w:t xml:space="preserve">in a more limited form </w:t>
      </w:r>
      <w:r w:rsidR="00BB51F3" w:rsidRPr="004C5271">
        <w:rPr>
          <w:rFonts w:asciiTheme="majorBidi" w:hAnsiTheme="majorBidi" w:cstheme="majorBidi"/>
          <w:lang w:val="en-AU"/>
        </w:rPr>
        <w:t>in</w:t>
      </w:r>
      <w:r w:rsidR="008347B7" w:rsidRPr="004C5271">
        <w:rPr>
          <w:rFonts w:asciiTheme="majorBidi" w:hAnsiTheme="majorBidi" w:cstheme="majorBidi"/>
          <w:lang w:val="en-AU"/>
        </w:rPr>
        <w:t xml:space="preserve"> parts of</w:t>
      </w:r>
      <w:r w:rsidR="00BB51F3" w:rsidRPr="004C5271">
        <w:rPr>
          <w:rFonts w:asciiTheme="majorBidi" w:hAnsiTheme="majorBidi" w:cstheme="majorBidi"/>
          <w:lang w:val="en-AU"/>
        </w:rPr>
        <w:t xml:space="preserve"> the United Kingdom, Canada</w:t>
      </w:r>
      <w:r w:rsidR="001024C0" w:rsidRPr="004C5271">
        <w:rPr>
          <w:rFonts w:asciiTheme="majorBidi" w:hAnsiTheme="majorBidi" w:cstheme="majorBidi"/>
          <w:lang w:val="en-AU"/>
        </w:rPr>
        <w:t>,</w:t>
      </w:r>
      <w:r w:rsidR="00CC664F" w:rsidRPr="004C5271">
        <w:rPr>
          <w:rFonts w:asciiTheme="majorBidi" w:hAnsiTheme="majorBidi" w:cstheme="majorBidi"/>
          <w:lang w:val="en-AU"/>
        </w:rPr>
        <w:t xml:space="preserve"> </w:t>
      </w:r>
      <w:r w:rsidR="001024C0" w:rsidRPr="004C5271">
        <w:rPr>
          <w:rFonts w:asciiTheme="majorBidi" w:hAnsiTheme="majorBidi" w:cstheme="majorBidi"/>
          <w:lang w:val="en-AU"/>
        </w:rPr>
        <w:t xml:space="preserve">and the </w:t>
      </w:r>
      <w:r w:rsidR="00BB51F3" w:rsidRPr="004C5271">
        <w:rPr>
          <w:rFonts w:asciiTheme="majorBidi" w:hAnsiTheme="majorBidi" w:cstheme="majorBidi"/>
          <w:lang w:val="en-AU"/>
        </w:rPr>
        <w:t>U</w:t>
      </w:r>
      <w:r w:rsidR="00C57412">
        <w:rPr>
          <w:rFonts w:asciiTheme="majorBidi" w:hAnsiTheme="majorBidi" w:cstheme="majorBidi"/>
          <w:lang w:val="en-AU"/>
        </w:rPr>
        <w:t xml:space="preserve">nited </w:t>
      </w:r>
      <w:r w:rsidR="00BB51F3" w:rsidRPr="004C5271">
        <w:rPr>
          <w:rFonts w:asciiTheme="majorBidi" w:hAnsiTheme="majorBidi" w:cstheme="majorBidi"/>
          <w:lang w:val="en-AU"/>
        </w:rPr>
        <w:t>S</w:t>
      </w:r>
      <w:r w:rsidR="00C57412">
        <w:rPr>
          <w:rFonts w:asciiTheme="majorBidi" w:hAnsiTheme="majorBidi" w:cstheme="majorBidi"/>
          <w:lang w:val="en-AU"/>
        </w:rPr>
        <w:t>tates</w:t>
      </w:r>
      <w:r w:rsidR="00BB51F3" w:rsidRPr="004C5271">
        <w:rPr>
          <w:rFonts w:asciiTheme="majorBidi" w:hAnsiTheme="majorBidi" w:cstheme="majorBidi"/>
          <w:lang w:val="en-AU"/>
        </w:rPr>
        <w:t xml:space="preserve">. This </w:t>
      </w:r>
      <w:r w:rsidR="00564E44" w:rsidRPr="004C5271">
        <w:rPr>
          <w:rFonts w:asciiTheme="majorBidi" w:hAnsiTheme="majorBidi" w:cstheme="majorBidi"/>
          <w:lang w:val="en-AU"/>
        </w:rPr>
        <w:t>p</w:t>
      </w:r>
      <w:r w:rsidR="00BB51F3" w:rsidRPr="004C5271">
        <w:rPr>
          <w:rFonts w:asciiTheme="majorBidi" w:hAnsiTheme="majorBidi" w:cstheme="majorBidi"/>
          <w:lang w:val="en-AU"/>
        </w:rPr>
        <w:t xml:space="preserve">art details </w:t>
      </w:r>
      <w:r w:rsidR="00F97CDC" w:rsidRPr="004C5271">
        <w:rPr>
          <w:rFonts w:asciiTheme="majorBidi" w:hAnsiTheme="majorBidi" w:cstheme="majorBidi"/>
          <w:lang w:val="en-AU"/>
        </w:rPr>
        <w:t xml:space="preserve">both the debate that has occurred and </w:t>
      </w:r>
      <w:r w:rsidR="00BB51F3" w:rsidRPr="004C5271">
        <w:rPr>
          <w:rFonts w:asciiTheme="majorBidi" w:hAnsiTheme="majorBidi" w:cstheme="majorBidi"/>
          <w:lang w:val="en-AU"/>
        </w:rPr>
        <w:t xml:space="preserve">the approach </w:t>
      </w:r>
      <w:r w:rsidR="00F97CDC" w:rsidRPr="004C5271">
        <w:rPr>
          <w:rFonts w:asciiTheme="majorBidi" w:hAnsiTheme="majorBidi" w:cstheme="majorBidi"/>
          <w:lang w:val="en-AU"/>
        </w:rPr>
        <w:t xml:space="preserve">subsequently </w:t>
      </w:r>
      <w:r w:rsidR="00BB51F3" w:rsidRPr="004C5271">
        <w:rPr>
          <w:rFonts w:asciiTheme="majorBidi" w:hAnsiTheme="majorBidi" w:cstheme="majorBidi"/>
          <w:lang w:val="en-AU"/>
        </w:rPr>
        <w:t xml:space="preserve">taken in the United Kingdom, </w:t>
      </w:r>
      <w:r w:rsidR="00960360" w:rsidRPr="004C5271">
        <w:rPr>
          <w:rFonts w:asciiTheme="majorBidi" w:hAnsiTheme="majorBidi" w:cstheme="majorBidi"/>
          <w:lang w:val="en-AU"/>
        </w:rPr>
        <w:t xml:space="preserve">Scotland, </w:t>
      </w:r>
      <w:r w:rsidR="00BB51F3" w:rsidRPr="004C5271">
        <w:rPr>
          <w:rFonts w:asciiTheme="majorBidi" w:hAnsiTheme="majorBidi" w:cstheme="majorBidi"/>
          <w:lang w:val="en-AU"/>
        </w:rPr>
        <w:t>Canada</w:t>
      </w:r>
      <w:r w:rsidR="001024C0" w:rsidRPr="004C5271">
        <w:rPr>
          <w:rFonts w:asciiTheme="majorBidi" w:hAnsiTheme="majorBidi" w:cstheme="majorBidi"/>
          <w:lang w:val="en-AU"/>
        </w:rPr>
        <w:t>,</w:t>
      </w:r>
      <w:r w:rsidR="00CC664F" w:rsidRPr="004C5271">
        <w:rPr>
          <w:rFonts w:asciiTheme="majorBidi" w:hAnsiTheme="majorBidi" w:cstheme="majorBidi"/>
          <w:lang w:val="en-AU"/>
        </w:rPr>
        <w:t xml:space="preserve"> </w:t>
      </w:r>
      <w:r w:rsidR="00BB51F3" w:rsidRPr="004C5271">
        <w:rPr>
          <w:rFonts w:asciiTheme="majorBidi" w:hAnsiTheme="majorBidi" w:cstheme="majorBidi"/>
          <w:lang w:val="en-AU"/>
        </w:rPr>
        <w:t xml:space="preserve">New Zealand </w:t>
      </w:r>
      <w:r w:rsidR="001024C0" w:rsidRPr="004C5271">
        <w:rPr>
          <w:rFonts w:asciiTheme="majorBidi" w:hAnsiTheme="majorBidi" w:cstheme="majorBidi"/>
          <w:lang w:val="en-AU"/>
        </w:rPr>
        <w:t xml:space="preserve">and the </w:t>
      </w:r>
      <w:r w:rsidR="00BB51F3" w:rsidRPr="004C5271">
        <w:rPr>
          <w:rFonts w:asciiTheme="majorBidi" w:hAnsiTheme="majorBidi" w:cstheme="majorBidi"/>
          <w:lang w:val="en-AU"/>
        </w:rPr>
        <w:t>U</w:t>
      </w:r>
      <w:r w:rsidR="00C57412">
        <w:rPr>
          <w:rFonts w:asciiTheme="majorBidi" w:hAnsiTheme="majorBidi" w:cstheme="majorBidi"/>
          <w:lang w:val="en-AU"/>
        </w:rPr>
        <w:t xml:space="preserve">nited </w:t>
      </w:r>
      <w:r w:rsidR="00BB51F3" w:rsidRPr="004C5271">
        <w:rPr>
          <w:rFonts w:asciiTheme="majorBidi" w:hAnsiTheme="majorBidi" w:cstheme="majorBidi"/>
          <w:lang w:val="en-AU"/>
        </w:rPr>
        <w:t>S</w:t>
      </w:r>
      <w:r w:rsidR="00C57412">
        <w:rPr>
          <w:rFonts w:asciiTheme="majorBidi" w:hAnsiTheme="majorBidi" w:cstheme="majorBidi"/>
          <w:lang w:val="en-AU"/>
        </w:rPr>
        <w:t>tates</w:t>
      </w:r>
      <w:r w:rsidR="00BB51F3" w:rsidRPr="004C5271">
        <w:rPr>
          <w:rFonts w:asciiTheme="majorBidi" w:hAnsiTheme="majorBidi" w:cstheme="majorBidi"/>
          <w:lang w:val="en-AU"/>
        </w:rPr>
        <w:t xml:space="preserve"> as well as the debate </w:t>
      </w:r>
      <w:r w:rsidR="00F97CDC" w:rsidRPr="004C5271">
        <w:rPr>
          <w:rFonts w:asciiTheme="majorBidi" w:hAnsiTheme="majorBidi" w:cstheme="majorBidi"/>
          <w:lang w:val="en-AU"/>
        </w:rPr>
        <w:t xml:space="preserve">and approach </w:t>
      </w:r>
      <w:r w:rsidR="00BB51F3" w:rsidRPr="004C5271">
        <w:rPr>
          <w:rFonts w:asciiTheme="majorBidi" w:hAnsiTheme="majorBidi" w:cstheme="majorBidi"/>
          <w:lang w:val="en-AU"/>
        </w:rPr>
        <w:t>in Victoria</w:t>
      </w:r>
      <w:r w:rsidR="005602B7" w:rsidRPr="004C5271">
        <w:rPr>
          <w:rFonts w:asciiTheme="majorBidi" w:hAnsiTheme="majorBidi" w:cstheme="majorBidi"/>
          <w:lang w:val="en-AU"/>
        </w:rPr>
        <w:t xml:space="preserve">, </w:t>
      </w:r>
      <w:r w:rsidR="00BB51F3" w:rsidRPr="004C5271">
        <w:rPr>
          <w:rFonts w:asciiTheme="majorBidi" w:hAnsiTheme="majorBidi" w:cstheme="majorBidi"/>
          <w:lang w:val="en-AU"/>
        </w:rPr>
        <w:t>South Australia</w:t>
      </w:r>
      <w:r w:rsidR="005602B7" w:rsidRPr="004C5271">
        <w:rPr>
          <w:rFonts w:asciiTheme="majorBidi" w:hAnsiTheme="majorBidi" w:cstheme="majorBidi"/>
          <w:lang w:val="en-AU"/>
        </w:rPr>
        <w:t xml:space="preserve"> and Western Australia</w:t>
      </w:r>
      <w:r w:rsidR="00BB51F3" w:rsidRPr="004C5271">
        <w:rPr>
          <w:rFonts w:asciiTheme="majorBidi" w:hAnsiTheme="majorBidi" w:cstheme="majorBidi"/>
          <w:lang w:val="en-AU"/>
        </w:rPr>
        <w:t xml:space="preserve">. Because New South Wales </w:t>
      </w:r>
      <w:r w:rsidR="00F97CDC" w:rsidRPr="004C5271">
        <w:rPr>
          <w:rFonts w:asciiTheme="majorBidi" w:hAnsiTheme="majorBidi" w:cstheme="majorBidi"/>
          <w:lang w:val="en-AU"/>
        </w:rPr>
        <w:t xml:space="preserve">is the only jurisdiction to enact notional estate laws in Australia, the legislation there is given separate and detailed consideration in Part </w:t>
      </w:r>
      <w:r w:rsidR="008C562C" w:rsidRPr="004C5271">
        <w:rPr>
          <w:rFonts w:asciiTheme="majorBidi" w:hAnsiTheme="majorBidi" w:cstheme="majorBidi"/>
          <w:lang w:val="en-AU"/>
        </w:rPr>
        <w:t>4</w:t>
      </w:r>
      <w:r w:rsidR="00F97CDC" w:rsidRPr="004C5271">
        <w:rPr>
          <w:rFonts w:asciiTheme="majorBidi" w:hAnsiTheme="majorBidi" w:cstheme="majorBidi"/>
          <w:lang w:val="en-AU"/>
        </w:rPr>
        <w:t xml:space="preserve"> of this report.</w:t>
      </w:r>
    </w:p>
    <w:p w14:paraId="4C92F3AD" w14:textId="34D4FE3E" w:rsidR="006232EA" w:rsidRPr="004C5271" w:rsidRDefault="00D52973" w:rsidP="008C13B2">
      <w:pPr>
        <w:pStyle w:val="NumberedHeadingTLRI"/>
        <w:tabs>
          <w:tab w:val="left" w:pos="5954"/>
        </w:tabs>
        <w:rPr>
          <w:rFonts w:asciiTheme="majorBidi" w:hAnsiTheme="majorBidi" w:cstheme="majorBidi"/>
          <w:lang w:val="en-AU"/>
        </w:rPr>
      </w:pPr>
      <w:bookmarkStart w:id="57" w:name="_Toc12268947"/>
      <w:bookmarkStart w:id="58" w:name="_Ref13515732"/>
      <w:r w:rsidRPr="004C5271">
        <w:rPr>
          <w:rFonts w:asciiTheme="majorBidi" w:hAnsiTheme="majorBidi" w:cstheme="majorBidi"/>
          <w:lang w:val="en-AU"/>
        </w:rPr>
        <w:lastRenderedPageBreak/>
        <w:t>England and Wales</w:t>
      </w:r>
      <w:bookmarkEnd w:id="57"/>
      <w:bookmarkEnd w:id="58"/>
    </w:p>
    <w:p w14:paraId="6BA37340" w14:textId="0CFD00C7" w:rsidR="00B418C1" w:rsidRPr="004C5271" w:rsidRDefault="00B418C1" w:rsidP="00B418C1">
      <w:pPr>
        <w:pStyle w:val="NormalNumberedTextTLRI"/>
        <w:rPr>
          <w:rFonts w:asciiTheme="majorBidi" w:hAnsiTheme="majorBidi" w:cstheme="majorBidi"/>
          <w:lang w:val="en-AU"/>
        </w:rPr>
      </w:pPr>
      <w:bookmarkStart w:id="59" w:name="_Ref13504537"/>
      <w:r w:rsidRPr="004C5271">
        <w:rPr>
          <w:rFonts w:asciiTheme="majorBidi" w:hAnsiTheme="majorBidi" w:cstheme="majorBidi"/>
          <w:lang w:val="en-AU"/>
        </w:rPr>
        <w:t xml:space="preserve">The Law Commission </w:t>
      </w:r>
      <w:r w:rsidR="00F62E1E" w:rsidRPr="004C5271">
        <w:rPr>
          <w:rFonts w:asciiTheme="majorBidi" w:hAnsiTheme="majorBidi" w:cstheme="majorBidi"/>
          <w:lang w:val="en-AU"/>
        </w:rPr>
        <w:t>(</w:t>
      </w:r>
      <w:r w:rsidRPr="004C5271">
        <w:rPr>
          <w:rFonts w:asciiTheme="majorBidi" w:hAnsiTheme="majorBidi" w:cstheme="majorBidi"/>
          <w:lang w:val="en-AU"/>
        </w:rPr>
        <w:t>England</w:t>
      </w:r>
      <w:r w:rsidR="00F62E1E" w:rsidRPr="004C5271">
        <w:rPr>
          <w:rFonts w:asciiTheme="majorBidi" w:hAnsiTheme="majorBidi" w:cstheme="majorBidi"/>
          <w:lang w:val="en-AU"/>
        </w:rPr>
        <w:t xml:space="preserve"> &amp; Wales)</w:t>
      </w:r>
      <w:r w:rsidRPr="004C5271">
        <w:rPr>
          <w:rFonts w:asciiTheme="majorBidi" w:hAnsiTheme="majorBidi" w:cstheme="majorBidi"/>
          <w:lang w:val="en-AU"/>
        </w:rPr>
        <w:t xml:space="preserve"> reviewed family provision laws in England during the 1970s, publishing its final report in 1974.</w:t>
      </w:r>
      <w:bookmarkStart w:id="60" w:name="_Ref12897342"/>
      <w:r w:rsidRPr="004C5271">
        <w:rPr>
          <w:rStyle w:val="FootnoteReference"/>
          <w:rFonts w:asciiTheme="majorBidi" w:hAnsiTheme="majorBidi" w:cstheme="majorBidi"/>
          <w:lang w:val="en-AU"/>
        </w:rPr>
        <w:footnoteReference w:id="73"/>
      </w:r>
      <w:bookmarkEnd w:id="60"/>
      <w:r w:rsidR="002C4FAE" w:rsidRPr="004C5271">
        <w:rPr>
          <w:rFonts w:asciiTheme="majorBidi" w:hAnsiTheme="majorBidi" w:cstheme="majorBidi"/>
          <w:lang w:val="en-AU"/>
        </w:rPr>
        <w:t xml:space="preserve"> The </w:t>
      </w:r>
      <w:r w:rsidR="00F62E1E" w:rsidRPr="004C5271">
        <w:rPr>
          <w:rFonts w:asciiTheme="majorBidi" w:hAnsiTheme="majorBidi" w:cstheme="majorBidi"/>
          <w:lang w:val="en-AU"/>
        </w:rPr>
        <w:t>Commission</w:t>
      </w:r>
      <w:r w:rsidR="00C57412">
        <w:rPr>
          <w:rFonts w:asciiTheme="majorBidi" w:hAnsiTheme="majorBidi" w:cstheme="majorBidi"/>
          <w:lang w:val="en-AU"/>
        </w:rPr>
        <w:t>’s</w:t>
      </w:r>
      <w:r w:rsidR="00F62E1E" w:rsidRPr="004C5271">
        <w:rPr>
          <w:rFonts w:asciiTheme="majorBidi" w:hAnsiTheme="majorBidi" w:cstheme="majorBidi"/>
          <w:lang w:val="en-AU"/>
        </w:rPr>
        <w:t xml:space="preserve"> </w:t>
      </w:r>
      <w:r w:rsidR="0012248F" w:rsidRPr="004C5271">
        <w:rPr>
          <w:rFonts w:asciiTheme="majorBidi" w:hAnsiTheme="majorBidi" w:cstheme="majorBidi"/>
          <w:lang w:val="en-AU"/>
        </w:rPr>
        <w:t xml:space="preserve">review </w:t>
      </w:r>
      <w:r w:rsidR="002C4FAE" w:rsidRPr="004C5271">
        <w:rPr>
          <w:rFonts w:asciiTheme="majorBidi" w:hAnsiTheme="majorBidi" w:cstheme="majorBidi"/>
          <w:lang w:val="en-AU"/>
        </w:rPr>
        <w:t>examined two types of transactions intended to defeat claims: the disposal of property during a person’s life and contracts to leave property by will.</w:t>
      </w:r>
      <w:r w:rsidR="002C4FAE" w:rsidRPr="004C5271">
        <w:rPr>
          <w:rStyle w:val="FootnoteReference"/>
          <w:rFonts w:asciiTheme="majorBidi" w:hAnsiTheme="majorBidi" w:cstheme="majorBidi"/>
          <w:lang w:val="en-AU"/>
        </w:rPr>
        <w:footnoteReference w:id="74"/>
      </w:r>
      <w:r w:rsidR="002C4FAE" w:rsidRPr="004C5271">
        <w:rPr>
          <w:rFonts w:asciiTheme="majorBidi" w:hAnsiTheme="majorBidi" w:cstheme="majorBidi"/>
          <w:lang w:val="en-AU"/>
        </w:rPr>
        <w:t xml:space="preserve"> It concluded that it was necessary to </w:t>
      </w:r>
      <w:r w:rsidR="002028A5" w:rsidRPr="004C5271">
        <w:rPr>
          <w:rFonts w:asciiTheme="majorBidi" w:hAnsiTheme="majorBidi" w:cstheme="majorBidi"/>
          <w:lang w:val="en-AU"/>
        </w:rPr>
        <w:t xml:space="preserve">enact </w:t>
      </w:r>
      <w:r w:rsidR="002C4FAE" w:rsidRPr="004C5271">
        <w:rPr>
          <w:rFonts w:asciiTheme="majorBidi" w:hAnsiTheme="majorBidi" w:cstheme="majorBidi"/>
          <w:lang w:val="en-AU"/>
        </w:rPr>
        <w:t>legislative provisions to prevent will</w:t>
      </w:r>
      <w:r w:rsidR="000B7F3C" w:rsidRPr="004C5271">
        <w:rPr>
          <w:rFonts w:asciiTheme="majorBidi" w:hAnsiTheme="majorBidi" w:cstheme="majorBidi"/>
          <w:lang w:val="en-AU"/>
        </w:rPr>
        <w:t>-</w:t>
      </w:r>
      <w:r w:rsidR="002C4FAE" w:rsidRPr="004C5271">
        <w:rPr>
          <w:rFonts w:asciiTheme="majorBidi" w:hAnsiTheme="majorBidi" w:cstheme="majorBidi"/>
          <w:lang w:val="en-AU"/>
        </w:rPr>
        <w:t>makers removing assets from risk of challenge in order to protect dependants and to discourage individuals from prejudicing dependants.</w:t>
      </w:r>
      <w:r w:rsidR="002C4FAE" w:rsidRPr="004C5271">
        <w:rPr>
          <w:rStyle w:val="FootnoteReference"/>
          <w:rFonts w:asciiTheme="majorBidi" w:hAnsiTheme="majorBidi" w:cstheme="majorBidi"/>
        </w:rPr>
        <w:footnoteReference w:id="75"/>
      </w:r>
      <w:r w:rsidR="002C4FAE" w:rsidRPr="004C5271">
        <w:rPr>
          <w:rFonts w:asciiTheme="majorBidi" w:hAnsiTheme="majorBidi" w:cstheme="majorBidi"/>
        </w:rPr>
        <w:t xml:space="preserve"> </w:t>
      </w:r>
      <w:r w:rsidR="002C4FAE" w:rsidRPr="004C5271">
        <w:rPr>
          <w:rFonts w:asciiTheme="majorBidi" w:hAnsiTheme="majorBidi" w:cstheme="majorBidi"/>
          <w:lang w:val="en-AU"/>
        </w:rPr>
        <w:t xml:space="preserve">The </w:t>
      </w:r>
      <w:r w:rsidR="00EF726B" w:rsidRPr="004C5271">
        <w:rPr>
          <w:rFonts w:asciiTheme="majorBidi" w:hAnsiTheme="majorBidi" w:cstheme="majorBidi"/>
          <w:lang w:val="en-AU"/>
        </w:rPr>
        <w:t xml:space="preserve">Commission </w:t>
      </w:r>
      <w:r w:rsidR="002C4FAE" w:rsidRPr="004C5271">
        <w:rPr>
          <w:rFonts w:asciiTheme="majorBidi" w:hAnsiTheme="majorBidi" w:cstheme="majorBidi"/>
          <w:lang w:val="en-AU"/>
        </w:rPr>
        <w:t xml:space="preserve">observed that similar provisions already existed under family law to </w:t>
      </w:r>
      <w:r w:rsidR="001F2C50" w:rsidRPr="004C5271">
        <w:rPr>
          <w:rFonts w:asciiTheme="majorBidi" w:hAnsiTheme="majorBidi" w:cstheme="majorBidi"/>
          <w:lang w:val="en-AU"/>
        </w:rPr>
        <w:t>deal with situations where</w:t>
      </w:r>
      <w:r w:rsidR="002C4FAE" w:rsidRPr="004C5271">
        <w:rPr>
          <w:rFonts w:asciiTheme="majorBidi" w:hAnsiTheme="majorBidi" w:cstheme="majorBidi"/>
          <w:lang w:val="en-AU"/>
        </w:rPr>
        <w:t xml:space="preserve"> individuals transfer or dispose of </w:t>
      </w:r>
      <w:r w:rsidR="001F2C50" w:rsidRPr="004C5271">
        <w:rPr>
          <w:rFonts w:asciiTheme="majorBidi" w:hAnsiTheme="majorBidi" w:cstheme="majorBidi"/>
          <w:lang w:val="en-AU"/>
        </w:rPr>
        <w:t xml:space="preserve">assets </w:t>
      </w:r>
      <w:r w:rsidR="002C4FAE" w:rsidRPr="004C5271">
        <w:rPr>
          <w:rFonts w:asciiTheme="majorBidi" w:hAnsiTheme="majorBidi" w:cstheme="majorBidi"/>
          <w:lang w:val="en-AU"/>
        </w:rPr>
        <w:t xml:space="preserve">with the intention of defeating </w:t>
      </w:r>
      <w:r w:rsidR="001F2C50" w:rsidRPr="004C5271">
        <w:rPr>
          <w:rFonts w:asciiTheme="majorBidi" w:hAnsiTheme="majorBidi" w:cstheme="majorBidi"/>
          <w:lang w:val="en-AU"/>
        </w:rPr>
        <w:t>a claim.</w:t>
      </w:r>
      <w:r w:rsidR="001F2C50" w:rsidRPr="004C5271">
        <w:rPr>
          <w:rStyle w:val="FootnoteReference"/>
          <w:rFonts w:asciiTheme="majorBidi" w:hAnsiTheme="majorBidi" w:cstheme="majorBidi"/>
        </w:rPr>
        <w:footnoteReference w:id="76"/>
      </w:r>
      <w:r w:rsidR="00FB6918" w:rsidRPr="004C5271">
        <w:rPr>
          <w:rFonts w:asciiTheme="majorBidi" w:hAnsiTheme="majorBidi" w:cstheme="majorBidi"/>
          <w:vertAlign w:val="superscript"/>
          <w:lang w:val="en-AU"/>
        </w:rPr>
        <w:t xml:space="preserve"> </w:t>
      </w:r>
      <w:r w:rsidR="00FB6918" w:rsidRPr="004C5271">
        <w:rPr>
          <w:rFonts w:asciiTheme="majorBidi" w:hAnsiTheme="majorBidi" w:cstheme="majorBidi"/>
          <w:lang w:val="en-AU"/>
        </w:rPr>
        <w:t xml:space="preserve">Whilst it noted the potential interference </w:t>
      </w:r>
      <w:r w:rsidR="00F97CDC" w:rsidRPr="004C5271">
        <w:rPr>
          <w:rFonts w:asciiTheme="majorBidi" w:hAnsiTheme="majorBidi" w:cstheme="majorBidi"/>
          <w:lang w:val="en-AU"/>
        </w:rPr>
        <w:t xml:space="preserve">with </w:t>
      </w:r>
      <w:r w:rsidR="00FB6918" w:rsidRPr="004C5271">
        <w:rPr>
          <w:rFonts w:asciiTheme="majorBidi" w:hAnsiTheme="majorBidi" w:cstheme="majorBidi"/>
          <w:lang w:val="en-AU"/>
        </w:rPr>
        <w:t xml:space="preserve">a person’s freedom to dispose of their assets as they please, and the potential uncertainty created for third parties, it concluded that </w:t>
      </w:r>
      <w:r w:rsidR="00B9203A" w:rsidRPr="004C5271">
        <w:rPr>
          <w:rFonts w:asciiTheme="majorBidi" w:hAnsiTheme="majorBidi" w:cstheme="majorBidi"/>
          <w:lang w:val="en-AU"/>
        </w:rPr>
        <w:t>‘</w:t>
      </w:r>
      <w:r w:rsidR="00FB6918" w:rsidRPr="004C5271">
        <w:rPr>
          <w:rFonts w:asciiTheme="majorBidi" w:hAnsiTheme="majorBidi" w:cstheme="majorBidi"/>
          <w:lang w:val="en-AU"/>
        </w:rPr>
        <w:t>it is a matter of overriding importance to ensure that family provision laws are effective.</w:t>
      </w:r>
      <w:r w:rsidR="00B9203A" w:rsidRPr="004C5271">
        <w:rPr>
          <w:rFonts w:asciiTheme="majorBidi" w:hAnsiTheme="majorBidi" w:cstheme="majorBidi"/>
          <w:lang w:val="en-AU"/>
        </w:rPr>
        <w:t>’</w:t>
      </w:r>
      <w:r w:rsidR="00FB6918" w:rsidRPr="004C5271">
        <w:rPr>
          <w:rStyle w:val="FootnoteReference"/>
          <w:rFonts w:asciiTheme="majorBidi" w:hAnsiTheme="majorBidi" w:cstheme="majorBidi"/>
        </w:rPr>
        <w:footnoteReference w:id="77"/>
      </w:r>
      <w:bookmarkEnd w:id="59"/>
    </w:p>
    <w:p w14:paraId="2D8C19EC" w14:textId="64F28321" w:rsidR="002463D5" w:rsidRPr="004C5271" w:rsidRDefault="002463D5" w:rsidP="00B418C1">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EF726B" w:rsidRPr="004C5271">
        <w:rPr>
          <w:rFonts w:asciiTheme="majorBidi" w:hAnsiTheme="majorBidi" w:cstheme="majorBidi"/>
          <w:lang w:val="en-AU"/>
        </w:rPr>
        <w:t xml:space="preserve">Commission </w:t>
      </w:r>
      <w:r w:rsidRPr="004C5271">
        <w:rPr>
          <w:rFonts w:asciiTheme="majorBidi" w:hAnsiTheme="majorBidi" w:cstheme="majorBidi"/>
          <w:lang w:val="en-AU"/>
        </w:rPr>
        <w:t xml:space="preserve">ultimately recommended that legislation provide the court with broad powers to deal with circumstances where a deceased has, </w:t>
      </w:r>
      <w:r w:rsidR="00441A04" w:rsidRPr="004C5271">
        <w:rPr>
          <w:rFonts w:asciiTheme="majorBidi" w:hAnsiTheme="majorBidi" w:cstheme="majorBidi"/>
          <w:lang w:val="en-AU"/>
        </w:rPr>
        <w:t>within six years of their death,</w:t>
      </w:r>
      <w:r w:rsidR="00441A04" w:rsidRPr="004C5271">
        <w:rPr>
          <w:rStyle w:val="FootnoteReference"/>
          <w:rFonts w:asciiTheme="majorBidi" w:hAnsiTheme="majorBidi" w:cstheme="majorBidi"/>
          <w:lang w:val="en-AU"/>
        </w:rPr>
        <w:footnoteReference w:id="78"/>
      </w:r>
      <w:r w:rsidR="00441A04" w:rsidRPr="004C5271">
        <w:rPr>
          <w:rFonts w:asciiTheme="majorBidi" w:hAnsiTheme="majorBidi" w:cstheme="majorBidi"/>
          <w:lang w:val="en-AU"/>
        </w:rPr>
        <w:t xml:space="preserve"> </w:t>
      </w:r>
      <w:r w:rsidRPr="004C5271">
        <w:rPr>
          <w:rFonts w:asciiTheme="majorBidi" w:hAnsiTheme="majorBidi" w:cstheme="majorBidi"/>
          <w:lang w:val="en-AU"/>
        </w:rPr>
        <w:t xml:space="preserve">entered into a transaction with the intention of defeating a potential family provision claim. It recommended that the court only be empowered </w:t>
      </w:r>
      <w:r w:rsidR="008347B7" w:rsidRPr="004C5271">
        <w:rPr>
          <w:rFonts w:asciiTheme="majorBidi" w:hAnsiTheme="majorBidi" w:cstheme="majorBidi"/>
          <w:lang w:val="en-AU"/>
        </w:rPr>
        <w:t xml:space="preserve">to clawback assets </w:t>
      </w:r>
      <w:r w:rsidRPr="004C5271">
        <w:rPr>
          <w:rFonts w:asciiTheme="majorBidi" w:hAnsiTheme="majorBidi" w:cstheme="majorBidi"/>
          <w:lang w:val="en-AU"/>
        </w:rPr>
        <w:t xml:space="preserve">where the recipient of </w:t>
      </w:r>
      <w:r w:rsidR="0012248F" w:rsidRPr="004C5271">
        <w:rPr>
          <w:rFonts w:asciiTheme="majorBidi" w:hAnsiTheme="majorBidi" w:cstheme="majorBidi"/>
          <w:lang w:val="en-AU"/>
        </w:rPr>
        <w:t xml:space="preserve">the </w:t>
      </w:r>
      <w:r w:rsidRPr="004C5271">
        <w:rPr>
          <w:rFonts w:asciiTheme="majorBidi" w:hAnsiTheme="majorBidi" w:cstheme="majorBidi"/>
          <w:lang w:val="en-AU"/>
        </w:rPr>
        <w:t xml:space="preserve">property (including money) has not given full valuable consideration </w:t>
      </w:r>
      <w:r w:rsidR="0012248F" w:rsidRPr="004C5271">
        <w:rPr>
          <w:rFonts w:asciiTheme="majorBidi" w:hAnsiTheme="majorBidi" w:cstheme="majorBidi"/>
          <w:lang w:val="en-AU"/>
        </w:rPr>
        <w:t>in return</w:t>
      </w:r>
      <w:r w:rsidRPr="004C5271">
        <w:rPr>
          <w:rFonts w:asciiTheme="majorBidi" w:hAnsiTheme="majorBidi" w:cstheme="majorBidi"/>
          <w:lang w:val="en-AU"/>
        </w:rPr>
        <w:t xml:space="preserve">. It proposed that the court be required to consider </w:t>
      </w:r>
      <w:proofErr w:type="gramStart"/>
      <w:r w:rsidRPr="004C5271">
        <w:rPr>
          <w:rFonts w:asciiTheme="majorBidi" w:hAnsiTheme="majorBidi" w:cstheme="majorBidi"/>
          <w:lang w:val="en-AU"/>
        </w:rPr>
        <w:t>all of</w:t>
      </w:r>
      <w:proofErr w:type="gramEnd"/>
      <w:r w:rsidRPr="004C5271">
        <w:rPr>
          <w:rFonts w:asciiTheme="majorBidi" w:hAnsiTheme="majorBidi" w:cstheme="majorBidi"/>
          <w:lang w:val="en-AU"/>
        </w:rPr>
        <w:t xml:space="preserve"> the circumstances before making an order, including the circumstances in which a disposition was </w:t>
      </w:r>
      <w:r w:rsidRPr="004C5271">
        <w:rPr>
          <w:rFonts w:asciiTheme="majorBidi" w:hAnsiTheme="majorBidi" w:cstheme="majorBidi"/>
          <w:lang w:val="en-AU"/>
        </w:rPr>
        <w:lastRenderedPageBreak/>
        <w:t>made, any consideration given and the conduct and financial resources of the recipient and their relationship with the deceased.</w:t>
      </w:r>
      <w:r w:rsidRPr="004C5271">
        <w:rPr>
          <w:rStyle w:val="FootnoteReference"/>
          <w:rFonts w:asciiTheme="majorBidi" w:hAnsiTheme="majorBidi" w:cstheme="majorBidi"/>
        </w:rPr>
        <w:footnoteReference w:id="79"/>
      </w:r>
    </w:p>
    <w:p w14:paraId="2258BA0B" w14:textId="469D6599" w:rsidR="003060C1" w:rsidRPr="004C5271" w:rsidRDefault="002463D5" w:rsidP="00B418C1">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EF726B" w:rsidRPr="004C5271">
        <w:rPr>
          <w:rFonts w:asciiTheme="majorBidi" w:hAnsiTheme="majorBidi" w:cstheme="majorBidi"/>
          <w:lang w:val="en-AU"/>
        </w:rPr>
        <w:t>Commission</w:t>
      </w:r>
      <w:r w:rsidR="00104CD1" w:rsidRPr="004C5271">
        <w:rPr>
          <w:rFonts w:asciiTheme="majorBidi" w:hAnsiTheme="majorBidi" w:cstheme="majorBidi"/>
          <w:lang w:val="en-AU"/>
        </w:rPr>
        <w:t xml:space="preserve"> </w:t>
      </w:r>
      <w:r w:rsidR="003060C1" w:rsidRPr="004C5271">
        <w:rPr>
          <w:rFonts w:asciiTheme="majorBidi" w:hAnsiTheme="majorBidi" w:cstheme="majorBidi"/>
          <w:lang w:val="en-AU"/>
        </w:rPr>
        <w:t xml:space="preserve">separately </w:t>
      </w:r>
      <w:r w:rsidRPr="004C5271">
        <w:rPr>
          <w:rFonts w:asciiTheme="majorBidi" w:hAnsiTheme="majorBidi" w:cstheme="majorBidi"/>
          <w:lang w:val="en-AU"/>
        </w:rPr>
        <w:t xml:space="preserve">considered </w:t>
      </w:r>
      <w:r w:rsidR="003060C1" w:rsidRPr="004C5271">
        <w:rPr>
          <w:rFonts w:asciiTheme="majorBidi" w:hAnsiTheme="majorBidi" w:cstheme="majorBidi"/>
          <w:lang w:val="en-AU"/>
        </w:rPr>
        <w:t>the issue of joint tenancy assets, the proceeds of life insurance policies and pension fund benefits.</w:t>
      </w:r>
    </w:p>
    <w:p w14:paraId="4C744463" w14:textId="1F4F8BE8" w:rsidR="003060C1" w:rsidRPr="004C5271" w:rsidRDefault="003060C1" w:rsidP="00B418C1">
      <w:pPr>
        <w:pStyle w:val="NormalNumberedTextTLRI"/>
        <w:rPr>
          <w:rFonts w:asciiTheme="majorBidi" w:hAnsiTheme="majorBidi" w:cstheme="majorBidi"/>
          <w:lang w:val="en-AU"/>
        </w:rPr>
      </w:pPr>
      <w:bookmarkStart w:id="63" w:name="_Ref12986764"/>
      <w:r w:rsidRPr="004C5271">
        <w:rPr>
          <w:rFonts w:asciiTheme="majorBidi" w:hAnsiTheme="majorBidi" w:cstheme="majorBidi"/>
          <w:lang w:val="en-AU"/>
        </w:rPr>
        <w:t>In relation to the question of whether</w:t>
      </w:r>
      <w:r w:rsidR="0012248F" w:rsidRPr="004C5271">
        <w:rPr>
          <w:rFonts w:asciiTheme="majorBidi" w:hAnsiTheme="majorBidi" w:cstheme="majorBidi"/>
          <w:lang w:val="en-AU"/>
        </w:rPr>
        <w:t xml:space="preserve"> joint tenancy</w:t>
      </w:r>
      <w:r w:rsidRPr="004C5271">
        <w:rPr>
          <w:rFonts w:asciiTheme="majorBidi" w:hAnsiTheme="majorBidi" w:cstheme="majorBidi"/>
          <w:lang w:val="en-AU"/>
        </w:rPr>
        <w:t xml:space="preserve"> assets should be available to satisfy family provision claims, the </w:t>
      </w:r>
      <w:r w:rsidR="00EF726B" w:rsidRPr="004C5271">
        <w:rPr>
          <w:rFonts w:asciiTheme="majorBidi" w:hAnsiTheme="majorBidi" w:cstheme="majorBidi"/>
          <w:lang w:val="en-AU"/>
        </w:rPr>
        <w:t>Commission</w:t>
      </w:r>
      <w:r w:rsidR="00104CD1" w:rsidRPr="004C5271">
        <w:rPr>
          <w:rFonts w:asciiTheme="majorBidi" w:hAnsiTheme="majorBidi" w:cstheme="majorBidi"/>
          <w:lang w:val="en-AU"/>
        </w:rPr>
        <w:t xml:space="preserve"> </w:t>
      </w:r>
      <w:r w:rsidRPr="004C5271">
        <w:rPr>
          <w:rFonts w:asciiTheme="majorBidi" w:hAnsiTheme="majorBidi" w:cstheme="majorBidi"/>
          <w:lang w:val="en-AU"/>
        </w:rPr>
        <w:t>recommended that a deceased’s severable share should be considered part of their net estate, if the court considers it just in the circumstances.</w:t>
      </w:r>
      <w:r w:rsidRPr="004C5271">
        <w:rPr>
          <w:rStyle w:val="FootnoteReference"/>
          <w:rFonts w:asciiTheme="majorBidi" w:hAnsiTheme="majorBidi" w:cstheme="majorBidi"/>
          <w:lang w:val="en-AU"/>
        </w:rPr>
        <w:footnoteReference w:id="80"/>
      </w:r>
      <w:r w:rsidRPr="004C5271">
        <w:rPr>
          <w:rFonts w:asciiTheme="majorBidi" w:hAnsiTheme="majorBidi" w:cstheme="majorBidi"/>
          <w:lang w:val="en-AU"/>
        </w:rPr>
        <w:t xml:space="preserve"> However, in order provide some degree of certainty to co-owners, it proposed that legislation only enable joint tenancy properties to be included in the pool of available assets where a family provision claim is made within six months of the date of the grant of representation and that there should be no ability for the court to extend that time period.</w:t>
      </w:r>
      <w:r w:rsidRPr="004C5271">
        <w:rPr>
          <w:rStyle w:val="FootnoteReference"/>
          <w:rFonts w:asciiTheme="majorBidi" w:hAnsiTheme="majorBidi" w:cstheme="majorBidi"/>
          <w:lang w:val="en-AU"/>
        </w:rPr>
        <w:footnoteReference w:id="81"/>
      </w:r>
      <w:bookmarkEnd w:id="63"/>
    </w:p>
    <w:p w14:paraId="0639B53A" w14:textId="49B6F748" w:rsidR="002463D5" w:rsidRPr="004C5271" w:rsidRDefault="00AC0C14" w:rsidP="00B418C1">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EF726B" w:rsidRPr="004C5271">
        <w:rPr>
          <w:rFonts w:asciiTheme="majorBidi" w:hAnsiTheme="majorBidi" w:cstheme="majorBidi"/>
          <w:lang w:val="en-AU"/>
        </w:rPr>
        <w:t>Commission</w:t>
      </w:r>
      <w:r w:rsidR="00104CD1" w:rsidRPr="004C5271">
        <w:rPr>
          <w:rFonts w:asciiTheme="majorBidi" w:hAnsiTheme="majorBidi" w:cstheme="majorBidi"/>
          <w:lang w:val="en-AU"/>
        </w:rPr>
        <w:t xml:space="preserve"> </w:t>
      </w:r>
      <w:r w:rsidR="00E606D7" w:rsidRPr="004C5271">
        <w:rPr>
          <w:rFonts w:asciiTheme="majorBidi" w:hAnsiTheme="majorBidi" w:cstheme="majorBidi"/>
          <w:lang w:val="en-AU"/>
        </w:rPr>
        <w:t xml:space="preserve">saw </w:t>
      </w:r>
      <w:r w:rsidR="00DC76B3" w:rsidRPr="004C5271">
        <w:rPr>
          <w:rFonts w:asciiTheme="majorBidi" w:hAnsiTheme="majorBidi" w:cstheme="majorBidi"/>
          <w:lang w:val="en-AU"/>
        </w:rPr>
        <w:t>‘</w:t>
      </w:r>
      <w:r w:rsidR="00E606D7" w:rsidRPr="004C5271">
        <w:rPr>
          <w:rFonts w:asciiTheme="majorBidi" w:hAnsiTheme="majorBidi" w:cstheme="majorBidi"/>
          <w:lang w:val="en-AU"/>
        </w:rPr>
        <w:t>considerable</w:t>
      </w:r>
      <w:r w:rsidR="002463D5" w:rsidRPr="004C5271">
        <w:rPr>
          <w:rFonts w:asciiTheme="majorBidi" w:hAnsiTheme="majorBidi" w:cstheme="majorBidi"/>
          <w:lang w:val="en-AU"/>
        </w:rPr>
        <w:t xml:space="preserve"> difficulties</w:t>
      </w:r>
      <w:r w:rsidR="00DC76B3" w:rsidRPr="004C5271">
        <w:rPr>
          <w:rFonts w:asciiTheme="majorBidi" w:hAnsiTheme="majorBidi" w:cstheme="majorBidi"/>
          <w:lang w:val="en-AU"/>
        </w:rPr>
        <w:t>’</w:t>
      </w:r>
      <w:r w:rsidR="002463D5" w:rsidRPr="004C5271">
        <w:rPr>
          <w:rFonts w:asciiTheme="majorBidi" w:hAnsiTheme="majorBidi" w:cstheme="majorBidi"/>
          <w:lang w:val="en-AU"/>
        </w:rPr>
        <w:t xml:space="preserve"> </w:t>
      </w:r>
      <w:r w:rsidRPr="004C5271">
        <w:rPr>
          <w:rFonts w:asciiTheme="majorBidi" w:hAnsiTheme="majorBidi" w:cstheme="majorBidi"/>
          <w:lang w:val="en-AU"/>
        </w:rPr>
        <w:t>with</w:t>
      </w:r>
      <w:r w:rsidR="002463D5" w:rsidRPr="004C5271">
        <w:rPr>
          <w:rFonts w:asciiTheme="majorBidi" w:hAnsiTheme="majorBidi" w:cstheme="majorBidi"/>
          <w:lang w:val="en-AU"/>
        </w:rPr>
        <w:t xml:space="preserve"> including</w:t>
      </w:r>
      <w:r w:rsidRPr="004C5271">
        <w:rPr>
          <w:rFonts w:asciiTheme="majorBidi" w:hAnsiTheme="majorBidi" w:cstheme="majorBidi"/>
          <w:lang w:val="en-AU"/>
        </w:rPr>
        <w:t xml:space="preserve"> the proceeds of a life insurance policy as part of</w:t>
      </w:r>
      <w:r w:rsidR="00E606D7" w:rsidRPr="004C5271">
        <w:rPr>
          <w:rFonts w:asciiTheme="majorBidi" w:hAnsiTheme="majorBidi" w:cstheme="majorBidi"/>
          <w:lang w:val="en-AU"/>
        </w:rPr>
        <w:t xml:space="preserve"> a ‘notional estate’ pool</w:t>
      </w:r>
      <w:r w:rsidR="00E606D7" w:rsidRPr="004C5271">
        <w:rPr>
          <w:rStyle w:val="FootnoteReference"/>
          <w:rFonts w:asciiTheme="majorBidi" w:hAnsiTheme="majorBidi" w:cstheme="majorBidi"/>
          <w:lang w:val="en-AU"/>
        </w:rPr>
        <w:footnoteReference w:id="82"/>
      </w:r>
      <w:r w:rsidR="00E606D7" w:rsidRPr="004C5271">
        <w:rPr>
          <w:rFonts w:asciiTheme="majorBidi" w:hAnsiTheme="majorBidi" w:cstheme="majorBidi"/>
          <w:lang w:val="en-AU"/>
        </w:rPr>
        <w:t xml:space="preserve"> and concluded that</w:t>
      </w:r>
      <w:r w:rsidR="002463D5" w:rsidRPr="004C5271">
        <w:rPr>
          <w:rFonts w:asciiTheme="majorBidi" w:hAnsiTheme="majorBidi" w:cstheme="majorBidi"/>
          <w:lang w:val="en-AU"/>
        </w:rPr>
        <w:t xml:space="preserve"> </w:t>
      </w:r>
      <w:r w:rsidR="00E606D7" w:rsidRPr="004C5271">
        <w:rPr>
          <w:rFonts w:asciiTheme="majorBidi" w:hAnsiTheme="majorBidi" w:cstheme="majorBidi"/>
          <w:lang w:val="en-AU"/>
        </w:rPr>
        <w:t>the</w:t>
      </w:r>
      <w:r w:rsidRPr="004C5271">
        <w:rPr>
          <w:rFonts w:asciiTheme="majorBidi" w:hAnsiTheme="majorBidi" w:cstheme="majorBidi"/>
          <w:lang w:val="en-AU"/>
        </w:rPr>
        <w:t xml:space="preserve">y </w:t>
      </w:r>
      <w:r w:rsidR="00E606D7" w:rsidRPr="004C5271">
        <w:rPr>
          <w:rFonts w:asciiTheme="majorBidi" w:hAnsiTheme="majorBidi" w:cstheme="majorBidi"/>
          <w:lang w:val="en-AU"/>
        </w:rPr>
        <w:t xml:space="preserve">should not be available for family provision claimants. It recommended, however, that the court have power to require recipients of the proceeds of a policy to repay to </w:t>
      </w:r>
      <w:r w:rsidRPr="004C5271">
        <w:rPr>
          <w:rFonts w:asciiTheme="majorBidi" w:hAnsiTheme="majorBidi" w:cstheme="majorBidi"/>
          <w:lang w:val="en-AU"/>
        </w:rPr>
        <w:t>an</w:t>
      </w:r>
      <w:r w:rsidR="00E606D7" w:rsidRPr="004C5271">
        <w:rPr>
          <w:rFonts w:asciiTheme="majorBidi" w:hAnsiTheme="majorBidi" w:cstheme="majorBidi"/>
          <w:lang w:val="en-AU"/>
        </w:rPr>
        <w:t xml:space="preserve"> estate some or </w:t>
      </w:r>
      <w:proofErr w:type="gramStart"/>
      <w:r w:rsidR="00E606D7" w:rsidRPr="004C5271">
        <w:rPr>
          <w:rFonts w:asciiTheme="majorBidi" w:hAnsiTheme="majorBidi" w:cstheme="majorBidi"/>
          <w:lang w:val="en-AU"/>
        </w:rPr>
        <w:t>all of</w:t>
      </w:r>
      <w:proofErr w:type="gramEnd"/>
      <w:r w:rsidR="00E606D7" w:rsidRPr="004C5271">
        <w:rPr>
          <w:rFonts w:asciiTheme="majorBidi" w:hAnsiTheme="majorBidi" w:cstheme="majorBidi"/>
          <w:lang w:val="en-AU"/>
        </w:rPr>
        <w:t xml:space="preserve"> the insurance premiums paid as may be just in the circumstances</w:t>
      </w:r>
      <w:r w:rsidR="0012248F" w:rsidRPr="004C5271">
        <w:rPr>
          <w:rFonts w:asciiTheme="majorBidi" w:hAnsiTheme="majorBidi" w:cstheme="majorBidi"/>
          <w:lang w:val="en-AU"/>
        </w:rPr>
        <w:t xml:space="preserve">. Its rationale was that </w:t>
      </w:r>
      <w:r w:rsidR="00E606D7" w:rsidRPr="004C5271">
        <w:rPr>
          <w:rFonts w:asciiTheme="majorBidi" w:hAnsiTheme="majorBidi" w:cstheme="majorBidi"/>
          <w:lang w:val="en-AU"/>
        </w:rPr>
        <w:t>it is this amount that has been lost to the estate.</w:t>
      </w:r>
      <w:bookmarkStart w:id="64" w:name="_Ref13069149"/>
      <w:r w:rsidR="00E606D7" w:rsidRPr="004C5271">
        <w:rPr>
          <w:rStyle w:val="FootnoteReference"/>
          <w:rFonts w:asciiTheme="majorBidi" w:hAnsiTheme="majorBidi" w:cstheme="majorBidi"/>
          <w:lang w:val="en-AU"/>
        </w:rPr>
        <w:footnoteReference w:id="83"/>
      </w:r>
      <w:bookmarkEnd w:id="64"/>
    </w:p>
    <w:p w14:paraId="24B35E2B" w14:textId="0B39613F" w:rsidR="00404A26" w:rsidRPr="004C5271" w:rsidRDefault="00404A26" w:rsidP="00B418C1">
      <w:pPr>
        <w:pStyle w:val="NormalNumberedTextTLRI"/>
        <w:rPr>
          <w:rFonts w:asciiTheme="majorBidi" w:hAnsiTheme="majorBidi" w:cstheme="majorBidi"/>
          <w:lang w:val="en-AU"/>
        </w:rPr>
      </w:pPr>
      <w:r w:rsidRPr="004C5271">
        <w:rPr>
          <w:rFonts w:asciiTheme="majorBidi" w:hAnsiTheme="majorBidi" w:cstheme="majorBidi"/>
          <w:lang w:val="en-AU"/>
        </w:rPr>
        <w:t xml:space="preserve">In relation to pension funds, the </w:t>
      </w:r>
      <w:r w:rsidR="00EF726B" w:rsidRPr="004C5271">
        <w:rPr>
          <w:rFonts w:asciiTheme="majorBidi" w:hAnsiTheme="majorBidi" w:cstheme="majorBidi"/>
          <w:lang w:val="en-AU"/>
        </w:rPr>
        <w:t>Commission</w:t>
      </w:r>
      <w:r w:rsidR="00104CD1" w:rsidRPr="004C5271">
        <w:rPr>
          <w:rFonts w:asciiTheme="majorBidi" w:hAnsiTheme="majorBidi" w:cstheme="majorBidi"/>
          <w:lang w:val="en-AU"/>
        </w:rPr>
        <w:t xml:space="preserve"> </w:t>
      </w:r>
      <w:r w:rsidRPr="004C5271">
        <w:rPr>
          <w:rFonts w:asciiTheme="majorBidi" w:hAnsiTheme="majorBidi" w:cstheme="majorBidi"/>
          <w:lang w:val="en-AU"/>
        </w:rPr>
        <w:t xml:space="preserve">also concluded that there were difficulties with interfering with trustees’ discretion and did not </w:t>
      </w:r>
      <w:r w:rsidRPr="004C5271">
        <w:rPr>
          <w:rFonts w:asciiTheme="majorBidi" w:hAnsiTheme="majorBidi" w:cstheme="majorBidi"/>
          <w:lang w:val="en-AU"/>
        </w:rPr>
        <w:lastRenderedPageBreak/>
        <w:t>recommend that legislative provisions include the ability for the court to capture those benefits within a ‘notional estate’ style regime.</w:t>
      </w:r>
      <w:r w:rsidRPr="004C5271">
        <w:rPr>
          <w:rStyle w:val="FootnoteReference"/>
          <w:rFonts w:asciiTheme="majorBidi" w:hAnsiTheme="majorBidi" w:cstheme="majorBidi"/>
          <w:lang w:val="en-AU"/>
        </w:rPr>
        <w:footnoteReference w:id="84"/>
      </w:r>
    </w:p>
    <w:p w14:paraId="09B0FB0F" w14:textId="43C883FD" w:rsidR="002B7819" w:rsidRPr="004C5271" w:rsidRDefault="002B7819" w:rsidP="00B418C1">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Pr="004C5271">
        <w:rPr>
          <w:rFonts w:asciiTheme="majorBidi" w:hAnsiTheme="majorBidi" w:cstheme="majorBidi"/>
          <w:i/>
          <w:iCs/>
          <w:lang w:val="en-AU"/>
        </w:rPr>
        <w:t xml:space="preserve">Inheritance </w:t>
      </w:r>
      <w:r w:rsidR="00142F65" w:rsidRPr="004C5271">
        <w:rPr>
          <w:rFonts w:asciiTheme="majorBidi" w:hAnsiTheme="majorBidi" w:cstheme="majorBidi"/>
          <w:i/>
          <w:iCs/>
          <w:lang w:val="en-AU"/>
        </w:rPr>
        <w:t>(Provision for Family and Dependants) Act 1975</w:t>
      </w:r>
      <w:r w:rsidR="00142F65" w:rsidRPr="004C5271">
        <w:rPr>
          <w:rFonts w:asciiTheme="majorBidi" w:hAnsiTheme="majorBidi" w:cstheme="majorBidi"/>
          <w:lang w:val="en-AU"/>
        </w:rPr>
        <w:t xml:space="preserve"> (UK) </w:t>
      </w:r>
      <w:r w:rsidR="0012248F" w:rsidRPr="004C5271">
        <w:rPr>
          <w:rFonts w:asciiTheme="majorBidi" w:hAnsiTheme="majorBidi" w:cstheme="majorBidi"/>
          <w:lang w:val="en-AU"/>
        </w:rPr>
        <w:t>was introduced following th</w:t>
      </w:r>
      <w:r w:rsidR="00E661E9" w:rsidRPr="004C5271">
        <w:rPr>
          <w:rFonts w:asciiTheme="majorBidi" w:hAnsiTheme="majorBidi" w:cstheme="majorBidi"/>
          <w:lang w:val="en-AU"/>
        </w:rPr>
        <w:t>is</w:t>
      </w:r>
      <w:r w:rsidR="0012248F" w:rsidRPr="004C5271">
        <w:rPr>
          <w:rFonts w:asciiTheme="majorBidi" w:hAnsiTheme="majorBidi" w:cstheme="majorBidi"/>
          <w:lang w:val="en-AU"/>
        </w:rPr>
        <w:t xml:space="preserve"> review. It</w:t>
      </w:r>
      <w:r w:rsidR="00142F65" w:rsidRPr="004C5271">
        <w:rPr>
          <w:rFonts w:asciiTheme="majorBidi" w:hAnsiTheme="majorBidi" w:cstheme="majorBidi"/>
          <w:lang w:val="en-AU"/>
        </w:rPr>
        <w:t xml:space="preserve"> provides that the following assets may be considered as part of the ‘net estate’ for the purpose of family provision claims and used to fund successful claims:</w:t>
      </w:r>
    </w:p>
    <w:p w14:paraId="19FDD7D1" w14:textId="592390B2" w:rsidR="00142F65" w:rsidRPr="004C5271" w:rsidRDefault="00142F65" w:rsidP="00142F65">
      <w:pPr>
        <w:pStyle w:val="DotPointTLRI"/>
        <w:rPr>
          <w:rFonts w:asciiTheme="majorBidi" w:hAnsiTheme="majorBidi" w:cstheme="majorBidi"/>
          <w:lang w:val="en-AU"/>
        </w:rPr>
      </w:pPr>
      <w:r w:rsidRPr="004C5271">
        <w:rPr>
          <w:rFonts w:asciiTheme="majorBidi" w:hAnsiTheme="majorBidi" w:cstheme="majorBidi"/>
          <w:lang w:val="en-AU"/>
        </w:rPr>
        <w:t xml:space="preserve">property or money that a person receives </w:t>
      </w:r>
      <w:proofErr w:type="gramStart"/>
      <w:r w:rsidRPr="004C5271">
        <w:rPr>
          <w:rFonts w:asciiTheme="majorBidi" w:hAnsiTheme="majorBidi" w:cstheme="majorBidi"/>
          <w:lang w:val="en-AU"/>
        </w:rPr>
        <w:t>as a consequence of</w:t>
      </w:r>
      <w:proofErr w:type="gramEnd"/>
      <w:r w:rsidRPr="004C5271">
        <w:rPr>
          <w:rFonts w:asciiTheme="majorBidi" w:hAnsiTheme="majorBidi" w:cstheme="majorBidi"/>
          <w:lang w:val="en-AU"/>
        </w:rPr>
        <w:t xml:space="preserve"> a nomination made by a deceased that was in force </w:t>
      </w:r>
      <w:r w:rsidR="00E943BD" w:rsidRPr="004C5271">
        <w:rPr>
          <w:rFonts w:asciiTheme="majorBidi" w:hAnsiTheme="majorBidi" w:cstheme="majorBidi"/>
          <w:lang w:val="en-AU"/>
        </w:rPr>
        <w:t xml:space="preserve">at </w:t>
      </w:r>
      <w:r w:rsidRPr="004C5271">
        <w:rPr>
          <w:rFonts w:asciiTheme="majorBidi" w:hAnsiTheme="majorBidi" w:cstheme="majorBidi"/>
          <w:lang w:val="en-AU"/>
        </w:rPr>
        <w:t>their death;</w:t>
      </w:r>
      <w:r w:rsidRPr="004C5271">
        <w:rPr>
          <w:rStyle w:val="FootnoteReference"/>
          <w:rFonts w:asciiTheme="majorBidi" w:hAnsiTheme="majorBidi" w:cstheme="majorBidi"/>
          <w:lang w:val="en-AU"/>
        </w:rPr>
        <w:footnoteReference w:id="85"/>
      </w:r>
    </w:p>
    <w:p w14:paraId="43B73A14" w14:textId="7968A228" w:rsidR="00142F65" w:rsidRPr="004C5271" w:rsidRDefault="00142F65" w:rsidP="00142F65">
      <w:pPr>
        <w:pStyle w:val="DotPointTLRI"/>
        <w:rPr>
          <w:rFonts w:asciiTheme="majorBidi" w:hAnsiTheme="majorBidi" w:cstheme="majorBidi"/>
          <w:lang w:val="en-AU"/>
        </w:rPr>
      </w:pPr>
      <w:r w:rsidRPr="004C5271">
        <w:rPr>
          <w:rFonts w:asciiTheme="majorBidi" w:hAnsiTheme="majorBidi" w:cstheme="majorBidi"/>
          <w:lang w:val="en-AU"/>
        </w:rPr>
        <w:t xml:space="preserve">property or money that a person receives as a </w:t>
      </w:r>
      <w:r w:rsidRPr="004C5271">
        <w:rPr>
          <w:rFonts w:asciiTheme="majorBidi" w:hAnsiTheme="majorBidi" w:cstheme="majorBidi"/>
          <w:i/>
          <w:iCs/>
          <w:lang w:val="en-AU"/>
        </w:rPr>
        <w:t>donatio mortis causa</w:t>
      </w:r>
      <w:r w:rsidR="008347B7" w:rsidRPr="004C5271">
        <w:rPr>
          <w:rFonts w:asciiTheme="majorBidi" w:hAnsiTheme="majorBidi" w:cstheme="majorBidi"/>
          <w:i/>
          <w:iCs/>
          <w:lang w:val="en-AU"/>
        </w:rPr>
        <w:t xml:space="preserve"> </w:t>
      </w:r>
      <w:r w:rsidR="008347B7" w:rsidRPr="004C5271">
        <w:rPr>
          <w:rFonts w:asciiTheme="majorBidi" w:hAnsiTheme="majorBidi" w:cstheme="majorBidi"/>
          <w:lang w:val="en-AU"/>
        </w:rPr>
        <w:t>(death-bed gift)</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86"/>
      </w:r>
    </w:p>
    <w:p w14:paraId="76E25CE6" w14:textId="3361DC93" w:rsidR="00142F65" w:rsidRPr="004C5271" w:rsidRDefault="00142F65" w:rsidP="00142F65">
      <w:pPr>
        <w:pStyle w:val="DotPointTLRI"/>
        <w:rPr>
          <w:rFonts w:asciiTheme="majorBidi" w:hAnsiTheme="majorBidi" w:cstheme="majorBidi"/>
          <w:lang w:val="en-AU"/>
        </w:rPr>
      </w:pPr>
      <w:r w:rsidRPr="004C5271">
        <w:rPr>
          <w:rFonts w:asciiTheme="majorBidi" w:hAnsiTheme="majorBidi" w:cstheme="majorBidi"/>
          <w:lang w:val="en-AU"/>
        </w:rPr>
        <w:t>the deceased’s severable share in joint tenancy property;</w:t>
      </w:r>
      <w:r w:rsidRPr="004C5271">
        <w:rPr>
          <w:rStyle w:val="FootnoteReference"/>
          <w:rFonts w:asciiTheme="majorBidi" w:hAnsiTheme="majorBidi" w:cstheme="majorBidi"/>
          <w:lang w:val="en-AU"/>
        </w:rPr>
        <w:footnoteReference w:id="87"/>
      </w:r>
      <w:r w:rsidR="005357E2" w:rsidRPr="004C5271">
        <w:rPr>
          <w:rFonts w:asciiTheme="majorBidi" w:hAnsiTheme="majorBidi" w:cstheme="majorBidi"/>
          <w:lang w:val="en-AU"/>
        </w:rPr>
        <w:t xml:space="preserve"> and</w:t>
      </w:r>
    </w:p>
    <w:p w14:paraId="605C1F18" w14:textId="3E21C34E" w:rsidR="00142F65" w:rsidRPr="004C5271" w:rsidRDefault="00142F65" w:rsidP="00142F65">
      <w:pPr>
        <w:pStyle w:val="DotPointTLRI"/>
        <w:rPr>
          <w:rFonts w:asciiTheme="majorBidi" w:hAnsiTheme="majorBidi" w:cstheme="majorBidi"/>
          <w:lang w:val="en-AU"/>
        </w:rPr>
      </w:pPr>
      <w:r w:rsidRPr="004C5271">
        <w:rPr>
          <w:rFonts w:asciiTheme="majorBidi" w:hAnsiTheme="majorBidi" w:cstheme="majorBidi"/>
          <w:lang w:val="en-AU"/>
        </w:rPr>
        <w:t>property disposed of within six years of death with the intention of defeating a family provision claim where the recipient of the property did not provide full valuable consideration</w:t>
      </w:r>
      <w:r w:rsidR="00155954"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88"/>
      </w:r>
    </w:p>
    <w:p w14:paraId="2ED27376" w14:textId="2A6B63D2" w:rsidR="00CC664F" w:rsidRPr="004C5271" w:rsidRDefault="00446E0C" w:rsidP="00076B44">
      <w:pPr>
        <w:pStyle w:val="NormalNumberedTextTLRI"/>
        <w:rPr>
          <w:rFonts w:asciiTheme="majorBidi" w:hAnsiTheme="majorBidi" w:cstheme="majorBidi"/>
          <w:lang w:val="en-AU"/>
        </w:rPr>
      </w:pPr>
      <w:r w:rsidRPr="004C5271">
        <w:rPr>
          <w:rFonts w:asciiTheme="majorBidi" w:hAnsiTheme="majorBidi" w:cstheme="majorBidi"/>
          <w:lang w:val="en-AU"/>
        </w:rPr>
        <w:t>Further detail</w:t>
      </w:r>
      <w:r w:rsidR="00CC664F" w:rsidRPr="004C5271">
        <w:rPr>
          <w:rFonts w:asciiTheme="majorBidi" w:hAnsiTheme="majorBidi" w:cstheme="majorBidi"/>
          <w:lang w:val="en-AU"/>
        </w:rPr>
        <w:t xml:space="preserve"> of the </w:t>
      </w:r>
      <w:r w:rsidRPr="004C5271">
        <w:rPr>
          <w:rFonts w:asciiTheme="majorBidi" w:hAnsiTheme="majorBidi" w:cstheme="majorBidi"/>
          <w:lang w:val="en-AU"/>
        </w:rPr>
        <w:t>model</w:t>
      </w:r>
      <w:r w:rsidR="00CC664F" w:rsidRPr="004C5271">
        <w:rPr>
          <w:rFonts w:asciiTheme="majorBidi" w:hAnsiTheme="majorBidi" w:cstheme="majorBidi"/>
          <w:lang w:val="en-AU"/>
        </w:rPr>
        <w:t xml:space="preserve"> operating in the UK</w:t>
      </w:r>
      <w:r w:rsidRPr="004C5271">
        <w:rPr>
          <w:rFonts w:asciiTheme="majorBidi" w:hAnsiTheme="majorBidi" w:cstheme="majorBidi"/>
          <w:lang w:val="en-AU"/>
        </w:rPr>
        <w:t xml:space="preserve"> </w:t>
      </w:r>
      <w:r w:rsidR="00CC664F" w:rsidRPr="004C5271">
        <w:rPr>
          <w:rFonts w:asciiTheme="majorBidi" w:hAnsiTheme="majorBidi" w:cstheme="majorBidi"/>
          <w:lang w:val="en-AU"/>
        </w:rPr>
        <w:t xml:space="preserve">is provided </w:t>
      </w:r>
      <w:r w:rsidR="000325C1" w:rsidRPr="004C5271">
        <w:rPr>
          <w:rFonts w:asciiTheme="majorBidi" w:hAnsiTheme="majorBidi" w:cstheme="majorBidi"/>
          <w:lang w:val="en-AU"/>
        </w:rPr>
        <w:t xml:space="preserve">in </w:t>
      </w:r>
      <w:r w:rsidR="00CC664F" w:rsidRPr="004C5271">
        <w:rPr>
          <w:rFonts w:asciiTheme="majorBidi" w:hAnsiTheme="majorBidi" w:cstheme="majorBidi"/>
          <w:lang w:val="en-AU"/>
        </w:rPr>
        <w:t xml:space="preserve">Appendix </w:t>
      </w:r>
      <w:r w:rsidR="00BA29F3" w:rsidRPr="004C5271">
        <w:rPr>
          <w:rFonts w:asciiTheme="majorBidi" w:hAnsiTheme="majorBidi" w:cstheme="majorBidi"/>
          <w:lang w:val="en-AU"/>
        </w:rPr>
        <w:t>1</w:t>
      </w:r>
      <w:r w:rsidR="006C2FCE" w:rsidRPr="004C5271">
        <w:rPr>
          <w:rFonts w:asciiTheme="majorBidi" w:hAnsiTheme="majorBidi" w:cstheme="majorBidi"/>
          <w:lang w:val="en-AU"/>
        </w:rPr>
        <w:t>.</w:t>
      </w:r>
    </w:p>
    <w:p w14:paraId="29849725" w14:textId="778B1C88" w:rsidR="0012248F" w:rsidRPr="004C5271" w:rsidRDefault="0012248F" w:rsidP="00AE2B8C">
      <w:pPr>
        <w:pStyle w:val="Sub-HeadingTLRI"/>
      </w:pPr>
      <w:r w:rsidRPr="004C5271">
        <w:t>2010 European Union Committee Report</w:t>
      </w:r>
    </w:p>
    <w:p w14:paraId="22A25551" w14:textId="686DC163" w:rsidR="00E943BD"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bookmarkStart w:id="66" w:name="_Hlk8211622"/>
      <w:r w:rsidRPr="004C5271">
        <w:rPr>
          <w:rFonts w:asciiTheme="majorBidi" w:hAnsiTheme="majorBidi" w:cstheme="majorBidi"/>
          <w:lang w:val="en-AU"/>
        </w:rPr>
        <w:t>European Union Committee</w:t>
      </w:r>
      <w:r w:rsidR="000E22AC" w:rsidRPr="004C5271">
        <w:rPr>
          <w:rFonts w:asciiTheme="majorBidi" w:hAnsiTheme="majorBidi" w:cstheme="majorBidi"/>
          <w:lang w:val="en-AU"/>
        </w:rPr>
        <w:t xml:space="preserve"> (‘EUC’)</w:t>
      </w:r>
      <w:r w:rsidR="00D15881" w:rsidRPr="004C5271">
        <w:rPr>
          <w:rFonts w:asciiTheme="majorBidi" w:hAnsiTheme="majorBidi" w:cstheme="majorBidi"/>
          <w:lang w:val="en-AU"/>
        </w:rPr>
        <w:t>, a Select Committee of the House of Lords,</w:t>
      </w:r>
      <w:r w:rsidRPr="004C5271">
        <w:rPr>
          <w:rFonts w:asciiTheme="majorBidi" w:hAnsiTheme="majorBidi" w:cstheme="majorBidi"/>
          <w:lang w:val="en-AU"/>
        </w:rPr>
        <w:t xml:space="preserve"> </w:t>
      </w:r>
      <w:bookmarkEnd w:id="66"/>
      <w:r w:rsidRPr="004C5271">
        <w:rPr>
          <w:rFonts w:asciiTheme="majorBidi" w:hAnsiTheme="majorBidi" w:cstheme="majorBidi"/>
          <w:lang w:val="en-AU"/>
        </w:rPr>
        <w:t>considered estate ‘clawback’</w:t>
      </w:r>
      <w:bookmarkStart w:id="67" w:name="_Ref13343534"/>
      <w:r w:rsidRPr="004C5271">
        <w:rPr>
          <w:rStyle w:val="FootnoteReference"/>
          <w:rFonts w:asciiTheme="majorBidi" w:hAnsiTheme="majorBidi" w:cstheme="majorBidi"/>
        </w:rPr>
        <w:footnoteReference w:id="89"/>
      </w:r>
      <w:bookmarkEnd w:id="67"/>
      <w:r w:rsidRPr="004C5271">
        <w:rPr>
          <w:rFonts w:asciiTheme="majorBidi" w:hAnsiTheme="majorBidi" w:cstheme="majorBidi"/>
          <w:lang w:val="en-AU"/>
        </w:rPr>
        <w:t xml:space="preserve"> laws as part of its review of </w:t>
      </w:r>
      <w:r w:rsidR="00E943BD" w:rsidRPr="004C5271">
        <w:rPr>
          <w:rFonts w:asciiTheme="majorBidi" w:hAnsiTheme="majorBidi" w:cstheme="majorBidi"/>
          <w:lang w:val="en-AU"/>
        </w:rPr>
        <w:t xml:space="preserve">cross-jurisdictional issues involving </w:t>
      </w:r>
      <w:r w:rsidRPr="004C5271">
        <w:rPr>
          <w:rFonts w:asciiTheme="majorBidi" w:hAnsiTheme="majorBidi" w:cstheme="majorBidi"/>
          <w:lang w:val="en-AU"/>
        </w:rPr>
        <w:t xml:space="preserve">succession laws </w:t>
      </w:r>
      <w:r w:rsidR="00E943BD" w:rsidRPr="004C5271">
        <w:rPr>
          <w:rFonts w:asciiTheme="majorBidi" w:hAnsiTheme="majorBidi" w:cstheme="majorBidi"/>
          <w:lang w:val="en-AU"/>
        </w:rPr>
        <w:t xml:space="preserve">in the European Union </w:t>
      </w:r>
      <w:r w:rsidRPr="004C5271">
        <w:rPr>
          <w:rFonts w:asciiTheme="majorBidi" w:hAnsiTheme="majorBidi" w:cstheme="majorBidi"/>
          <w:lang w:val="en-AU"/>
        </w:rPr>
        <w:lastRenderedPageBreak/>
        <w:t>in 2009</w:t>
      </w:r>
      <w:r w:rsidR="000325C1" w:rsidRPr="004C5271">
        <w:rPr>
          <w:rFonts w:asciiTheme="majorBidi" w:hAnsiTheme="majorBidi" w:cstheme="majorBidi"/>
          <w:lang w:val="en-AU"/>
        </w:rPr>
        <w:t>–</w:t>
      </w:r>
      <w:r w:rsidRPr="004C5271">
        <w:rPr>
          <w:rFonts w:asciiTheme="majorBidi" w:hAnsiTheme="majorBidi" w:cstheme="majorBidi"/>
          <w:lang w:val="en-AU"/>
        </w:rPr>
        <w:t>2010.</w:t>
      </w:r>
      <w:r w:rsidRPr="004C5271">
        <w:rPr>
          <w:rStyle w:val="FootnoteReference"/>
          <w:rFonts w:asciiTheme="majorBidi" w:hAnsiTheme="majorBidi" w:cstheme="majorBidi"/>
        </w:rPr>
        <w:footnoteReference w:id="90"/>
      </w:r>
      <w:r w:rsidRPr="004C5271">
        <w:rPr>
          <w:rFonts w:asciiTheme="majorBidi" w:hAnsiTheme="majorBidi" w:cstheme="majorBidi"/>
          <w:lang w:val="en-AU"/>
        </w:rPr>
        <w:t xml:space="preserve"> </w:t>
      </w:r>
      <w:r w:rsidR="00D449DC" w:rsidRPr="004C5271">
        <w:rPr>
          <w:rFonts w:asciiTheme="majorBidi" w:hAnsiTheme="majorBidi" w:cstheme="majorBidi"/>
          <w:lang w:val="en-AU"/>
        </w:rPr>
        <w:t xml:space="preserve">The purpose of the review was to consider conflict of law issues between jurisdictions, noting that substantial variations exist amongst EU countries, some of which adopt civil law systems </w:t>
      </w:r>
      <w:r w:rsidR="00960360" w:rsidRPr="004C5271">
        <w:rPr>
          <w:rFonts w:asciiTheme="majorBidi" w:hAnsiTheme="majorBidi" w:cstheme="majorBidi"/>
          <w:lang w:val="en-AU"/>
        </w:rPr>
        <w:t>whilst</w:t>
      </w:r>
      <w:r w:rsidR="00D449DC" w:rsidRPr="004C5271">
        <w:rPr>
          <w:rFonts w:asciiTheme="majorBidi" w:hAnsiTheme="majorBidi" w:cstheme="majorBidi"/>
          <w:lang w:val="en-AU"/>
        </w:rPr>
        <w:t xml:space="preserve"> others adopt common law models.</w:t>
      </w:r>
      <w:r w:rsidR="00945CDA" w:rsidRPr="004C5271">
        <w:rPr>
          <w:rFonts w:asciiTheme="majorBidi" w:hAnsiTheme="majorBidi" w:cstheme="majorBidi"/>
          <w:lang w:val="en-AU"/>
        </w:rPr>
        <w:t xml:space="preserve"> One issue considered </w:t>
      </w:r>
      <w:r w:rsidR="00960360" w:rsidRPr="004C5271">
        <w:rPr>
          <w:rFonts w:asciiTheme="majorBidi" w:hAnsiTheme="majorBidi" w:cstheme="majorBidi"/>
          <w:lang w:val="en-AU"/>
        </w:rPr>
        <w:t>was</w:t>
      </w:r>
      <w:r w:rsidR="00945CDA" w:rsidRPr="004C5271">
        <w:rPr>
          <w:rFonts w:asciiTheme="majorBidi" w:hAnsiTheme="majorBidi" w:cstheme="majorBidi"/>
          <w:lang w:val="en-AU"/>
        </w:rPr>
        <w:t xml:space="preserve"> </w:t>
      </w:r>
      <w:r w:rsidR="00C31F95">
        <w:rPr>
          <w:rFonts w:asciiTheme="majorBidi" w:hAnsiTheme="majorBidi" w:cstheme="majorBidi"/>
          <w:lang w:val="en-AU"/>
        </w:rPr>
        <w:t xml:space="preserve">the </w:t>
      </w:r>
      <w:r w:rsidR="00945CDA" w:rsidRPr="004C5271">
        <w:rPr>
          <w:rFonts w:asciiTheme="majorBidi" w:hAnsiTheme="majorBidi" w:cstheme="majorBidi"/>
          <w:lang w:val="en-AU"/>
        </w:rPr>
        <w:t>operation of clawback laws in civil law jurisdictions where individuals seek to evade forced heirship laws by disposing of or gifting assets before their death.</w:t>
      </w:r>
      <w:r w:rsidR="00945CDA" w:rsidRPr="004C5271">
        <w:rPr>
          <w:rStyle w:val="FootnoteReference"/>
          <w:rFonts w:asciiTheme="majorBidi" w:hAnsiTheme="majorBidi" w:cstheme="majorBidi"/>
          <w:lang w:val="en-AU"/>
        </w:rPr>
        <w:footnoteReference w:id="91"/>
      </w:r>
    </w:p>
    <w:p w14:paraId="00C9AFE7" w14:textId="7EC2AB0F" w:rsidR="00E943BD" w:rsidRPr="004C5271" w:rsidRDefault="00960360" w:rsidP="0012248F">
      <w:pPr>
        <w:pStyle w:val="NormalNumberedTextTLRI"/>
        <w:rPr>
          <w:rFonts w:asciiTheme="majorBidi" w:hAnsiTheme="majorBidi" w:cstheme="majorBidi"/>
          <w:lang w:val="en-AU"/>
        </w:rPr>
      </w:pPr>
      <w:r w:rsidRPr="004C5271">
        <w:rPr>
          <w:rFonts w:asciiTheme="majorBidi" w:hAnsiTheme="majorBidi" w:cstheme="majorBidi"/>
          <w:lang w:val="en-AU"/>
        </w:rPr>
        <w:t>The EUC’s</w:t>
      </w:r>
      <w:r w:rsidR="00E943BD" w:rsidRPr="004C5271">
        <w:rPr>
          <w:rFonts w:asciiTheme="majorBidi" w:hAnsiTheme="majorBidi" w:cstheme="majorBidi"/>
          <w:lang w:val="en-AU"/>
        </w:rPr>
        <w:t xml:space="preserve"> </w:t>
      </w:r>
      <w:r w:rsidR="00515E8C" w:rsidRPr="004C5271">
        <w:rPr>
          <w:rFonts w:asciiTheme="majorBidi" w:hAnsiTheme="majorBidi" w:cstheme="majorBidi"/>
          <w:lang w:val="en-AU"/>
        </w:rPr>
        <w:t>r</w:t>
      </w:r>
      <w:r w:rsidR="00E943BD" w:rsidRPr="004C5271">
        <w:rPr>
          <w:rFonts w:asciiTheme="majorBidi" w:hAnsiTheme="majorBidi" w:cstheme="majorBidi"/>
          <w:lang w:val="en-AU"/>
        </w:rPr>
        <w:t xml:space="preserve">eport expressed concerns about </w:t>
      </w:r>
      <w:r w:rsidR="00BE2A19" w:rsidRPr="004C5271">
        <w:rPr>
          <w:rFonts w:asciiTheme="majorBidi" w:hAnsiTheme="majorBidi" w:cstheme="majorBidi"/>
          <w:lang w:val="en-AU"/>
        </w:rPr>
        <w:t xml:space="preserve">the proposed legislation that had been </w:t>
      </w:r>
      <w:r w:rsidRPr="004C5271">
        <w:rPr>
          <w:rFonts w:asciiTheme="majorBidi" w:hAnsiTheme="majorBidi" w:cstheme="majorBidi"/>
          <w:lang w:val="en-AU"/>
        </w:rPr>
        <w:t>drafted</w:t>
      </w:r>
      <w:r w:rsidR="00BE2A19" w:rsidRPr="004C5271">
        <w:rPr>
          <w:rFonts w:asciiTheme="majorBidi" w:hAnsiTheme="majorBidi" w:cstheme="majorBidi"/>
          <w:lang w:val="en-AU"/>
        </w:rPr>
        <w:t xml:space="preserve">, commenting that the outcome, which would result in the ‘claw-back’ legislation having </w:t>
      </w:r>
      <w:r w:rsidR="006C092C" w:rsidRPr="004C5271">
        <w:rPr>
          <w:rFonts w:asciiTheme="majorBidi" w:hAnsiTheme="majorBidi" w:cstheme="majorBidi"/>
          <w:lang w:val="en-AU"/>
        </w:rPr>
        <w:t>broader</w:t>
      </w:r>
      <w:r w:rsidR="00BE2A19" w:rsidRPr="004C5271">
        <w:rPr>
          <w:rFonts w:asciiTheme="majorBidi" w:hAnsiTheme="majorBidi" w:cstheme="majorBidi"/>
          <w:lang w:val="en-AU"/>
        </w:rPr>
        <w:t xml:space="preserve"> application, was a </w:t>
      </w:r>
      <w:r w:rsidR="000325C1" w:rsidRPr="004C5271">
        <w:rPr>
          <w:rFonts w:asciiTheme="majorBidi" w:hAnsiTheme="majorBidi" w:cstheme="majorBidi"/>
          <w:lang w:val="en-AU"/>
        </w:rPr>
        <w:t>‘</w:t>
      </w:r>
      <w:r w:rsidR="00BE2A19" w:rsidRPr="004C5271">
        <w:rPr>
          <w:rFonts w:asciiTheme="majorBidi" w:hAnsiTheme="majorBidi" w:cstheme="majorBidi"/>
          <w:lang w:val="en-AU"/>
        </w:rPr>
        <w:t>serious defect</w:t>
      </w:r>
      <w:r w:rsidR="000325C1" w:rsidRPr="004C5271">
        <w:rPr>
          <w:rFonts w:asciiTheme="majorBidi" w:hAnsiTheme="majorBidi" w:cstheme="majorBidi"/>
          <w:lang w:val="en-AU"/>
        </w:rPr>
        <w:t>’</w:t>
      </w:r>
      <w:r w:rsidR="00BE2A19" w:rsidRPr="004C5271">
        <w:rPr>
          <w:rFonts w:asciiTheme="majorBidi" w:hAnsiTheme="majorBidi" w:cstheme="majorBidi"/>
          <w:lang w:val="en-AU"/>
        </w:rPr>
        <w:t xml:space="preserve"> in the proposal advanced</w:t>
      </w:r>
      <w:r w:rsidR="00BE2A19" w:rsidRPr="004C5271">
        <w:rPr>
          <w:rStyle w:val="FootnoteReference"/>
          <w:rFonts w:asciiTheme="majorBidi" w:hAnsiTheme="majorBidi" w:cstheme="majorBidi"/>
          <w:lang w:val="en-AU"/>
        </w:rPr>
        <w:footnoteReference w:id="92"/>
      </w:r>
      <w:r w:rsidR="00945CDA" w:rsidRPr="004C5271">
        <w:rPr>
          <w:rFonts w:asciiTheme="majorBidi" w:hAnsiTheme="majorBidi" w:cstheme="majorBidi"/>
          <w:lang w:val="en-AU"/>
        </w:rPr>
        <w:t xml:space="preserve"> and that this was the </w:t>
      </w:r>
      <w:r w:rsidR="000325C1" w:rsidRPr="004C5271">
        <w:rPr>
          <w:rFonts w:asciiTheme="majorBidi" w:hAnsiTheme="majorBidi" w:cstheme="majorBidi"/>
          <w:lang w:val="en-AU"/>
        </w:rPr>
        <w:t>‘</w:t>
      </w:r>
      <w:r w:rsidR="00945CDA" w:rsidRPr="004C5271">
        <w:rPr>
          <w:rFonts w:asciiTheme="majorBidi" w:hAnsiTheme="majorBidi" w:cstheme="majorBidi"/>
          <w:lang w:val="en-AU"/>
        </w:rPr>
        <w:t>single most contentious issue for the UK.</w:t>
      </w:r>
      <w:r w:rsidR="000325C1" w:rsidRPr="004C5271">
        <w:rPr>
          <w:rFonts w:asciiTheme="majorBidi" w:hAnsiTheme="majorBidi" w:cstheme="majorBidi"/>
          <w:lang w:val="en-AU"/>
        </w:rPr>
        <w:t>’</w:t>
      </w:r>
      <w:r w:rsidR="00945CDA" w:rsidRPr="004C5271">
        <w:rPr>
          <w:rStyle w:val="FootnoteReference"/>
          <w:rFonts w:asciiTheme="majorBidi" w:hAnsiTheme="majorBidi" w:cstheme="majorBidi"/>
          <w:lang w:val="en-AU"/>
        </w:rPr>
        <w:footnoteReference w:id="93"/>
      </w:r>
    </w:p>
    <w:p w14:paraId="5EA73663" w14:textId="643C8510" w:rsidR="0012248F" w:rsidRPr="004C5271" w:rsidRDefault="001D7B05" w:rsidP="0012248F">
      <w:pPr>
        <w:pStyle w:val="NormalNumberedTextTLRI"/>
        <w:rPr>
          <w:rFonts w:asciiTheme="majorBidi" w:hAnsiTheme="majorBidi" w:cstheme="majorBidi"/>
          <w:lang w:val="en-AU"/>
        </w:rPr>
      </w:pPr>
      <w:r w:rsidRPr="004C5271">
        <w:rPr>
          <w:rFonts w:asciiTheme="majorBidi" w:hAnsiTheme="majorBidi" w:cstheme="majorBidi"/>
          <w:lang w:val="en-AU"/>
        </w:rPr>
        <w:t>It</w:t>
      </w:r>
      <w:r w:rsidR="0012248F" w:rsidRPr="004C5271">
        <w:rPr>
          <w:rFonts w:asciiTheme="majorBidi" w:hAnsiTheme="majorBidi" w:cstheme="majorBidi"/>
          <w:lang w:val="en-AU"/>
        </w:rPr>
        <w:t xml:space="preserve"> noted the following criticisms </w:t>
      </w:r>
      <w:r w:rsidRPr="004C5271">
        <w:rPr>
          <w:rFonts w:asciiTheme="majorBidi" w:hAnsiTheme="majorBidi" w:cstheme="majorBidi"/>
          <w:lang w:val="en-AU"/>
        </w:rPr>
        <w:t>that had been</w:t>
      </w:r>
      <w:r w:rsidR="0012248F" w:rsidRPr="004C5271">
        <w:rPr>
          <w:rFonts w:asciiTheme="majorBidi" w:hAnsiTheme="majorBidi" w:cstheme="majorBidi"/>
          <w:lang w:val="en-AU"/>
        </w:rPr>
        <w:t xml:space="preserve"> </w:t>
      </w:r>
      <w:r w:rsidR="002028A5" w:rsidRPr="004C5271">
        <w:rPr>
          <w:rFonts w:asciiTheme="majorBidi" w:hAnsiTheme="majorBidi" w:cstheme="majorBidi"/>
          <w:lang w:val="en-AU"/>
        </w:rPr>
        <w:t>made of</w:t>
      </w:r>
      <w:r w:rsidR="0012248F" w:rsidRPr="004C5271">
        <w:rPr>
          <w:rFonts w:asciiTheme="majorBidi" w:hAnsiTheme="majorBidi" w:cstheme="majorBidi"/>
          <w:lang w:val="en-AU"/>
        </w:rPr>
        <w:t xml:space="preserve"> the operation of clawback laws:</w:t>
      </w:r>
    </w:p>
    <w:p w14:paraId="4FDE6CE6" w14:textId="290397B6" w:rsidR="0012248F" w:rsidRPr="004C5271" w:rsidRDefault="000325C1" w:rsidP="000325C1">
      <w:pPr>
        <w:pStyle w:val="QuoteTLRI"/>
        <w:numPr>
          <w:ilvl w:val="0"/>
          <w:numId w:val="52"/>
        </w:numPr>
        <w:ind w:left="993" w:hanging="284"/>
        <w:rPr>
          <w:rFonts w:asciiTheme="majorBidi" w:hAnsiTheme="majorBidi" w:cstheme="majorBidi"/>
        </w:rPr>
      </w:pPr>
      <w:r w:rsidRPr="004C5271">
        <w:rPr>
          <w:rFonts w:asciiTheme="majorBidi" w:hAnsiTheme="majorBidi" w:cstheme="majorBidi"/>
        </w:rPr>
        <w:t>‘</w:t>
      </w:r>
      <w:r w:rsidR="0012248F" w:rsidRPr="004C5271">
        <w:rPr>
          <w:rFonts w:asciiTheme="majorBidi" w:hAnsiTheme="majorBidi" w:cstheme="majorBidi"/>
        </w:rPr>
        <w:t>Those receiving gifts, including charitable gifts and gifts made on marriage, would be uncertain whether the property would be subject to clawback. This would either inhibit the use of the gift or force them to seek forms of protection such as insurance.</w:t>
      </w:r>
    </w:p>
    <w:p w14:paraId="230493D7" w14:textId="77777777" w:rsidR="0012248F" w:rsidRPr="004C5271" w:rsidRDefault="0012248F" w:rsidP="000325C1">
      <w:pPr>
        <w:pStyle w:val="QuoteTLRI"/>
        <w:numPr>
          <w:ilvl w:val="0"/>
          <w:numId w:val="52"/>
        </w:numPr>
        <w:ind w:left="993" w:hanging="284"/>
        <w:rPr>
          <w:rFonts w:asciiTheme="majorBidi" w:hAnsiTheme="majorBidi" w:cstheme="majorBidi"/>
        </w:rPr>
      </w:pPr>
      <w:r w:rsidRPr="004C5271">
        <w:rPr>
          <w:rFonts w:asciiTheme="majorBidi" w:hAnsiTheme="majorBidi" w:cstheme="majorBidi"/>
        </w:rPr>
        <w:t xml:space="preserve">Anyone whose property might possibly have been acquired from a donee and subject to clawback, </w:t>
      </w:r>
      <w:proofErr w:type="gramStart"/>
      <w:r w:rsidRPr="004C5271">
        <w:rPr>
          <w:rFonts w:asciiTheme="majorBidi" w:hAnsiTheme="majorBidi" w:cstheme="majorBidi"/>
        </w:rPr>
        <w:t>whether or not</w:t>
      </w:r>
      <w:proofErr w:type="gramEnd"/>
      <w:r w:rsidRPr="004C5271">
        <w:rPr>
          <w:rFonts w:asciiTheme="majorBidi" w:hAnsiTheme="majorBidi" w:cstheme="majorBidi"/>
        </w:rPr>
        <w:t xml:space="preserve"> they were aware of this fact, may feel the need to take out protection against a clawback claim.</w:t>
      </w:r>
    </w:p>
    <w:p w14:paraId="01A8623F" w14:textId="77777777" w:rsidR="0012248F" w:rsidRPr="004C5271" w:rsidRDefault="0012248F" w:rsidP="000325C1">
      <w:pPr>
        <w:pStyle w:val="QuoteTLRI"/>
        <w:numPr>
          <w:ilvl w:val="0"/>
          <w:numId w:val="52"/>
        </w:numPr>
        <w:ind w:left="993" w:hanging="284"/>
        <w:rPr>
          <w:rFonts w:asciiTheme="majorBidi" w:hAnsiTheme="majorBidi" w:cstheme="majorBidi"/>
        </w:rPr>
      </w:pPr>
      <w:r w:rsidRPr="004C5271">
        <w:rPr>
          <w:rFonts w:asciiTheme="majorBidi" w:hAnsiTheme="majorBidi" w:cstheme="majorBidi"/>
        </w:rPr>
        <w:t>It would be difficult to fix a price for assets subject to clawback.</w:t>
      </w:r>
    </w:p>
    <w:p w14:paraId="33CDB4C6" w14:textId="77777777" w:rsidR="0012248F" w:rsidRPr="004C5271" w:rsidRDefault="0012248F" w:rsidP="000325C1">
      <w:pPr>
        <w:pStyle w:val="QuoteTLRI"/>
        <w:numPr>
          <w:ilvl w:val="0"/>
          <w:numId w:val="52"/>
        </w:numPr>
        <w:ind w:left="993" w:hanging="284"/>
        <w:rPr>
          <w:rFonts w:asciiTheme="majorBidi" w:hAnsiTheme="majorBidi" w:cstheme="majorBidi"/>
        </w:rPr>
      </w:pPr>
      <w:r w:rsidRPr="004C5271">
        <w:rPr>
          <w:rFonts w:asciiTheme="majorBidi" w:hAnsiTheme="majorBidi" w:cstheme="majorBidi"/>
        </w:rPr>
        <w:t>Trusts and the use of insurance or pension policies to effect estate planning would be undermined, even transfers to offshore trustees if the property remains in the UK.</w:t>
      </w:r>
    </w:p>
    <w:p w14:paraId="759CD802" w14:textId="77777777" w:rsidR="0012248F" w:rsidRPr="004C5271" w:rsidRDefault="0012248F" w:rsidP="000325C1">
      <w:pPr>
        <w:pStyle w:val="QuoteTLRI"/>
        <w:numPr>
          <w:ilvl w:val="0"/>
          <w:numId w:val="52"/>
        </w:numPr>
        <w:ind w:left="993" w:hanging="284"/>
        <w:rPr>
          <w:rFonts w:asciiTheme="majorBidi" w:hAnsiTheme="majorBidi" w:cstheme="majorBidi"/>
        </w:rPr>
      </w:pPr>
      <w:r w:rsidRPr="004C5271">
        <w:rPr>
          <w:rFonts w:asciiTheme="majorBidi" w:hAnsiTheme="majorBidi" w:cstheme="majorBidi"/>
        </w:rPr>
        <w:lastRenderedPageBreak/>
        <w:t>Increasing legal costs would be incurred in advising on property rights and the transfer of property.</w:t>
      </w:r>
    </w:p>
    <w:p w14:paraId="1D17C664" w14:textId="7D4926A5" w:rsidR="0012248F" w:rsidRPr="004C5271" w:rsidRDefault="0012248F" w:rsidP="000325C1">
      <w:pPr>
        <w:pStyle w:val="QuoteTLRI"/>
        <w:numPr>
          <w:ilvl w:val="0"/>
          <w:numId w:val="52"/>
        </w:numPr>
        <w:ind w:left="993" w:hanging="284"/>
        <w:rPr>
          <w:rFonts w:asciiTheme="majorBidi" w:hAnsiTheme="majorBidi" w:cstheme="majorBidi"/>
        </w:rPr>
      </w:pPr>
      <w:r w:rsidRPr="004C5271">
        <w:rPr>
          <w:rFonts w:asciiTheme="majorBidi" w:hAnsiTheme="majorBidi" w:cstheme="majorBidi"/>
        </w:rPr>
        <w:t>The various UK registers of property title would be undermined because they would not provide a guarantee as to the ownership of the property.</w:t>
      </w:r>
      <w:r w:rsidR="000325C1" w:rsidRPr="004C5271">
        <w:rPr>
          <w:rFonts w:asciiTheme="majorBidi" w:hAnsiTheme="majorBidi" w:cstheme="majorBidi"/>
        </w:rPr>
        <w:t>’</w:t>
      </w:r>
      <w:r w:rsidRPr="004C5271">
        <w:rPr>
          <w:rStyle w:val="FootnoteReference"/>
          <w:rFonts w:asciiTheme="majorBidi" w:hAnsiTheme="majorBidi" w:cstheme="majorBidi"/>
        </w:rPr>
        <w:footnoteReference w:id="94"/>
      </w:r>
    </w:p>
    <w:p w14:paraId="0B283D6C" w14:textId="77777777" w:rsidR="00D449DC" w:rsidRPr="004C5271" w:rsidRDefault="000E22AC" w:rsidP="0012248F">
      <w:pPr>
        <w:pStyle w:val="NormalNumberedTextTLRI"/>
        <w:rPr>
          <w:rFonts w:asciiTheme="majorBidi" w:hAnsiTheme="majorBidi" w:cstheme="majorBidi"/>
          <w:lang w:val="en-AU"/>
        </w:rPr>
      </w:pPr>
      <w:r w:rsidRPr="004C5271">
        <w:rPr>
          <w:rFonts w:asciiTheme="majorBidi" w:hAnsiTheme="majorBidi" w:cstheme="majorBidi"/>
          <w:lang w:val="en-AU"/>
        </w:rPr>
        <w:t>The Chancery Bar Association submission to the EUC noted</w:t>
      </w:r>
      <w:r w:rsidR="00D449DC" w:rsidRPr="004C5271">
        <w:rPr>
          <w:rFonts w:asciiTheme="majorBidi" w:hAnsiTheme="majorBidi" w:cstheme="majorBidi"/>
          <w:lang w:val="en-AU"/>
        </w:rPr>
        <w:t>:</w:t>
      </w:r>
    </w:p>
    <w:p w14:paraId="3FD25FE5" w14:textId="3DFAAB81" w:rsidR="000E22AC" w:rsidRPr="004C5271" w:rsidRDefault="000E22AC" w:rsidP="00FF3C4F">
      <w:pPr>
        <w:pStyle w:val="QuoteTLRI"/>
        <w:rPr>
          <w:rFonts w:asciiTheme="majorBidi" w:hAnsiTheme="majorBidi" w:cstheme="majorBidi"/>
        </w:rPr>
      </w:pPr>
      <w:r w:rsidRPr="004C5271">
        <w:rPr>
          <w:rFonts w:asciiTheme="majorBidi" w:hAnsiTheme="majorBidi" w:cstheme="majorBidi"/>
        </w:rPr>
        <w:t xml:space="preserve">Under our private international law, gifts and other lifetime transactions by deceased persons are not characterised as matters of succession and there is therefore no question of their being </w:t>
      </w:r>
      <w:r w:rsidR="00FF3C4F" w:rsidRPr="004C5271">
        <w:rPr>
          <w:rFonts w:asciiTheme="majorBidi" w:hAnsiTheme="majorBidi" w:cstheme="majorBidi"/>
        </w:rPr>
        <w:t>‘</w:t>
      </w:r>
      <w:r w:rsidRPr="004C5271">
        <w:rPr>
          <w:rFonts w:asciiTheme="majorBidi" w:hAnsiTheme="majorBidi" w:cstheme="majorBidi"/>
        </w:rPr>
        <w:t>clawed back</w:t>
      </w:r>
      <w:r w:rsidR="00FF3C4F" w:rsidRPr="004C5271">
        <w:rPr>
          <w:rFonts w:asciiTheme="majorBidi" w:hAnsiTheme="majorBidi" w:cstheme="majorBidi"/>
        </w:rPr>
        <w:t>’</w:t>
      </w:r>
      <w:r w:rsidRPr="004C5271">
        <w:rPr>
          <w:rFonts w:asciiTheme="majorBidi" w:hAnsiTheme="majorBidi" w:cstheme="majorBidi"/>
        </w:rPr>
        <w:t xml:space="preserve"> on death.</w:t>
      </w:r>
      <w:r w:rsidR="00D449DC" w:rsidRPr="004C5271">
        <w:rPr>
          <w:rStyle w:val="FootnoteReference"/>
          <w:rFonts w:asciiTheme="majorBidi" w:hAnsiTheme="majorBidi" w:cstheme="majorBidi"/>
        </w:rPr>
        <w:footnoteReference w:id="95"/>
      </w:r>
    </w:p>
    <w:p w14:paraId="3422BDB9" w14:textId="5B2168E9" w:rsidR="0012248F" w:rsidRPr="004C5271" w:rsidRDefault="00960360"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The EUC </w:t>
      </w:r>
      <w:r w:rsidR="00F97CDC" w:rsidRPr="004C5271">
        <w:rPr>
          <w:rFonts w:asciiTheme="majorBidi" w:hAnsiTheme="majorBidi" w:cstheme="majorBidi"/>
          <w:lang w:val="en-AU"/>
        </w:rPr>
        <w:t xml:space="preserve">concluded </w:t>
      </w:r>
      <w:r w:rsidR="0012248F" w:rsidRPr="004C5271">
        <w:rPr>
          <w:rFonts w:asciiTheme="majorBidi" w:hAnsiTheme="majorBidi" w:cstheme="majorBidi"/>
          <w:lang w:val="en-AU"/>
        </w:rPr>
        <w:t>that clawback provisions present a problem for the UK,</w:t>
      </w:r>
      <w:r w:rsidR="0012248F" w:rsidRPr="004C5271">
        <w:rPr>
          <w:rStyle w:val="FootnoteReference"/>
          <w:rFonts w:asciiTheme="majorBidi" w:hAnsiTheme="majorBidi" w:cstheme="majorBidi"/>
        </w:rPr>
        <w:footnoteReference w:id="96"/>
      </w:r>
      <w:r w:rsidR="0012248F" w:rsidRPr="004C5271">
        <w:rPr>
          <w:rFonts w:asciiTheme="majorBidi" w:hAnsiTheme="majorBidi" w:cstheme="majorBidi"/>
          <w:lang w:val="en-AU"/>
        </w:rPr>
        <w:t xml:space="preserve"> stating that:</w:t>
      </w:r>
    </w:p>
    <w:p w14:paraId="33D5426B" w14:textId="54925066" w:rsidR="0012248F" w:rsidRPr="004C5271" w:rsidRDefault="0012248F" w:rsidP="00FF3C4F">
      <w:pPr>
        <w:pStyle w:val="QuoteTLRI"/>
        <w:rPr>
          <w:rFonts w:asciiTheme="majorBidi" w:hAnsiTheme="majorBidi" w:cstheme="majorBidi"/>
        </w:rPr>
      </w:pPr>
      <w:r w:rsidRPr="004C5271">
        <w:rPr>
          <w:rFonts w:asciiTheme="majorBidi" w:hAnsiTheme="majorBidi" w:cstheme="majorBidi"/>
        </w:rPr>
        <w:t xml:space="preserve">As </w:t>
      </w:r>
      <w:proofErr w:type="gramStart"/>
      <w:r w:rsidRPr="004C5271">
        <w:rPr>
          <w:rFonts w:asciiTheme="majorBidi" w:hAnsiTheme="majorBidi" w:cstheme="majorBidi"/>
        </w:rPr>
        <w:t>a number of</w:t>
      </w:r>
      <w:proofErr w:type="gramEnd"/>
      <w:r w:rsidRPr="004C5271">
        <w:rPr>
          <w:rFonts w:asciiTheme="majorBidi" w:hAnsiTheme="majorBidi" w:cstheme="majorBidi"/>
        </w:rPr>
        <w:t xml:space="preserve"> our witnesses pointed out, there is in the UK a legal culture of freedom for individuals to dispose of their property as they wish; and there is a strong UK cultural heritage of providing social support through gifts to charity. To this may be added the important role played by trusts in the UK.</w:t>
      </w:r>
      <w:r w:rsidRPr="004C5271">
        <w:rPr>
          <w:rStyle w:val="FootnoteReference"/>
          <w:rFonts w:asciiTheme="majorBidi" w:eastAsia="Times New Roman" w:hAnsiTheme="majorBidi" w:cstheme="majorBidi"/>
          <w:color w:val="333333"/>
        </w:rPr>
        <w:footnoteReference w:id="97"/>
      </w:r>
    </w:p>
    <w:p w14:paraId="0926AF19" w14:textId="5BC58E8B" w:rsidR="00960360" w:rsidRPr="004C5271" w:rsidRDefault="00945CDA" w:rsidP="00076B44">
      <w:pPr>
        <w:pStyle w:val="NormalNumberedTextTLRI"/>
        <w:rPr>
          <w:rFonts w:asciiTheme="majorBidi" w:hAnsiTheme="majorBidi" w:cstheme="majorBidi"/>
          <w:lang w:val="en-AU"/>
        </w:rPr>
      </w:pPr>
      <w:r w:rsidRPr="004C5271">
        <w:rPr>
          <w:rFonts w:asciiTheme="majorBidi" w:hAnsiTheme="majorBidi" w:cstheme="majorBidi"/>
          <w:lang w:val="en-AU"/>
        </w:rPr>
        <w:t xml:space="preserve">The EUC contrasted the more limited clawback provisions under the </w:t>
      </w:r>
      <w:r w:rsidRPr="004C5271">
        <w:rPr>
          <w:rFonts w:asciiTheme="majorBidi" w:hAnsiTheme="majorBidi" w:cstheme="majorBidi"/>
          <w:i/>
          <w:iCs/>
          <w:lang w:val="en-AU"/>
        </w:rPr>
        <w:t>Inheritance (Provision for Family and Dependants) Act 1975</w:t>
      </w:r>
      <w:r w:rsidRPr="004C5271">
        <w:rPr>
          <w:rFonts w:asciiTheme="majorBidi" w:hAnsiTheme="majorBidi" w:cstheme="majorBidi"/>
          <w:lang w:val="en-AU"/>
        </w:rPr>
        <w:t xml:space="preserve"> (UK), stating that they were </w:t>
      </w:r>
      <w:r w:rsidR="000D7AFD" w:rsidRPr="004C5271">
        <w:rPr>
          <w:rFonts w:asciiTheme="majorBidi" w:hAnsiTheme="majorBidi" w:cstheme="majorBidi"/>
          <w:lang w:val="en-AU"/>
        </w:rPr>
        <w:t>‘</w:t>
      </w:r>
      <w:r w:rsidRPr="004C5271">
        <w:rPr>
          <w:rFonts w:asciiTheme="majorBidi" w:hAnsiTheme="majorBidi" w:cstheme="majorBidi"/>
          <w:lang w:val="en-AU"/>
        </w:rPr>
        <w:t>of relatively limited impact, and practitioners know how to advise their clients.</w:t>
      </w:r>
      <w:r w:rsidR="000D7AFD"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98"/>
      </w:r>
      <w:r w:rsidR="00960360" w:rsidRPr="004C5271">
        <w:rPr>
          <w:rFonts w:asciiTheme="majorBidi" w:hAnsiTheme="majorBidi" w:cstheme="majorBidi"/>
          <w:lang w:val="en-AU"/>
        </w:rPr>
        <w:t xml:space="preserve"> The EUC’s report thus provides some evidence of community acceptance of the limited clawback provisions operating in the UK but strong opposition to expansion of their scope.</w:t>
      </w:r>
    </w:p>
    <w:p w14:paraId="1761BF0B" w14:textId="537C819C" w:rsidR="0012248F" w:rsidRPr="004C5271" w:rsidRDefault="0012248F" w:rsidP="00AE2B8C">
      <w:pPr>
        <w:pStyle w:val="Sub-HeadingTLRI"/>
      </w:pPr>
      <w:r w:rsidRPr="004C5271">
        <w:lastRenderedPageBreak/>
        <w:t xml:space="preserve">2011 </w:t>
      </w:r>
      <w:r w:rsidR="00F62E1E" w:rsidRPr="004C5271">
        <w:t xml:space="preserve">Law Commission (England &amp; Wales) </w:t>
      </w:r>
      <w:r w:rsidRPr="004C5271">
        <w:t xml:space="preserve">Review </w:t>
      </w:r>
    </w:p>
    <w:p w14:paraId="1BEAB701" w14:textId="4E416853"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In 2011, the Law Commission</w:t>
      </w:r>
      <w:r w:rsidR="00F62E1E" w:rsidRPr="004C5271">
        <w:rPr>
          <w:rFonts w:asciiTheme="majorBidi" w:hAnsiTheme="majorBidi" w:cstheme="majorBidi"/>
          <w:lang w:val="en-AU"/>
        </w:rPr>
        <w:t xml:space="preserve"> (England &amp; Wales)</w:t>
      </w:r>
      <w:r w:rsidRPr="004C5271">
        <w:rPr>
          <w:rFonts w:asciiTheme="majorBidi" w:hAnsiTheme="majorBidi" w:cstheme="majorBidi"/>
          <w:lang w:val="en-AU"/>
        </w:rPr>
        <w:t xml:space="preserve"> undertook a review of family provision claims in the United Kingdom.</w:t>
      </w:r>
      <w:bookmarkStart w:id="68" w:name="_Ref12986634"/>
      <w:r w:rsidRPr="004C5271">
        <w:rPr>
          <w:rStyle w:val="FootnoteReference"/>
          <w:rFonts w:asciiTheme="majorBidi" w:hAnsiTheme="majorBidi" w:cstheme="majorBidi"/>
        </w:rPr>
        <w:footnoteReference w:id="99"/>
      </w:r>
      <w:bookmarkEnd w:id="68"/>
      <w:r w:rsidRPr="004C5271">
        <w:rPr>
          <w:rFonts w:asciiTheme="majorBidi" w:hAnsiTheme="majorBidi" w:cstheme="majorBidi"/>
          <w:lang w:val="en-AU"/>
        </w:rPr>
        <w:t xml:space="preserve"> The </w:t>
      </w:r>
      <w:r w:rsidR="00F62E1E" w:rsidRPr="004C5271">
        <w:rPr>
          <w:rFonts w:asciiTheme="majorBidi" w:hAnsiTheme="majorBidi" w:cstheme="majorBidi"/>
          <w:lang w:val="en-AU"/>
        </w:rPr>
        <w:t xml:space="preserve">Commission </w:t>
      </w:r>
      <w:r w:rsidRPr="004C5271">
        <w:rPr>
          <w:rFonts w:asciiTheme="majorBidi" w:hAnsiTheme="majorBidi" w:cstheme="majorBidi"/>
          <w:lang w:val="en-AU"/>
        </w:rPr>
        <w:t xml:space="preserve">noted existing provisions under the </w:t>
      </w:r>
      <w:r w:rsidRPr="004C5271">
        <w:rPr>
          <w:rFonts w:asciiTheme="majorBidi" w:hAnsiTheme="majorBidi" w:cstheme="majorBidi"/>
          <w:i/>
          <w:iCs/>
          <w:lang w:val="en-AU"/>
        </w:rPr>
        <w:t>Inheritance (Provision for Family and Dependants) Act 1975</w:t>
      </w:r>
      <w:r w:rsidRPr="004C5271">
        <w:rPr>
          <w:rFonts w:asciiTheme="majorBidi" w:hAnsiTheme="majorBidi" w:cstheme="majorBidi"/>
          <w:lang w:val="en-AU"/>
        </w:rPr>
        <w:t xml:space="preserve"> (UK), particularly ss 8</w:t>
      </w:r>
      <w:r w:rsidR="00E059C0" w:rsidRPr="004C5271">
        <w:rPr>
          <w:rFonts w:asciiTheme="majorBidi" w:hAnsiTheme="majorBidi" w:cstheme="majorBidi"/>
          <w:lang w:val="en-AU"/>
        </w:rPr>
        <w:t>–</w:t>
      </w:r>
      <w:r w:rsidRPr="004C5271">
        <w:rPr>
          <w:rFonts w:asciiTheme="majorBidi" w:hAnsiTheme="majorBidi" w:cstheme="majorBidi"/>
          <w:lang w:val="en-AU"/>
        </w:rPr>
        <w:t>10 which enable the following as part of the deceased’s net estate:</w:t>
      </w:r>
    </w:p>
    <w:p w14:paraId="167B6913" w14:textId="77777777" w:rsidR="0012248F" w:rsidRPr="004C5271" w:rsidRDefault="0012248F" w:rsidP="0012248F">
      <w:pPr>
        <w:pStyle w:val="DotPointTLRI"/>
        <w:rPr>
          <w:rFonts w:asciiTheme="majorBidi" w:hAnsiTheme="majorBidi" w:cstheme="majorBidi"/>
          <w:lang w:val="en-AU"/>
        </w:rPr>
      </w:pPr>
      <w:r w:rsidRPr="004C5271">
        <w:rPr>
          <w:rFonts w:asciiTheme="majorBidi" w:hAnsiTheme="majorBidi" w:cstheme="majorBidi"/>
          <w:lang w:val="en-AU"/>
        </w:rPr>
        <w:t>death-bed gifts;</w:t>
      </w:r>
      <w:r w:rsidRPr="004C5271">
        <w:rPr>
          <w:rStyle w:val="FootnoteReference"/>
          <w:rFonts w:asciiTheme="majorBidi" w:hAnsiTheme="majorBidi" w:cstheme="majorBidi"/>
          <w:lang w:val="en-AU"/>
        </w:rPr>
        <w:footnoteReference w:id="100"/>
      </w:r>
      <w:r w:rsidRPr="004C5271">
        <w:rPr>
          <w:rFonts w:asciiTheme="majorBidi" w:hAnsiTheme="majorBidi" w:cstheme="majorBidi"/>
          <w:lang w:val="en-AU"/>
        </w:rPr>
        <w:t xml:space="preserve"> </w:t>
      </w:r>
    </w:p>
    <w:p w14:paraId="177AAADD" w14:textId="004E74BC" w:rsidR="0012248F" w:rsidRPr="004C5271" w:rsidRDefault="0012248F" w:rsidP="0012248F">
      <w:pPr>
        <w:pStyle w:val="DotPointTLRI"/>
        <w:rPr>
          <w:rFonts w:asciiTheme="majorBidi" w:hAnsiTheme="majorBidi" w:cstheme="majorBidi"/>
          <w:lang w:val="en-AU"/>
        </w:rPr>
      </w:pPr>
      <w:r w:rsidRPr="004C5271">
        <w:rPr>
          <w:rFonts w:asciiTheme="majorBidi" w:hAnsiTheme="majorBidi" w:cstheme="majorBidi"/>
          <w:lang w:val="en-AU"/>
        </w:rPr>
        <w:t>statutory nominations;</w:t>
      </w:r>
    </w:p>
    <w:p w14:paraId="57F99329" w14:textId="77777777" w:rsidR="0012248F" w:rsidRPr="004C5271" w:rsidRDefault="0012248F" w:rsidP="0012248F">
      <w:pPr>
        <w:pStyle w:val="DotPointTLRI"/>
        <w:rPr>
          <w:rFonts w:asciiTheme="majorBidi" w:hAnsiTheme="majorBidi" w:cstheme="majorBidi"/>
          <w:lang w:val="en-AU"/>
        </w:rPr>
      </w:pPr>
      <w:r w:rsidRPr="004C5271">
        <w:rPr>
          <w:rFonts w:asciiTheme="majorBidi" w:hAnsiTheme="majorBidi" w:cstheme="majorBidi"/>
          <w:lang w:val="en-AU"/>
        </w:rPr>
        <w:t>a deceased’s share in joint tenancy property; and</w:t>
      </w:r>
    </w:p>
    <w:p w14:paraId="1C8F728C" w14:textId="1E5D581E" w:rsidR="0012248F" w:rsidRPr="004C5271" w:rsidRDefault="0012248F" w:rsidP="0012248F">
      <w:pPr>
        <w:pStyle w:val="DotPointTLRI"/>
        <w:rPr>
          <w:rFonts w:asciiTheme="majorBidi" w:hAnsiTheme="majorBidi" w:cstheme="majorBidi"/>
          <w:lang w:val="en-AU"/>
        </w:rPr>
      </w:pPr>
      <w:r w:rsidRPr="004C5271">
        <w:rPr>
          <w:rFonts w:asciiTheme="majorBidi" w:hAnsiTheme="majorBidi" w:cstheme="majorBidi"/>
          <w:lang w:val="en-AU"/>
        </w:rPr>
        <w:t>property transferred under-value during the six years before a deceased’s death with the intention of defeating a family provision claim as part of the deceased’s net estate.</w:t>
      </w:r>
      <w:bookmarkStart w:id="69" w:name="_Hlk8207862"/>
      <w:r w:rsidR="001D7B05" w:rsidRPr="004C5271">
        <w:rPr>
          <w:rStyle w:val="FootnoteReference"/>
          <w:rFonts w:asciiTheme="majorBidi" w:hAnsiTheme="majorBidi" w:cstheme="majorBidi"/>
        </w:rPr>
        <w:footnoteReference w:id="101"/>
      </w:r>
      <w:bookmarkEnd w:id="69"/>
    </w:p>
    <w:p w14:paraId="5CD3F4C9" w14:textId="7E69E1EB"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F62E1E" w:rsidRPr="004C5271">
        <w:rPr>
          <w:rFonts w:asciiTheme="majorBidi" w:hAnsiTheme="majorBidi" w:cstheme="majorBidi"/>
          <w:lang w:val="en-AU"/>
        </w:rPr>
        <w:t xml:space="preserve">Commission </w:t>
      </w:r>
      <w:r w:rsidRPr="004C5271">
        <w:rPr>
          <w:rFonts w:asciiTheme="majorBidi" w:hAnsiTheme="majorBidi" w:cstheme="majorBidi"/>
          <w:lang w:val="en-AU"/>
        </w:rPr>
        <w:t xml:space="preserve">did not comment on the need for or desirability of amending these provisions and did not make recommendations for reform </w:t>
      </w:r>
      <w:proofErr w:type="gramStart"/>
      <w:r w:rsidR="001D7B05" w:rsidRPr="004C5271">
        <w:rPr>
          <w:rFonts w:asciiTheme="majorBidi" w:hAnsiTheme="majorBidi" w:cstheme="majorBidi"/>
          <w:lang w:val="en-AU"/>
        </w:rPr>
        <w:t>with the exception of</w:t>
      </w:r>
      <w:proofErr w:type="gramEnd"/>
      <w:r w:rsidRPr="004C5271">
        <w:rPr>
          <w:rFonts w:asciiTheme="majorBidi" w:hAnsiTheme="majorBidi" w:cstheme="majorBidi"/>
          <w:lang w:val="en-AU"/>
        </w:rPr>
        <w:t xml:space="preserve"> the following</w:t>
      </w:r>
      <w:r w:rsidR="001D7B05" w:rsidRPr="004C5271">
        <w:rPr>
          <w:rFonts w:asciiTheme="majorBidi" w:hAnsiTheme="majorBidi" w:cstheme="majorBidi"/>
          <w:lang w:val="en-AU"/>
        </w:rPr>
        <w:t xml:space="preserve"> matters</w:t>
      </w:r>
      <w:r w:rsidRPr="004C5271">
        <w:rPr>
          <w:rFonts w:asciiTheme="majorBidi" w:hAnsiTheme="majorBidi" w:cstheme="majorBidi"/>
          <w:lang w:val="en-AU"/>
        </w:rPr>
        <w:t>:</w:t>
      </w:r>
    </w:p>
    <w:p w14:paraId="4A62AAF2" w14:textId="77777777" w:rsidR="0012248F" w:rsidRPr="004C5271" w:rsidRDefault="0012248F" w:rsidP="005C723B">
      <w:pPr>
        <w:pStyle w:val="furhtersub-heading2"/>
      </w:pPr>
      <w:r w:rsidRPr="004C5271">
        <w:t xml:space="preserve">Joint </w:t>
      </w:r>
      <w:r w:rsidRPr="00E40341">
        <w:t>tenancy</w:t>
      </w:r>
      <w:r w:rsidRPr="004C5271">
        <w:t xml:space="preserve"> properties</w:t>
      </w:r>
    </w:p>
    <w:p w14:paraId="4644DD48" w14:textId="079DE155"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D12988" w:rsidRPr="004C5271">
        <w:rPr>
          <w:rFonts w:asciiTheme="majorBidi" w:hAnsiTheme="majorBidi" w:cstheme="majorBidi"/>
          <w:lang w:val="en-AU"/>
        </w:rPr>
        <w:t xml:space="preserve">Commission </w:t>
      </w:r>
      <w:r w:rsidR="00197F22" w:rsidRPr="004C5271">
        <w:rPr>
          <w:rFonts w:asciiTheme="majorBidi" w:hAnsiTheme="majorBidi" w:cstheme="majorBidi"/>
          <w:lang w:val="en-AU"/>
        </w:rPr>
        <w:t>noted that the</w:t>
      </w:r>
      <w:r w:rsidR="00710093" w:rsidRPr="004C5271">
        <w:rPr>
          <w:rFonts w:asciiTheme="majorBidi" w:hAnsiTheme="majorBidi" w:cstheme="majorBidi"/>
          <w:lang w:val="en-AU"/>
        </w:rPr>
        <w:t xml:space="preserve"> then</w:t>
      </w:r>
      <w:r w:rsidR="00197F22" w:rsidRPr="004C5271">
        <w:rPr>
          <w:rFonts w:asciiTheme="majorBidi" w:hAnsiTheme="majorBidi" w:cstheme="majorBidi"/>
          <w:lang w:val="en-AU"/>
        </w:rPr>
        <w:t xml:space="preserve"> </w:t>
      </w:r>
      <w:r w:rsidR="001D7B05" w:rsidRPr="004C5271">
        <w:rPr>
          <w:rFonts w:asciiTheme="majorBidi" w:hAnsiTheme="majorBidi" w:cstheme="majorBidi"/>
          <w:lang w:val="en-AU"/>
        </w:rPr>
        <w:t xml:space="preserve">existing </w:t>
      </w:r>
      <w:r w:rsidR="00537BD7" w:rsidRPr="004C5271">
        <w:rPr>
          <w:rFonts w:asciiTheme="majorBidi" w:hAnsiTheme="majorBidi" w:cstheme="majorBidi"/>
          <w:lang w:val="en-AU"/>
        </w:rPr>
        <w:t xml:space="preserve">legislation </w:t>
      </w:r>
      <w:r w:rsidR="00710093" w:rsidRPr="004C5271">
        <w:rPr>
          <w:rFonts w:asciiTheme="majorBidi" w:hAnsiTheme="majorBidi" w:cstheme="majorBidi"/>
          <w:lang w:val="en-AU"/>
        </w:rPr>
        <w:t xml:space="preserve">stipulated </w:t>
      </w:r>
      <w:r w:rsidRPr="004C5271">
        <w:rPr>
          <w:rFonts w:asciiTheme="majorBidi" w:hAnsiTheme="majorBidi" w:cstheme="majorBidi"/>
          <w:lang w:val="en-AU"/>
        </w:rPr>
        <w:t>that an applicant may only seek provision from joint tenancy assets where their claim is commenced within time, with there being no power to affect that joint tenancy property if a claim is commenced out of time.</w:t>
      </w:r>
      <w:r w:rsidRPr="004C5271">
        <w:rPr>
          <w:rStyle w:val="FootnoteReference"/>
          <w:rFonts w:asciiTheme="majorBidi" w:hAnsiTheme="majorBidi" w:cstheme="majorBidi"/>
          <w:lang w:val="en-AU"/>
        </w:rPr>
        <w:footnoteReference w:id="102"/>
      </w:r>
      <w:r w:rsidRPr="004C5271">
        <w:rPr>
          <w:rFonts w:asciiTheme="majorBidi" w:hAnsiTheme="majorBidi" w:cstheme="majorBidi"/>
          <w:lang w:val="en-AU"/>
        </w:rPr>
        <w:t xml:space="preserve"> </w:t>
      </w:r>
      <w:r w:rsidR="008347B7" w:rsidRPr="004C5271">
        <w:rPr>
          <w:rFonts w:asciiTheme="majorBidi" w:hAnsiTheme="majorBidi" w:cstheme="majorBidi"/>
          <w:lang w:val="en-AU"/>
        </w:rPr>
        <w:t xml:space="preserve">That approach was consistent with </w:t>
      </w:r>
      <w:r w:rsidR="00717B65" w:rsidRPr="004C5271">
        <w:rPr>
          <w:rFonts w:asciiTheme="majorBidi" w:hAnsiTheme="majorBidi" w:cstheme="majorBidi"/>
          <w:lang w:val="en-AU"/>
        </w:rPr>
        <w:t xml:space="preserve">its </w:t>
      </w:r>
      <w:r w:rsidR="008347B7" w:rsidRPr="004C5271">
        <w:rPr>
          <w:rFonts w:asciiTheme="majorBidi" w:hAnsiTheme="majorBidi" w:cstheme="majorBidi"/>
          <w:lang w:val="en-AU"/>
        </w:rPr>
        <w:t>previous recommendations.</w:t>
      </w:r>
      <w:r w:rsidR="008347B7" w:rsidRPr="004C5271">
        <w:rPr>
          <w:rStyle w:val="FootnoteReference"/>
          <w:rFonts w:asciiTheme="majorBidi" w:hAnsiTheme="majorBidi" w:cstheme="majorBidi"/>
          <w:lang w:val="en-AU"/>
        </w:rPr>
        <w:footnoteReference w:id="103"/>
      </w:r>
      <w:r w:rsidR="008347B7" w:rsidRPr="004C5271">
        <w:rPr>
          <w:rFonts w:asciiTheme="majorBidi" w:hAnsiTheme="majorBidi" w:cstheme="majorBidi"/>
          <w:lang w:val="en-AU"/>
        </w:rPr>
        <w:t xml:space="preserve"> </w:t>
      </w:r>
      <w:r w:rsidRPr="004C5271">
        <w:rPr>
          <w:rFonts w:asciiTheme="majorBidi" w:hAnsiTheme="majorBidi" w:cstheme="majorBidi"/>
          <w:lang w:val="en-AU"/>
        </w:rPr>
        <w:t xml:space="preserve">The </w:t>
      </w:r>
      <w:r w:rsidR="00717B65" w:rsidRPr="004C5271">
        <w:rPr>
          <w:rFonts w:asciiTheme="majorBidi" w:hAnsiTheme="majorBidi" w:cstheme="majorBidi"/>
          <w:lang w:val="en-AU"/>
        </w:rPr>
        <w:t xml:space="preserve">Commission </w:t>
      </w:r>
      <w:r w:rsidRPr="004C5271">
        <w:rPr>
          <w:rFonts w:asciiTheme="majorBidi" w:hAnsiTheme="majorBidi" w:cstheme="majorBidi"/>
          <w:lang w:val="en-AU"/>
        </w:rPr>
        <w:t xml:space="preserve">asked whether the court should have the discretion to permit an order to </w:t>
      </w:r>
      <w:r w:rsidR="00537BD7" w:rsidRPr="004C5271">
        <w:rPr>
          <w:rFonts w:asciiTheme="majorBidi" w:hAnsiTheme="majorBidi" w:cstheme="majorBidi"/>
          <w:lang w:val="en-AU"/>
        </w:rPr>
        <w:t xml:space="preserve">include </w:t>
      </w:r>
      <w:r w:rsidRPr="004C5271">
        <w:rPr>
          <w:rFonts w:asciiTheme="majorBidi" w:hAnsiTheme="majorBidi" w:cstheme="majorBidi"/>
          <w:lang w:val="en-AU"/>
        </w:rPr>
        <w:t xml:space="preserve">joint tenancy assets where a claim is </w:t>
      </w:r>
      <w:r w:rsidR="001D7B05" w:rsidRPr="004C5271">
        <w:rPr>
          <w:rFonts w:asciiTheme="majorBidi" w:hAnsiTheme="majorBidi" w:cstheme="majorBidi"/>
          <w:lang w:val="en-AU"/>
        </w:rPr>
        <w:t>permitted</w:t>
      </w:r>
      <w:r w:rsidRPr="004C5271">
        <w:rPr>
          <w:rFonts w:asciiTheme="majorBidi" w:hAnsiTheme="majorBidi" w:cstheme="majorBidi"/>
          <w:lang w:val="en-AU"/>
        </w:rPr>
        <w:t xml:space="preserve"> out of time. </w:t>
      </w:r>
      <w:r w:rsidR="001D7B05" w:rsidRPr="004C5271">
        <w:rPr>
          <w:rFonts w:asciiTheme="majorBidi" w:hAnsiTheme="majorBidi" w:cstheme="majorBidi"/>
          <w:lang w:val="en-AU"/>
        </w:rPr>
        <w:t>It</w:t>
      </w:r>
      <w:r w:rsidRPr="004C5271">
        <w:rPr>
          <w:rFonts w:asciiTheme="majorBidi" w:hAnsiTheme="majorBidi" w:cstheme="majorBidi"/>
          <w:lang w:val="en-AU"/>
        </w:rPr>
        <w:t xml:space="preserve"> reported that this proposal was well supported, primarily on the basis that it would give the court </w:t>
      </w:r>
      <w:r w:rsidRPr="004C5271">
        <w:rPr>
          <w:rFonts w:asciiTheme="majorBidi" w:hAnsiTheme="majorBidi" w:cstheme="majorBidi"/>
          <w:lang w:val="en-AU"/>
        </w:rPr>
        <w:lastRenderedPageBreak/>
        <w:t xml:space="preserve">greater flexibility and </w:t>
      </w:r>
      <w:r w:rsidR="00801B8A" w:rsidRPr="004C5271">
        <w:rPr>
          <w:rFonts w:asciiTheme="majorBidi" w:hAnsiTheme="majorBidi" w:cstheme="majorBidi"/>
          <w:lang w:val="en-AU"/>
        </w:rPr>
        <w:t>‘</w:t>
      </w:r>
      <w:r w:rsidRPr="004C5271">
        <w:rPr>
          <w:rFonts w:asciiTheme="majorBidi" w:hAnsiTheme="majorBidi" w:cstheme="majorBidi"/>
          <w:lang w:val="en-AU"/>
        </w:rPr>
        <w:t>avoid inequitable results.</w:t>
      </w:r>
      <w:r w:rsidR="00801B8A"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104"/>
      </w:r>
      <w:r w:rsidRPr="004C5271">
        <w:rPr>
          <w:rFonts w:asciiTheme="majorBidi" w:hAnsiTheme="majorBidi" w:cstheme="majorBidi"/>
          <w:lang w:val="en-AU"/>
        </w:rPr>
        <w:t xml:space="preserve"> It noted that the Society of Trust and Estate Practitioners, for example</w:t>
      </w:r>
      <w:r w:rsidR="00801B8A" w:rsidRPr="004C5271">
        <w:rPr>
          <w:rFonts w:asciiTheme="majorBidi" w:hAnsiTheme="majorBidi" w:cstheme="majorBidi"/>
          <w:lang w:val="en-AU"/>
        </w:rPr>
        <w:t>,</w:t>
      </w:r>
      <w:r w:rsidRPr="004C5271">
        <w:rPr>
          <w:rFonts w:asciiTheme="majorBidi" w:hAnsiTheme="majorBidi" w:cstheme="majorBidi"/>
          <w:lang w:val="en-AU"/>
        </w:rPr>
        <w:t xml:space="preserve"> commented that </w:t>
      </w:r>
      <w:r w:rsidR="00801B8A" w:rsidRPr="004C5271">
        <w:rPr>
          <w:rFonts w:asciiTheme="majorBidi" w:hAnsiTheme="majorBidi" w:cstheme="majorBidi"/>
          <w:lang w:val="en-AU"/>
        </w:rPr>
        <w:t>‘</w:t>
      </w:r>
      <w:r w:rsidRPr="004C5271">
        <w:rPr>
          <w:rFonts w:asciiTheme="majorBidi" w:hAnsiTheme="majorBidi" w:cstheme="majorBidi"/>
          <w:lang w:val="en-AU"/>
        </w:rPr>
        <w:t>it is not sensible to include arbitrary traps within our law.</w:t>
      </w:r>
      <w:r w:rsidR="00801B8A"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105"/>
      </w:r>
      <w:r w:rsidRPr="004C5271">
        <w:rPr>
          <w:rFonts w:asciiTheme="majorBidi" w:hAnsiTheme="majorBidi" w:cstheme="majorBidi"/>
          <w:lang w:val="en-AU"/>
        </w:rPr>
        <w:t xml:space="preserve"> It therefore recommended that the section be revised to permit joint tenancy property to be used to fund provision where claims are permitted out of time.</w:t>
      </w:r>
      <w:r w:rsidRPr="004C5271">
        <w:rPr>
          <w:rStyle w:val="FootnoteReference"/>
          <w:rFonts w:asciiTheme="majorBidi" w:hAnsiTheme="majorBidi" w:cstheme="majorBidi"/>
          <w:lang w:val="en-AU"/>
        </w:rPr>
        <w:footnoteReference w:id="106"/>
      </w:r>
      <w:r w:rsidRPr="004C5271">
        <w:rPr>
          <w:rFonts w:asciiTheme="majorBidi" w:hAnsiTheme="majorBidi" w:cstheme="majorBidi"/>
          <w:lang w:val="en-AU"/>
        </w:rPr>
        <w:t xml:space="preserve"> It acknowledged that this reform could result in an increased number of orders affecting joint tenancy properties.</w:t>
      </w:r>
      <w:r w:rsidRPr="004C5271">
        <w:rPr>
          <w:rStyle w:val="FootnoteReference"/>
          <w:rFonts w:asciiTheme="majorBidi" w:hAnsiTheme="majorBidi" w:cstheme="majorBidi"/>
          <w:lang w:val="en-AU"/>
        </w:rPr>
        <w:footnoteReference w:id="107"/>
      </w:r>
    </w:p>
    <w:p w14:paraId="5AE9E50D" w14:textId="0172A76A" w:rsidR="0012248F" w:rsidRPr="004C5271" w:rsidRDefault="001D7B05"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In summary, in relation to joint tenancy properties, </w:t>
      </w:r>
      <w:r w:rsidR="0012248F" w:rsidRPr="004C5271">
        <w:rPr>
          <w:rFonts w:asciiTheme="majorBidi" w:hAnsiTheme="majorBidi" w:cstheme="majorBidi"/>
          <w:lang w:val="en-AU"/>
        </w:rPr>
        <w:t xml:space="preserve">the </w:t>
      </w:r>
      <w:r w:rsidR="00F62E1E" w:rsidRPr="004C5271">
        <w:rPr>
          <w:rFonts w:asciiTheme="majorBidi" w:hAnsiTheme="majorBidi" w:cstheme="majorBidi"/>
          <w:lang w:val="en-AU"/>
        </w:rPr>
        <w:t xml:space="preserve">Commission </w:t>
      </w:r>
      <w:r w:rsidRPr="004C5271">
        <w:rPr>
          <w:rFonts w:asciiTheme="majorBidi" w:hAnsiTheme="majorBidi" w:cstheme="majorBidi"/>
          <w:lang w:val="en-AU"/>
        </w:rPr>
        <w:t xml:space="preserve">endorsed retaining the inclusion of </w:t>
      </w:r>
      <w:r w:rsidR="0012248F" w:rsidRPr="004C5271">
        <w:rPr>
          <w:rFonts w:asciiTheme="majorBidi" w:hAnsiTheme="majorBidi" w:cstheme="majorBidi"/>
          <w:lang w:val="en-AU"/>
        </w:rPr>
        <w:t xml:space="preserve">joint tenancy properties </w:t>
      </w:r>
      <w:r w:rsidRPr="004C5271">
        <w:rPr>
          <w:rFonts w:asciiTheme="majorBidi" w:hAnsiTheme="majorBidi" w:cstheme="majorBidi"/>
          <w:lang w:val="en-AU"/>
        </w:rPr>
        <w:t xml:space="preserve">and </w:t>
      </w:r>
      <w:r w:rsidR="0012248F" w:rsidRPr="004C5271">
        <w:rPr>
          <w:rFonts w:asciiTheme="majorBidi" w:hAnsiTheme="majorBidi" w:cstheme="majorBidi"/>
          <w:lang w:val="en-AU"/>
        </w:rPr>
        <w:t xml:space="preserve">recommended extension of those provisions to cover claims </w:t>
      </w:r>
      <w:proofErr w:type="gramStart"/>
      <w:r w:rsidR="0012248F" w:rsidRPr="004C5271">
        <w:rPr>
          <w:rFonts w:asciiTheme="majorBidi" w:hAnsiTheme="majorBidi" w:cstheme="majorBidi"/>
          <w:lang w:val="en-AU"/>
        </w:rPr>
        <w:t>made out of</w:t>
      </w:r>
      <w:proofErr w:type="gramEnd"/>
      <w:r w:rsidR="0012248F" w:rsidRPr="004C5271">
        <w:rPr>
          <w:rFonts w:asciiTheme="majorBidi" w:hAnsiTheme="majorBidi" w:cstheme="majorBidi"/>
          <w:lang w:val="en-AU"/>
        </w:rPr>
        <w:t xml:space="preserve"> time. </w:t>
      </w:r>
      <w:r w:rsidR="00710093" w:rsidRPr="004C5271">
        <w:rPr>
          <w:rFonts w:asciiTheme="majorBidi" w:hAnsiTheme="majorBidi" w:cstheme="majorBidi"/>
          <w:lang w:val="en-AU"/>
        </w:rPr>
        <w:t>This legislative reform was subsequently</w:t>
      </w:r>
      <w:r w:rsidR="00F62E1E" w:rsidRPr="004C5271">
        <w:rPr>
          <w:rFonts w:asciiTheme="majorBidi" w:hAnsiTheme="majorBidi" w:cstheme="majorBidi"/>
          <w:lang w:val="en-AU"/>
        </w:rPr>
        <w:t xml:space="preserve"> made</w:t>
      </w:r>
      <w:r w:rsidR="00710093" w:rsidRPr="004C5271">
        <w:rPr>
          <w:rFonts w:asciiTheme="majorBidi" w:hAnsiTheme="majorBidi" w:cstheme="majorBidi"/>
          <w:lang w:val="en-AU"/>
        </w:rPr>
        <w:t>.</w:t>
      </w:r>
      <w:r w:rsidR="00710093" w:rsidRPr="004C5271">
        <w:rPr>
          <w:rStyle w:val="FootnoteReference"/>
          <w:rFonts w:asciiTheme="majorBidi" w:hAnsiTheme="majorBidi" w:cstheme="majorBidi"/>
          <w:lang w:val="en-AU"/>
        </w:rPr>
        <w:footnoteReference w:id="108"/>
      </w:r>
    </w:p>
    <w:p w14:paraId="5A051204" w14:textId="77777777" w:rsidR="0012248F" w:rsidRPr="00E40341" w:rsidRDefault="0012248F" w:rsidP="005C723B">
      <w:pPr>
        <w:pStyle w:val="furhtersub-heading2"/>
      </w:pPr>
      <w:r w:rsidRPr="00E40341">
        <w:t xml:space="preserve">Pensions </w:t>
      </w:r>
    </w:p>
    <w:p w14:paraId="6B0263EE" w14:textId="268D2DCE" w:rsidR="001D7B05"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F62E1E" w:rsidRPr="004C5271">
        <w:rPr>
          <w:rFonts w:asciiTheme="majorBidi" w:hAnsiTheme="majorBidi" w:cstheme="majorBidi"/>
          <w:lang w:val="en-AU"/>
        </w:rPr>
        <w:t xml:space="preserve">Law Commission (England &amp; Wales) </w:t>
      </w:r>
      <w:r w:rsidRPr="004C5271">
        <w:rPr>
          <w:rFonts w:asciiTheme="majorBidi" w:hAnsiTheme="majorBidi" w:cstheme="majorBidi"/>
          <w:lang w:val="en-AU"/>
        </w:rPr>
        <w:t>observ</w:t>
      </w:r>
      <w:r w:rsidR="001D7B05" w:rsidRPr="004C5271">
        <w:rPr>
          <w:rFonts w:asciiTheme="majorBidi" w:hAnsiTheme="majorBidi" w:cstheme="majorBidi"/>
          <w:lang w:val="en-AU"/>
        </w:rPr>
        <w:t>ed</w:t>
      </w:r>
      <w:r w:rsidRPr="004C5271">
        <w:rPr>
          <w:rFonts w:asciiTheme="majorBidi" w:hAnsiTheme="majorBidi" w:cstheme="majorBidi"/>
          <w:lang w:val="en-AU"/>
        </w:rPr>
        <w:t xml:space="preserve"> the differences between family provision legislation and family law</w:t>
      </w:r>
      <w:r w:rsidR="00537BD7" w:rsidRPr="004C5271">
        <w:rPr>
          <w:rFonts w:asciiTheme="majorBidi" w:hAnsiTheme="majorBidi" w:cstheme="majorBidi"/>
          <w:lang w:val="en-AU"/>
        </w:rPr>
        <w:t xml:space="preserve"> legislation</w:t>
      </w:r>
      <w:r w:rsidRPr="004C5271">
        <w:rPr>
          <w:rFonts w:asciiTheme="majorBidi" w:hAnsiTheme="majorBidi" w:cstheme="majorBidi"/>
          <w:lang w:val="en-AU"/>
        </w:rPr>
        <w:t xml:space="preserve"> as </w:t>
      </w:r>
      <w:r w:rsidR="001D7B05" w:rsidRPr="004C5271">
        <w:rPr>
          <w:rFonts w:asciiTheme="majorBidi" w:hAnsiTheme="majorBidi" w:cstheme="majorBidi"/>
          <w:lang w:val="en-AU"/>
        </w:rPr>
        <w:t>they</w:t>
      </w:r>
      <w:r w:rsidRPr="004C5271">
        <w:rPr>
          <w:rFonts w:asciiTheme="majorBidi" w:hAnsiTheme="majorBidi" w:cstheme="majorBidi"/>
          <w:lang w:val="en-AU"/>
        </w:rPr>
        <w:t xml:space="preserve"> relate to powers over pension funds.</w:t>
      </w:r>
      <w:r w:rsidRPr="004C5271">
        <w:rPr>
          <w:rStyle w:val="FootnoteReference"/>
          <w:rFonts w:asciiTheme="majorBidi" w:hAnsiTheme="majorBidi" w:cstheme="majorBidi"/>
          <w:lang w:val="en-AU"/>
        </w:rPr>
        <w:footnoteReference w:id="109"/>
      </w:r>
      <w:r w:rsidRPr="004C5271">
        <w:rPr>
          <w:rFonts w:asciiTheme="majorBidi" w:hAnsiTheme="majorBidi" w:cstheme="majorBidi"/>
          <w:lang w:val="en-AU"/>
        </w:rPr>
        <w:t xml:space="preserve"> </w:t>
      </w:r>
      <w:r w:rsidR="001D7B05" w:rsidRPr="004C5271">
        <w:rPr>
          <w:rFonts w:asciiTheme="majorBidi" w:hAnsiTheme="majorBidi" w:cstheme="majorBidi"/>
          <w:lang w:val="en-AU"/>
        </w:rPr>
        <w:t xml:space="preserve">It therefore </w:t>
      </w:r>
      <w:r w:rsidRPr="004C5271">
        <w:rPr>
          <w:rFonts w:asciiTheme="majorBidi" w:hAnsiTheme="majorBidi" w:cstheme="majorBidi"/>
          <w:lang w:val="en-AU"/>
        </w:rPr>
        <w:t>ask</w:t>
      </w:r>
      <w:r w:rsidR="001D7B05" w:rsidRPr="004C5271">
        <w:rPr>
          <w:rFonts w:asciiTheme="majorBidi" w:hAnsiTheme="majorBidi" w:cstheme="majorBidi"/>
          <w:lang w:val="en-AU"/>
        </w:rPr>
        <w:t>ed</w:t>
      </w:r>
      <w:r w:rsidRPr="004C5271">
        <w:rPr>
          <w:rFonts w:asciiTheme="majorBidi" w:hAnsiTheme="majorBidi" w:cstheme="majorBidi"/>
          <w:lang w:val="en-AU"/>
        </w:rPr>
        <w:t xml:space="preserve"> whether there should be reform to permit recourse to pension funds as a last resort where the assets of the estate would otherwise be insufficient to fund a successful claim. </w:t>
      </w:r>
    </w:p>
    <w:p w14:paraId="2BF1ECFF" w14:textId="1122F655" w:rsidR="0012248F" w:rsidRPr="004C5271" w:rsidRDefault="001D7B05" w:rsidP="002F6269">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F62E1E" w:rsidRPr="004C5271">
        <w:rPr>
          <w:rFonts w:asciiTheme="majorBidi" w:hAnsiTheme="majorBidi" w:cstheme="majorBidi"/>
          <w:lang w:val="en-AU"/>
        </w:rPr>
        <w:t xml:space="preserve">Commission </w:t>
      </w:r>
      <w:r w:rsidR="0012248F" w:rsidRPr="004C5271">
        <w:rPr>
          <w:rFonts w:asciiTheme="majorBidi" w:hAnsiTheme="majorBidi" w:cstheme="majorBidi"/>
          <w:lang w:val="en-AU"/>
        </w:rPr>
        <w:t xml:space="preserve">reported that, of those </w:t>
      </w:r>
      <w:r w:rsidR="00F62E1E" w:rsidRPr="004C5271">
        <w:rPr>
          <w:rFonts w:asciiTheme="majorBidi" w:hAnsiTheme="majorBidi" w:cstheme="majorBidi"/>
          <w:lang w:val="en-AU"/>
        </w:rPr>
        <w:t xml:space="preserve">respondents </w:t>
      </w:r>
      <w:r w:rsidR="0012248F" w:rsidRPr="004C5271">
        <w:rPr>
          <w:rFonts w:asciiTheme="majorBidi" w:hAnsiTheme="majorBidi" w:cstheme="majorBidi"/>
          <w:lang w:val="en-AU"/>
        </w:rPr>
        <w:t>addressing the question, over half favoured reform,</w:t>
      </w:r>
      <w:r w:rsidR="0012248F" w:rsidRPr="004C5271">
        <w:rPr>
          <w:rStyle w:val="FootnoteReference"/>
          <w:rFonts w:asciiTheme="majorBidi" w:hAnsiTheme="majorBidi" w:cstheme="majorBidi"/>
          <w:lang w:val="en-AU"/>
        </w:rPr>
        <w:footnoteReference w:id="110"/>
      </w:r>
      <w:r w:rsidR="0012248F" w:rsidRPr="004C5271">
        <w:rPr>
          <w:rFonts w:asciiTheme="majorBidi" w:hAnsiTheme="majorBidi" w:cstheme="majorBidi"/>
          <w:lang w:val="en-AU"/>
        </w:rPr>
        <w:t xml:space="preserve"> one quarter were opposed and others did not express an opinion.</w:t>
      </w:r>
      <w:r w:rsidR="0012248F" w:rsidRPr="004C5271">
        <w:rPr>
          <w:rStyle w:val="FootnoteReference"/>
          <w:rFonts w:asciiTheme="majorBidi" w:hAnsiTheme="majorBidi" w:cstheme="majorBidi"/>
          <w:lang w:val="en-AU"/>
        </w:rPr>
        <w:footnoteReference w:id="111"/>
      </w:r>
      <w:r w:rsidRPr="004C5271">
        <w:rPr>
          <w:rFonts w:asciiTheme="majorBidi" w:hAnsiTheme="majorBidi" w:cstheme="majorBidi"/>
          <w:lang w:val="en-AU"/>
        </w:rPr>
        <w:t xml:space="preserve"> </w:t>
      </w:r>
      <w:r w:rsidR="0012248F" w:rsidRPr="004C5271">
        <w:rPr>
          <w:rFonts w:asciiTheme="majorBidi" w:hAnsiTheme="majorBidi" w:cstheme="majorBidi"/>
          <w:lang w:val="en-AU"/>
        </w:rPr>
        <w:t>One argument put forward in opposing inclusion of pensions within the pool of available funds was that pension trustees have a discretion about payment which they exercise carefully.</w:t>
      </w:r>
      <w:r w:rsidR="0012248F" w:rsidRPr="004C5271">
        <w:rPr>
          <w:rStyle w:val="FootnoteReference"/>
          <w:rFonts w:asciiTheme="majorBidi" w:hAnsiTheme="majorBidi" w:cstheme="majorBidi"/>
          <w:lang w:val="en-AU"/>
        </w:rPr>
        <w:footnoteReference w:id="112"/>
      </w:r>
      <w:r w:rsidR="0012248F" w:rsidRPr="004C5271">
        <w:rPr>
          <w:rFonts w:asciiTheme="majorBidi" w:hAnsiTheme="majorBidi" w:cstheme="majorBidi"/>
          <w:lang w:val="en-AU"/>
        </w:rPr>
        <w:t xml:space="preserve"> It was submitted </w:t>
      </w:r>
      <w:r w:rsidR="0012248F" w:rsidRPr="004C5271">
        <w:rPr>
          <w:rFonts w:asciiTheme="majorBidi" w:hAnsiTheme="majorBidi" w:cstheme="majorBidi"/>
          <w:lang w:val="en-AU"/>
        </w:rPr>
        <w:lastRenderedPageBreak/>
        <w:t xml:space="preserve">that </w:t>
      </w:r>
      <w:r w:rsidR="005D42EB" w:rsidRPr="004C5271">
        <w:rPr>
          <w:rFonts w:asciiTheme="majorBidi" w:hAnsiTheme="majorBidi" w:cstheme="majorBidi"/>
          <w:lang w:val="en-AU"/>
        </w:rPr>
        <w:t>‘</w:t>
      </w:r>
      <w:r w:rsidR="0012248F" w:rsidRPr="004C5271">
        <w:rPr>
          <w:rFonts w:asciiTheme="majorBidi" w:hAnsiTheme="majorBidi" w:cstheme="majorBidi"/>
          <w:lang w:val="en-AU"/>
        </w:rPr>
        <w:t>little would be gained by subjecting the exercise of the trustees’ discretion to the supervision of the courts in family provision proceedings.</w:t>
      </w:r>
      <w:r w:rsidR="005D42EB" w:rsidRPr="004C5271">
        <w:rPr>
          <w:rFonts w:asciiTheme="majorBidi" w:hAnsiTheme="majorBidi" w:cstheme="majorBidi"/>
          <w:lang w:val="en-AU"/>
        </w:rPr>
        <w:t>’</w:t>
      </w:r>
      <w:r w:rsidR="0012248F" w:rsidRPr="004C5271">
        <w:rPr>
          <w:rStyle w:val="FootnoteReference"/>
          <w:rFonts w:asciiTheme="majorBidi" w:hAnsiTheme="majorBidi" w:cstheme="majorBidi"/>
          <w:lang w:val="en-AU"/>
        </w:rPr>
        <w:footnoteReference w:id="113"/>
      </w:r>
      <w:r w:rsidR="0012248F" w:rsidRPr="004C5271">
        <w:rPr>
          <w:rFonts w:asciiTheme="majorBidi" w:hAnsiTheme="majorBidi" w:cstheme="majorBidi"/>
          <w:lang w:val="en-AU"/>
        </w:rPr>
        <w:t xml:space="preserve"> Other criticisms </w:t>
      </w:r>
      <w:r w:rsidR="00537BD7" w:rsidRPr="004C5271">
        <w:rPr>
          <w:rFonts w:asciiTheme="majorBidi" w:hAnsiTheme="majorBidi" w:cstheme="majorBidi"/>
          <w:lang w:val="en-AU"/>
        </w:rPr>
        <w:t xml:space="preserve">made </w:t>
      </w:r>
      <w:r w:rsidR="0012248F" w:rsidRPr="004C5271">
        <w:rPr>
          <w:rFonts w:asciiTheme="majorBidi" w:hAnsiTheme="majorBidi" w:cstheme="majorBidi"/>
          <w:lang w:val="en-AU"/>
        </w:rPr>
        <w:t>included</w:t>
      </w:r>
      <w:r w:rsidRPr="004C5271">
        <w:rPr>
          <w:rFonts w:asciiTheme="majorBidi" w:hAnsiTheme="majorBidi" w:cstheme="majorBidi"/>
          <w:lang w:val="en-AU"/>
        </w:rPr>
        <w:t xml:space="preserve"> </w:t>
      </w:r>
      <w:r w:rsidR="0012248F" w:rsidRPr="004C5271">
        <w:rPr>
          <w:rFonts w:asciiTheme="majorBidi" w:hAnsiTheme="majorBidi" w:cstheme="majorBidi"/>
          <w:lang w:val="en-AU"/>
        </w:rPr>
        <w:t xml:space="preserve">that most pension funds are modest in size, </w:t>
      </w:r>
      <w:r w:rsidR="00F62E1E" w:rsidRPr="004C5271">
        <w:rPr>
          <w:rFonts w:asciiTheme="majorBidi" w:hAnsiTheme="majorBidi" w:cstheme="majorBidi"/>
          <w:lang w:val="en-AU"/>
        </w:rPr>
        <w:t xml:space="preserve">therefore </w:t>
      </w:r>
      <w:r w:rsidR="0012248F" w:rsidRPr="004C5271">
        <w:rPr>
          <w:rFonts w:asciiTheme="majorBidi" w:hAnsiTheme="majorBidi" w:cstheme="majorBidi"/>
          <w:lang w:val="en-AU"/>
        </w:rPr>
        <w:t>making claims not worthwhile</w:t>
      </w:r>
      <w:r w:rsidRPr="004C5271">
        <w:rPr>
          <w:rFonts w:asciiTheme="majorBidi" w:hAnsiTheme="majorBidi" w:cstheme="majorBidi"/>
          <w:lang w:val="en-AU"/>
        </w:rPr>
        <w:t>,</w:t>
      </w:r>
      <w:r w:rsidR="0012248F" w:rsidRPr="004C5271">
        <w:rPr>
          <w:rStyle w:val="FootnoteReference"/>
          <w:rFonts w:asciiTheme="majorBidi" w:hAnsiTheme="majorBidi" w:cstheme="majorBidi"/>
          <w:lang w:val="en-AU"/>
        </w:rPr>
        <w:footnoteReference w:id="114"/>
      </w:r>
      <w:r w:rsidR="0012248F" w:rsidRPr="004C5271">
        <w:rPr>
          <w:rFonts w:asciiTheme="majorBidi" w:hAnsiTheme="majorBidi" w:cstheme="majorBidi"/>
          <w:lang w:val="en-AU"/>
        </w:rPr>
        <w:t xml:space="preserve"> and</w:t>
      </w:r>
      <w:r w:rsidRPr="004C5271">
        <w:rPr>
          <w:rFonts w:asciiTheme="majorBidi" w:hAnsiTheme="majorBidi" w:cstheme="majorBidi"/>
          <w:lang w:val="en-AU"/>
        </w:rPr>
        <w:t xml:space="preserve"> </w:t>
      </w:r>
      <w:r w:rsidR="00537BD7" w:rsidRPr="004C5271">
        <w:rPr>
          <w:rFonts w:asciiTheme="majorBidi" w:hAnsiTheme="majorBidi" w:cstheme="majorBidi"/>
          <w:lang w:val="en-AU"/>
        </w:rPr>
        <w:t xml:space="preserve">that if they were included there would be increased </w:t>
      </w:r>
      <w:r w:rsidR="0012248F" w:rsidRPr="004C5271">
        <w:rPr>
          <w:rFonts w:asciiTheme="majorBidi" w:hAnsiTheme="majorBidi" w:cstheme="majorBidi"/>
          <w:lang w:val="en-AU"/>
        </w:rPr>
        <w:t>complexity, leading to delay</w:t>
      </w:r>
      <w:r w:rsidR="0012248F" w:rsidRPr="004C5271">
        <w:rPr>
          <w:rStyle w:val="FootnoteReference"/>
          <w:rFonts w:asciiTheme="majorBidi" w:hAnsiTheme="majorBidi" w:cstheme="majorBidi"/>
          <w:lang w:val="en-AU"/>
        </w:rPr>
        <w:footnoteReference w:id="115"/>
      </w:r>
      <w:r w:rsidR="0012248F" w:rsidRPr="004C5271">
        <w:rPr>
          <w:rFonts w:asciiTheme="majorBidi" w:hAnsiTheme="majorBidi" w:cstheme="majorBidi"/>
          <w:lang w:val="en-AU"/>
        </w:rPr>
        <w:t xml:space="preserve"> and expense</w:t>
      </w:r>
      <w:r w:rsidRPr="004C5271">
        <w:rPr>
          <w:rFonts w:asciiTheme="majorBidi" w:hAnsiTheme="majorBidi" w:cstheme="majorBidi"/>
          <w:lang w:val="en-AU"/>
        </w:rPr>
        <w:t>.</w:t>
      </w:r>
      <w:r w:rsidR="0012248F" w:rsidRPr="004C5271">
        <w:rPr>
          <w:rStyle w:val="FootnoteReference"/>
          <w:rFonts w:asciiTheme="majorBidi" w:hAnsiTheme="majorBidi" w:cstheme="majorBidi"/>
          <w:lang w:val="en-AU"/>
        </w:rPr>
        <w:footnoteReference w:id="116"/>
      </w:r>
    </w:p>
    <w:p w14:paraId="7B1DCCC6" w14:textId="344326C7"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In considering the different contexts </w:t>
      </w:r>
      <w:r w:rsidR="001D7B05" w:rsidRPr="004C5271">
        <w:rPr>
          <w:rFonts w:asciiTheme="majorBidi" w:hAnsiTheme="majorBidi" w:cstheme="majorBidi"/>
          <w:lang w:val="en-AU"/>
        </w:rPr>
        <w:t xml:space="preserve">in which </w:t>
      </w:r>
      <w:r w:rsidRPr="004C5271">
        <w:rPr>
          <w:rFonts w:asciiTheme="majorBidi" w:hAnsiTheme="majorBidi" w:cstheme="majorBidi"/>
          <w:lang w:val="en-AU"/>
        </w:rPr>
        <w:t xml:space="preserve">family provision </w:t>
      </w:r>
      <w:r w:rsidR="001D7B05" w:rsidRPr="004C5271">
        <w:rPr>
          <w:rFonts w:asciiTheme="majorBidi" w:hAnsiTheme="majorBidi" w:cstheme="majorBidi"/>
          <w:lang w:val="en-AU"/>
        </w:rPr>
        <w:t>laws apply</w:t>
      </w:r>
      <w:r w:rsidRPr="004C5271">
        <w:rPr>
          <w:rFonts w:asciiTheme="majorBidi" w:hAnsiTheme="majorBidi" w:cstheme="majorBidi"/>
          <w:lang w:val="en-AU"/>
        </w:rPr>
        <w:t xml:space="preserve"> compared to</w:t>
      </w:r>
      <w:r w:rsidR="001D7B05" w:rsidRPr="004C5271">
        <w:rPr>
          <w:rFonts w:asciiTheme="majorBidi" w:hAnsiTheme="majorBidi" w:cstheme="majorBidi"/>
          <w:lang w:val="en-AU"/>
        </w:rPr>
        <w:t xml:space="preserve"> the operation of</w:t>
      </w:r>
      <w:r w:rsidRPr="004C5271">
        <w:rPr>
          <w:rFonts w:asciiTheme="majorBidi" w:hAnsiTheme="majorBidi" w:cstheme="majorBidi"/>
          <w:lang w:val="en-AU"/>
        </w:rPr>
        <w:t xml:space="preserve"> family law, the </w:t>
      </w:r>
      <w:r w:rsidR="00F62E1E" w:rsidRPr="004C5271">
        <w:rPr>
          <w:rFonts w:asciiTheme="majorBidi" w:hAnsiTheme="majorBidi" w:cstheme="majorBidi"/>
          <w:lang w:val="en-AU"/>
        </w:rPr>
        <w:t xml:space="preserve">Commission </w:t>
      </w:r>
      <w:r w:rsidRPr="004C5271">
        <w:rPr>
          <w:rFonts w:asciiTheme="majorBidi" w:hAnsiTheme="majorBidi" w:cstheme="majorBidi"/>
          <w:lang w:val="en-AU"/>
        </w:rPr>
        <w:t xml:space="preserve">stated: </w:t>
      </w:r>
    </w:p>
    <w:p w14:paraId="4145B57A" w14:textId="61D6A4C0" w:rsidR="0012248F" w:rsidRPr="004C5271" w:rsidRDefault="0012248F" w:rsidP="005D42EB">
      <w:pPr>
        <w:pStyle w:val="QuoteTLRI"/>
        <w:rPr>
          <w:rFonts w:asciiTheme="majorBidi" w:hAnsiTheme="majorBidi" w:cstheme="majorBidi"/>
        </w:rPr>
      </w:pPr>
      <w:r w:rsidRPr="004C5271">
        <w:rPr>
          <w:rFonts w:asciiTheme="majorBidi" w:hAnsiTheme="majorBidi" w:cstheme="majorBidi"/>
        </w:rPr>
        <w:t>The ancillary relief method of sharing a pension that has not (usually) entered payment (</w:t>
      </w:r>
      <w:proofErr w:type="gramStart"/>
      <w:r w:rsidRPr="004C5271">
        <w:rPr>
          <w:rFonts w:asciiTheme="majorBidi" w:hAnsiTheme="majorBidi" w:cstheme="majorBidi"/>
        </w:rPr>
        <w:t>that is to say that</w:t>
      </w:r>
      <w:proofErr w:type="gramEnd"/>
      <w:r w:rsidRPr="004C5271">
        <w:rPr>
          <w:rFonts w:asciiTheme="majorBidi" w:hAnsiTheme="majorBidi" w:cstheme="majorBidi"/>
        </w:rPr>
        <w:t xml:space="preserve"> the pensioner is not yet in receipt of a pension) is very different from altering the destination of a payment that has already been made by permitting the court to override the discretion vested in pension trustees.</w:t>
      </w:r>
      <w:r w:rsidRPr="004C5271">
        <w:rPr>
          <w:rStyle w:val="FootnoteReference"/>
          <w:rFonts w:asciiTheme="majorBidi" w:hAnsiTheme="majorBidi" w:cstheme="majorBidi"/>
        </w:rPr>
        <w:footnoteReference w:id="117"/>
      </w:r>
    </w:p>
    <w:p w14:paraId="2A4FD261" w14:textId="51CCB8DB"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D12988" w:rsidRPr="004C5271">
        <w:rPr>
          <w:rFonts w:asciiTheme="majorBidi" w:hAnsiTheme="majorBidi" w:cstheme="majorBidi"/>
          <w:lang w:val="en-AU"/>
        </w:rPr>
        <w:t xml:space="preserve">Commission </w:t>
      </w:r>
      <w:r w:rsidRPr="004C5271">
        <w:rPr>
          <w:rFonts w:asciiTheme="majorBidi" w:hAnsiTheme="majorBidi" w:cstheme="majorBidi"/>
          <w:lang w:val="en-AU"/>
        </w:rPr>
        <w:t xml:space="preserve">did not make any recommendations to include </w:t>
      </w:r>
      <w:r w:rsidR="008347B7" w:rsidRPr="004C5271">
        <w:rPr>
          <w:rFonts w:asciiTheme="majorBidi" w:hAnsiTheme="majorBidi" w:cstheme="majorBidi"/>
          <w:lang w:val="en-AU"/>
        </w:rPr>
        <w:t xml:space="preserve">within family provision legislation </w:t>
      </w:r>
      <w:r w:rsidRPr="004C5271">
        <w:rPr>
          <w:rFonts w:asciiTheme="majorBidi" w:hAnsiTheme="majorBidi" w:cstheme="majorBidi"/>
          <w:lang w:val="en-AU"/>
        </w:rPr>
        <w:t>pension funds falling outside an estate.</w:t>
      </w:r>
      <w:r w:rsidRPr="004C5271">
        <w:rPr>
          <w:rStyle w:val="FootnoteReference"/>
          <w:rFonts w:asciiTheme="majorBidi" w:hAnsiTheme="majorBidi" w:cstheme="majorBidi"/>
          <w:lang w:val="en-AU"/>
        </w:rPr>
        <w:footnoteReference w:id="118"/>
      </w:r>
    </w:p>
    <w:p w14:paraId="60E0ED67" w14:textId="30006D59" w:rsidR="00A245B6" w:rsidRPr="004C5271" w:rsidRDefault="00A245B6" w:rsidP="0012248F">
      <w:pPr>
        <w:pStyle w:val="NumberedHeadingTLRI"/>
        <w:rPr>
          <w:rFonts w:asciiTheme="majorBidi" w:hAnsiTheme="majorBidi" w:cstheme="majorBidi"/>
          <w:lang w:val="en-AU"/>
        </w:rPr>
      </w:pPr>
      <w:bookmarkStart w:id="70" w:name="_Toc12268948"/>
      <w:r w:rsidRPr="004C5271">
        <w:rPr>
          <w:rFonts w:asciiTheme="majorBidi" w:hAnsiTheme="majorBidi" w:cstheme="majorBidi"/>
          <w:lang w:val="en-AU"/>
        </w:rPr>
        <w:t>Scotland</w:t>
      </w:r>
      <w:bookmarkEnd w:id="70"/>
    </w:p>
    <w:p w14:paraId="1B6FBC83" w14:textId="518265FA" w:rsidR="00A245B6" w:rsidRPr="004C5271" w:rsidRDefault="00A245B6" w:rsidP="00A245B6">
      <w:pPr>
        <w:pStyle w:val="NormalNumberedTextTLRI"/>
        <w:rPr>
          <w:rFonts w:asciiTheme="majorBidi" w:hAnsiTheme="majorBidi" w:cstheme="majorBidi"/>
          <w:lang w:val="en-AU"/>
        </w:rPr>
      </w:pPr>
      <w:r w:rsidRPr="004C5271">
        <w:rPr>
          <w:rFonts w:asciiTheme="majorBidi" w:hAnsiTheme="majorBidi" w:cstheme="majorBidi"/>
          <w:lang w:val="en-AU"/>
        </w:rPr>
        <w:t xml:space="preserve">Whilst Scotland adopts a form of forced heirship, the issue of clawback is also relevant </w:t>
      </w:r>
      <w:r w:rsidR="0006060D" w:rsidRPr="004C5271">
        <w:rPr>
          <w:rFonts w:asciiTheme="majorBidi" w:hAnsiTheme="majorBidi" w:cstheme="majorBidi"/>
          <w:lang w:val="en-AU"/>
        </w:rPr>
        <w:t xml:space="preserve">to the devolution of estates under this system </w:t>
      </w:r>
      <w:r w:rsidRPr="004C5271">
        <w:rPr>
          <w:rFonts w:asciiTheme="majorBidi" w:hAnsiTheme="majorBidi" w:cstheme="majorBidi"/>
          <w:lang w:val="en-AU"/>
        </w:rPr>
        <w:t>and was</w:t>
      </w:r>
      <w:r w:rsidR="0006060D" w:rsidRPr="004C5271">
        <w:rPr>
          <w:rFonts w:asciiTheme="majorBidi" w:hAnsiTheme="majorBidi" w:cstheme="majorBidi"/>
          <w:lang w:val="en-AU"/>
        </w:rPr>
        <w:t xml:space="preserve"> thus</w:t>
      </w:r>
      <w:r w:rsidRPr="004C5271">
        <w:rPr>
          <w:rFonts w:asciiTheme="majorBidi" w:hAnsiTheme="majorBidi" w:cstheme="majorBidi"/>
          <w:lang w:val="en-AU"/>
        </w:rPr>
        <w:t xml:space="preserve"> considered by the Scottish Law Commission in its review of succession laws between 2007 and 2009.</w:t>
      </w:r>
      <w:bookmarkStart w:id="71" w:name="_Ref13063421"/>
      <w:r w:rsidRPr="004C5271">
        <w:rPr>
          <w:rStyle w:val="FootnoteReference"/>
          <w:rFonts w:asciiTheme="majorBidi" w:hAnsiTheme="majorBidi" w:cstheme="majorBidi"/>
          <w:lang w:val="en-AU"/>
        </w:rPr>
        <w:footnoteReference w:id="119"/>
      </w:r>
      <w:bookmarkEnd w:id="71"/>
      <w:r w:rsidR="0006060D" w:rsidRPr="004C5271">
        <w:rPr>
          <w:rFonts w:asciiTheme="majorBidi" w:hAnsiTheme="majorBidi" w:cstheme="majorBidi"/>
          <w:lang w:val="en-AU"/>
        </w:rPr>
        <w:t xml:space="preserve"> The Scottish Law Commission considered specifically the effect of pre-death gifts or under value transfers </w:t>
      </w:r>
      <w:r w:rsidR="00C4130F" w:rsidRPr="004C5271">
        <w:rPr>
          <w:rFonts w:asciiTheme="majorBidi" w:hAnsiTheme="majorBidi" w:cstheme="majorBidi"/>
          <w:lang w:val="en-AU"/>
        </w:rPr>
        <w:t>made prior to death</w:t>
      </w:r>
      <w:r w:rsidR="0006060D" w:rsidRPr="004C5271">
        <w:rPr>
          <w:rFonts w:asciiTheme="majorBidi" w:hAnsiTheme="majorBidi" w:cstheme="majorBidi"/>
          <w:lang w:val="en-AU"/>
        </w:rPr>
        <w:t xml:space="preserve"> which have the effect of reducing the size of a deceased’s </w:t>
      </w:r>
      <w:r w:rsidR="0006060D" w:rsidRPr="004C5271">
        <w:rPr>
          <w:rFonts w:asciiTheme="majorBidi" w:hAnsiTheme="majorBidi" w:cstheme="majorBidi"/>
          <w:lang w:val="en-AU"/>
        </w:rPr>
        <w:lastRenderedPageBreak/>
        <w:t xml:space="preserve">estate. It </w:t>
      </w:r>
      <w:r w:rsidR="00C4130F" w:rsidRPr="004C5271">
        <w:rPr>
          <w:rFonts w:asciiTheme="majorBidi" w:hAnsiTheme="majorBidi" w:cstheme="majorBidi"/>
          <w:lang w:val="en-AU"/>
        </w:rPr>
        <w:t>evaluated</w:t>
      </w:r>
      <w:r w:rsidR="0006060D" w:rsidRPr="004C5271">
        <w:rPr>
          <w:rFonts w:asciiTheme="majorBidi" w:hAnsiTheme="majorBidi" w:cstheme="majorBidi"/>
          <w:lang w:val="en-AU"/>
        </w:rPr>
        <w:t xml:space="preserve"> whether there should be any clawback provisions within its succession law to protect the rights of family members</w:t>
      </w:r>
      <w:r w:rsidR="00C4130F" w:rsidRPr="004C5271">
        <w:rPr>
          <w:rFonts w:asciiTheme="majorBidi" w:hAnsiTheme="majorBidi" w:cstheme="majorBidi"/>
          <w:lang w:val="en-AU"/>
        </w:rPr>
        <w:t xml:space="preserve"> in these circumstances</w:t>
      </w:r>
      <w:r w:rsidR="0006060D" w:rsidRPr="004C5271">
        <w:rPr>
          <w:rFonts w:asciiTheme="majorBidi" w:hAnsiTheme="majorBidi" w:cstheme="majorBidi"/>
          <w:lang w:val="en-AU"/>
        </w:rPr>
        <w:t>.</w:t>
      </w:r>
      <w:r w:rsidR="008D49FB" w:rsidRPr="004C5271">
        <w:rPr>
          <w:rFonts w:asciiTheme="majorBidi" w:hAnsiTheme="majorBidi" w:cstheme="majorBidi"/>
          <w:lang w:val="en-AU"/>
        </w:rPr>
        <w:t xml:space="preserve"> The Commission observed that </w:t>
      </w:r>
      <w:r w:rsidR="00370553" w:rsidRPr="004C5271">
        <w:rPr>
          <w:rFonts w:asciiTheme="majorBidi" w:hAnsiTheme="majorBidi" w:cstheme="majorBidi"/>
          <w:lang w:val="en-AU"/>
        </w:rPr>
        <w:t>anti-avoidance provisions already operate</w:t>
      </w:r>
      <w:r w:rsidR="00C4130F" w:rsidRPr="004C5271">
        <w:rPr>
          <w:rFonts w:asciiTheme="majorBidi" w:hAnsiTheme="majorBidi" w:cstheme="majorBidi"/>
          <w:lang w:val="en-AU"/>
        </w:rPr>
        <w:t>d</w:t>
      </w:r>
      <w:r w:rsidR="00370553" w:rsidRPr="004C5271">
        <w:rPr>
          <w:rFonts w:asciiTheme="majorBidi" w:hAnsiTheme="majorBidi" w:cstheme="majorBidi"/>
          <w:lang w:val="en-AU"/>
        </w:rPr>
        <w:t xml:space="preserve"> in Scotland under family law.</w:t>
      </w:r>
      <w:r w:rsidR="00370553" w:rsidRPr="004C5271">
        <w:rPr>
          <w:rStyle w:val="FootnoteReference"/>
          <w:rFonts w:asciiTheme="majorBidi" w:hAnsiTheme="majorBidi" w:cstheme="majorBidi"/>
          <w:lang w:val="en-AU"/>
        </w:rPr>
        <w:footnoteReference w:id="120"/>
      </w:r>
    </w:p>
    <w:p w14:paraId="6B58EC63" w14:textId="7A019540" w:rsidR="0006060D" w:rsidRPr="004C5271" w:rsidRDefault="0006060D" w:rsidP="00A245B6">
      <w:pPr>
        <w:pStyle w:val="NormalNumberedTextTLRI"/>
        <w:rPr>
          <w:rFonts w:asciiTheme="majorBidi" w:hAnsiTheme="majorBidi" w:cstheme="majorBidi"/>
          <w:lang w:val="en-AU"/>
        </w:rPr>
      </w:pPr>
      <w:r w:rsidRPr="004C5271">
        <w:rPr>
          <w:rFonts w:asciiTheme="majorBidi" w:hAnsiTheme="majorBidi" w:cstheme="majorBidi"/>
          <w:lang w:val="en-AU"/>
        </w:rPr>
        <w:t xml:space="preserve">The Scottish Law Commission found during public consultation that there was </w:t>
      </w:r>
      <w:r w:rsidR="000C6D1A" w:rsidRPr="004C5271">
        <w:rPr>
          <w:rFonts w:asciiTheme="majorBidi" w:hAnsiTheme="majorBidi" w:cstheme="majorBidi"/>
          <w:lang w:val="en-AU"/>
        </w:rPr>
        <w:t>‘</w:t>
      </w:r>
      <w:r w:rsidRPr="004C5271">
        <w:rPr>
          <w:rFonts w:asciiTheme="majorBidi" w:hAnsiTheme="majorBidi" w:cstheme="majorBidi"/>
          <w:lang w:val="en-AU"/>
        </w:rPr>
        <w:t>almost unanimous opposition to this idea.</w:t>
      </w:r>
      <w:r w:rsidR="000C6D1A"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121"/>
      </w:r>
      <w:r w:rsidRPr="004C5271">
        <w:rPr>
          <w:rFonts w:asciiTheme="majorBidi" w:hAnsiTheme="majorBidi" w:cstheme="majorBidi"/>
          <w:lang w:val="en-AU"/>
        </w:rPr>
        <w:t xml:space="preserve"> Accordingly, it did not propose legislative reform to incorporate clawback style provisions within its succession laws, stating: </w:t>
      </w:r>
    </w:p>
    <w:p w14:paraId="08CB709F" w14:textId="48267A04" w:rsidR="0006060D" w:rsidRPr="004C5271" w:rsidRDefault="0006060D" w:rsidP="000C6D1A">
      <w:pPr>
        <w:pStyle w:val="QuoteTLRI"/>
        <w:rPr>
          <w:rFonts w:asciiTheme="majorBidi" w:hAnsiTheme="majorBidi" w:cstheme="majorBidi"/>
        </w:rPr>
      </w:pPr>
      <w:r w:rsidRPr="004C5271">
        <w:rPr>
          <w:rFonts w:asciiTheme="majorBidi" w:hAnsiTheme="majorBidi" w:cstheme="majorBidi"/>
        </w:rPr>
        <w:t>As many respondents pointed out, any anti-avoidance scheme would create numerous practical difficulties and would be likely to be complex. And, from a principled perspective, it would disrupt or frustrate otherwise legitimate and intentional acts on the part of the deceased before death. In addition, those who were well advised would be able to take steps to organise their affairs in the light of whatever anti-avoidance measures may be in place, but those who were not in that position, which generally would be people with more modest estates, would be liable to be unduly and unjustifiably affected.</w:t>
      </w:r>
      <w:r w:rsidRPr="004C5271">
        <w:rPr>
          <w:rStyle w:val="FootnoteReference"/>
          <w:rFonts w:asciiTheme="majorBidi" w:hAnsiTheme="majorBidi" w:cstheme="majorBidi"/>
        </w:rPr>
        <w:footnoteReference w:id="122"/>
      </w:r>
    </w:p>
    <w:p w14:paraId="29377AE6" w14:textId="17461C01" w:rsidR="00C4130F" w:rsidRPr="004C5271" w:rsidRDefault="001B1C2D" w:rsidP="00076B44">
      <w:pPr>
        <w:pStyle w:val="NormalNumberedTextTLRI"/>
        <w:rPr>
          <w:rFonts w:asciiTheme="majorBidi" w:hAnsiTheme="majorBidi" w:cstheme="majorBidi"/>
          <w:lang w:val="en-AU"/>
        </w:rPr>
      </w:pPr>
      <w:r w:rsidRPr="004C5271">
        <w:rPr>
          <w:rFonts w:asciiTheme="majorBidi" w:hAnsiTheme="majorBidi" w:cstheme="majorBidi"/>
          <w:lang w:val="en-AU"/>
        </w:rPr>
        <w:t xml:space="preserve">The outcome was thus a rejection of notional estate-style provisions to fund </w:t>
      </w:r>
      <w:r w:rsidR="00FC53EE" w:rsidRPr="004C5271">
        <w:rPr>
          <w:rFonts w:asciiTheme="majorBidi" w:hAnsiTheme="majorBidi" w:cstheme="majorBidi"/>
          <w:lang w:val="en-AU"/>
        </w:rPr>
        <w:t>inheritances.</w:t>
      </w:r>
    </w:p>
    <w:p w14:paraId="28853AD1" w14:textId="745AF7CA" w:rsidR="00F04E92" w:rsidRPr="004C5271" w:rsidRDefault="00F04E92" w:rsidP="0012248F">
      <w:pPr>
        <w:pStyle w:val="NumberedHeadingTLRI"/>
        <w:rPr>
          <w:rFonts w:asciiTheme="majorBidi" w:hAnsiTheme="majorBidi" w:cstheme="majorBidi"/>
          <w:lang w:val="en-AU"/>
        </w:rPr>
      </w:pPr>
      <w:bookmarkStart w:id="73" w:name="_Toc12268949"/>
      <w:bookmarkStart w:id="74" w:name="_Ref13515745"/>
      <w:r w:rsidRPr="004C5271">
        <w:rPr>
          <w:rFonts w:asciiTheme="majorBidi" w:hAnsiTheme="majorBidi" w:cstheme="majorBidi"/>
          <w:lang w:val="en-AU"/>
        </w:rPr>
        <w:t>Canada</w:t>
      </w:r>
      <w:bookmarkEnd w:id="73"/>
      <w:bookmarkEnd w:id="74"/>
    </w:p>
    <w:p w14:paraId="5CA7745C" w14:textId="038C0D61" w:rsidR="00547C26" w:rsidRPr="004C5271" w:rsidRDefault="00985B9A" w:rsidP="00403385">
      <w:pPr>
        <w:pStyle w:val="NormalNumberedTextTLRI"/>
        <w:rPr>
          <w:rFonts w:asciiTheme="majorBidi" w:hAnsiTheme="majorBidi" w:cstheme="majorBidi"/>
          <w:lang w:val="en-AU"/>
        </w:rPr>
      </w:pPr>
      <w:r w:rsidRPr="004C5271">
        <w:rPr>
          <w:rFonts w:asciiTheme="majorBidi" w:hAnsiTheme="majorBidi" w:cstheme="majorBidi"/>
          <w:lang w:val="en-AU"/>
        </w:rPr>
        <w:t xml:space="preserve">During the 1970s, </w:t>
      </w:r>
      <w:r w:rsidR="00403385" w:rsidRPr="004C5271">
        <w:rPr>
          <w:rFonts w:asciiTheme="majorBidi" w:hAnsiTheme="majorBidi" w:cstheme="majorBidi"/>
          <w:lang w:val="en-AU"/>
        </w:rPr>
        <w:t xml:space="preserve">the Uniform Law Conference of </w:t>
      </w:r>
      <w:r w:rsidRPr="004C5271">
        <w:rPr>
          <w:rFonts w:asciiTheme="majorBidi" w:hAnsiTheme="majorBidi" w:cstheme="majorBidi"/>
          <w:lang w:val="en-AU"/>
        </w:rPr>
        <w:t xml:space="preserve">Canada </w:t>
      </w:r>
      <w:r w:rsidR="00403385" w:rsidRPr="004C5271">
        <w:rPr>
          <w:rFonts w:asciiTheme="majorBidi" w:hAnsiTheme="majorBidi" w:cstheme="majorBidi"/>
          <w:lang w:val="en-AU"/>
        </w:rPr>
        <w:t xml:space="preserve">(‘ULCC’) proposed the enactment of uniform family provision </w:t>
      </w:r>
      <w:r w:rsidRPr="004C5271">
        <w:rPr>
          <w:rFonts w:asciiTheme="majorBidi" w:hAnsiTheme="majorBidi" w:cstheme="majorBidi"/>
          <w:lang w:val="en-AU"/>
        </w:rPr>
        <w:t>laws</w:t>
      </w:r>
      <w:r w:rsidR="00446E0C" w:rsidRPr="004C5271">
        <w:rPr>
          <w:rFonts w:asciiTheme="majorBidi" w:hAnsiTheme="majorBidi" w:cstheme="majorBidi"/>
          <w:lang w:val="en-AU"/>
        </w:rPr>
        <w:t xml:space="preserve"> for Canada</w:t>
      </w:r>
      <w:r w:rsidR="00403385" w:rsidRPr="004C5271">
        <w:rPr>
          <w:rFonts w:asciiTheme="majorBidi" w:hAnsiTheme="majorBidi" w:cstheme="majorBidi"/>
          <w:lang w:val="en-AU"/>
        </w:rPr>
        <w:t>.</w:t>
      </w:r>
      <w:r w:rsidR="00403385" w:rsidRPr="004C5271">
        <w:rPr>
          <w:rStyle w:val="FootnoteReference"/>
          <w:rFonts w:asciiTheme="majorBidi" w:hAnsiTheme="majorBidi" w:cstheme="majorBidi"/>
          <w:lang w:val="en-AU"/>
        </w:rPr>
        <w:footnoteReference w:id="123"/>
      </w:r>
      <w:r w:rsidRPr="004C5271">
        <w:rPr>
          <w:rFonts w:asciiTheme="majorBidi" w:hAnsiTheme="majorBidi" w:cstheme="majorBidi"/>
          <w:lang w:val="en-AU"/>
        </w:rPr>
        <w:t xml:space="preserve"> </w:t>
      </w:r>
      <w:r w:rsidR="00403385" w:rsidRPr="004C5271">
        <w:rPr>
          <w:rFonts w:asciiTheme="majorBidi" w:hAnsiTheme="majorBidi" w:cstheme="majorBidi"/>
          <w:lang w:val="en-AU"/>
        </w:rPr>
        <w:t xml:space="preserve">The </w:t>
      </w:r>
      <w:r w:rsidR="00F62E1E" w:rsidRPr="004C5271">
        <w:rPr>
          <w:rFonts w:asciiTheme="majorBidi" w:hAnsiTheme="majorBidi" w:cstheme="majorBidi"/>
          <w:lang w:val="en-AU"/>
        </w:rPr>
        <w:t xml:space="preserve">proposed </w:t>
      </w:r>
      <w:r w:rsidR="00446E0C" w:rsidRPr="004C5271">
        <w:rPr>
          <w:rFonts w:asciiTheme="majorBidi" w:hAnsiTheme="majorBidi" w:cstheme="majorBidi"/>
          <w:lang w:val="en-AU"/>
        </w:rPr>
        <w:t xml:space="preserve">Uniform </w:t>
      </w:r>
      <w:r w:rsidR="00403385" w:rsidRPr="004C5271">
        <w:rPr>
          <w:rFonts w:asciiTheme="majorBidi" w:hAnsiTheme="majorBidi" w:cstheme="majorBidi"/>
          <w:lang w:val="en-AU"/>
        </w:rPr>
        <w:t>Act incorporate</w:t>
      </w:r>
      <w:r w:rsidR="00446E0C" w:rsidRPr="004C5271">
        <w:rPr>
          <w:rFonts w:asciiTheme="majorBidi" w:hAnsiTheme="majorBidi" w:cstheme="majorBidi"/>
          <w:lang w:val="en-AU"/>
        </w:rPr>
        <w:t>s</w:t>
      </w:r>
      <w:r w:rsidR="00403385" w:rsidRPr="004C5271">
        <w:rPr>
          <w:rFonts w:asciiTheme="majorBidi" w:hAnsiTheme="majorBidi" w:cstheme="majorBidi"/>
          <w:lang w:val="en-AU"/>
        </w:rPr>
        <w:t xml:space="preserve"> notional estate-style provisions </w:t>
      </w:r>
      <w:r w:rsidRPr="004C5271">
        <w:rPr>
          <w:rFonts w:asciiTheme="majorBidi" w:hAnsiTheme="majorBidi" w:cstheme="majorBidi"/>
          <w:lang w:val="en-AU"/>
        </w:rPr>
        <w:t xml:space="preserve">dealing </w:t>
      </w:r>
      <w:r w:rsidRPr="004C5271">
        <w:rPr>
          <w:rFonts w:asciiTheme="majorBidi" w:hAnsiTheme="majorBidi" w:cstheme="majorBidi"/>
          <w:lang w:val="en-AU"/>
        </w:rPr>
        <w:lastRenderedPageBreak/>
        <w:t>with circumstances where a person enters into a transaction with the intention of defeating a claim.</w:t>
      </w:r>
      <w:r w:rsidR="00A70E56" w:rsidRPr="004C5271">
        <w:rPr>
          <w:rStyle w:val="FootnoteReference"/>
          <w:rFonts w:asciiTheme="majorBidi" w:hAnsiTheme="majorBidi" w:cstheme="majorBidi"/>
          <w:lang w:val="en-AU"/>
        </w:rPr>
        <w:footnoteReference w:id="124"/>
      </w:r>
      <w:r w:rsidRPr="004C5271">
        <w:rPr>
          <w:rFonts w:asciiTheme="majorBidi" w:hAnsiTheme="majorBidi" w:cstheme="majorBidi"/>
          <w:lang w:val="en-AU"/>
        </w:rPr>
        <w:t xml:space="preserve"> </w:t>
      </w:r>
      <w:r w:rsidR="00547C26" w:rsidRPr="004C5271">
        <w:rPr>
          <w:rFonts w:asciiTheme="majorBidi" w:hAnsiTheme="majorBidi" w:cstheme="majorBidi"/>
          <w:lang w:val="en-AU"/>
        </w:rPr>
        <w:t xml:space="preserve">The Act deals with: </w:t>
      </w:r>
    </w:p>
    <w:p w14:paraId="79524D66" w14:textId="64B41D53" w:rsidR="00F04E92" w:rsidRPr="004C5271" w:rsidRDefault="00B66567" w:rsidP="00547C26">
      <w:pPr>
        <w:pStyle w:val="DotPointTLRI"/>
        <w:rPr>
          <w:rFonts w:asciiTheme="majorBidi" w:hAnsiTheme="majorBidi" w:cstheme="majorBidi"/>
          <w:lang w:val="en-AU"/>
        </w:rPr>
      </w:pPr>
      <w:r w:rsidRPr="004C5271">
        <w:rPr>
          <w:rFonts w:asciiTheme="majorBidi" w:hAnsiTheme="majorBidi" w:cstheme="majorBidi"/>
          <w:lang w:val="en-AU"/>
        </w:rPr>
        <w:t>‘</w:t>
      </w:r>
      <w:r w:rsidR="002F671B" w:rsidRPr="004C5271">
        <w:rPr>
          <w:rFonts w:asciiTheme="majorBidi" w:hAnsiTheme="majorBidi" w:cstheme="majorBidi"/>
          <w:lang w:val="en-AU"/>
        </w:rPr>
        <w:t>unreasonably large</w:t>
      </w:r>
      <w:r w:rsidRPr="004C5271">
        <w:rPr>
          <w:rFonts w:asciiTheme="majorBidi" w:hAnsiTheme="majorBidi" w:cstheme="majorBidi"/>
          <w:lang w:val="en-AU"/>
        </w:rPr>
        <w:t>’</w:t>
      </w:r>
      <w:r w:rsidR="002F671B" w:rsidRPr="004C5271">
        <w:rPr>
          <w:rFonts w:asciiTheme="majorBidi" w:hAnsiTheme="majorBidi" w:cstheme="majorBidi"/>
          <w:lang w:val="en-AU"/>
        </w:rPr>
        <w:t xml:space="preserve"> dispositions of property occurring within one year of a person’s death where full valuable consideration </w:t>
      </w:r>
      <w:r w:rsidR="0012248F" w:rsidRPr="004C5271">
        <w:rPr>
          <w:rFonts w:asciiTheme="majorBidi" w:hAnsiTheme="majorBidi" w:cstheme="majorBidi"/>
          <w:lang w:val="en-AU"/>
        </w:rPr>
        <w:t xml:space="preserve">is not </w:t>
      </w:r>
      <w:r w:rsidR="002F671B" w:rsidRPr="004C5271">
        <w:rPr>
          <w:rFonts w:asciiTheme="majorBidi" w:hAnsiTheme="majorBidi" w:cstheme="majorBidi"/>
          <w:lang w:val="en-AU"/>
        </w:rPr>
        <w:t>given.</w:t>
      </w:r>
      <w:r w:rsidR="002F671B" w:rsidRPr="004C5271">
        <w:rPr>
          <w:rStyle w:val="FootnoteReference"/>
          <w:rFonts w:asciiTheme="majorBidi" w:hAnsiTheme="majorBidi" w:cstheme="majorBidi"/>
          <w:lang w:val="en-AU"/>
        </w:rPr>
        <w:footnoteReference w:id="125"/>
      </w:r>
      <w:r w:rsidR="002F671B" w:rsidRPr="004C5271">
        <w:rPr>
          <w:rFonts w:asciiTheme="majorBidi" w:hAnsiTheme="majorBidi" w:cstheme="majorBidi"/>
          <w:lang w:val="en-AU"/>
        </w:rPr>
        <w:t xml:space="preserve"> </w:t>
      </w:r>
      <w:r w:rsidR="00547C26" w:rsidRPr="004C5271">
        <w:rPr>
          <w:rFonts w:asciiTheme="majorBidi" w:hAnsiTheme="majorBidi" w:cstheme="majorBidi"/>
          <w:lang w:val="en-AU"/>
        </w:rPr>
        <w:t>In those circumstances, t</w:t>
      </w:r>
      <w:r w:rsidR="006C51A3" w:rsidRPr="004C5271">
        <w:rPr>
          <w:rFonts w:asciiTheme="majorBidi" w:hAnsiTheme="majorBidi" w:cstheme="majorBidi"/>
          <w:lang w:val="en-AU"/>
        </w:rPr>
        <w:t>he court must be satisfied that there are insufficient assets in the estate to make provision for a successful applicant</w:t>
      </w:r>
      <w:r w:rsidR="00547C26" w:rsidRPr="004C5271">
        <w:rPr>
          <w:rFonts w:asciiTheme="majorBidi" w:hAnsiTheme="majorBidi" w:cstheme="majorBidi"/>
          <w:lang w:val="en-AU"/>
        </w:rPr>
        <w:t>,</w:t>
      </w:r>
      <w:r w:rsidR="006C51A3" w:rsidRPr="004C5271">
        <w:rPr>
          <w:rStyle w:val="FootnoteReference"/>
          <w:rFonts w:asciiTheme="majorBidi" w:hAnsiTheme="majorBidi" w:cstheme="majorBidi"/>
          <w:lang w:val="en-AU"/>
        </w:rPr>
        <w:footnoteReference w:id="126"/>
      </w:r>
      <w:r w:rsidR="006C51A3" w:rsidRPr="004C5271">
        <w:rPr>
          <w:rFonts w:asciiTheme="majorBidi" w:hAnsiTheme="majorBidi" w:cstheme="majorBidi"/>
          <w:lang w:val="en-AU"/>
        </w:rPr>
        <w:t xml:space="preserve"> </w:t>
      </w:r>
      <w:r w:rsidR="00547C26" w:rsidRPr="004C5271">
        <w:rPr>
          <w:rFonts w:asciiTheme="majorBidi" w:hAnsiTheme="majorBidi" w:cstheme="majorBidi"/>
          <w:lang w:val="en-AU"/>
        </w:rPr>
        <w:t>with t</w:t>
      </w:r>
      <w:r w:rsidR="006C51A3" w:rsidRPr="004C5271">
        <w:rPr>
          <w:rFonts w:asciiTheme="majorBidi" w:hAnsiTheme="majorBidi" w:cstheme="majorBidi"/>
          <w:lang w:val="en-AU"/>
        </w:rPr>
        <w:t xml:space="preserve">he amount to be paid determined in accordance with </w:t>
      </w:r>
      <w:r w:rsidR="00403385" w:rsidRPr="004C5271">
        <w:rPr>
          <w:rFonts w:asciiTheme="majorBidi" w:hAnsiTheme="majorBidi" w:cstheme="majorBidi"/>
          <w:lang w:val="en-AU"/>
        </w:rPr>
        <w:t xml:space="preserve">prescribed </w:t>
      </w:r>
      <w:r w:rsidR="006C51A3" w:rsidRPr="004C5271">
        <w:rPr>
          <w:rFonts w:asciiTheme="majorBidi" w:hAnsiTheme="majorBidi" w:cstheme="majorBidi"/>
          <w:lang w:val="en-AU"/>
        </w:rPr>
        <w:t>rules</w:t>
      </w:r>
      <w:r w:rsidR="00547C26" w:rsidRPr="004C5271">
        <w:rPr>
          <w:rFonts w:asciiTheme="majorBidi" w:hAnsiTheme="majorBidi" w:cstheme="majorBidi"/>
          <w:lang w:val="en-AU"/>
        </w:rPr>
        <w:t>;</w:t>
      </w:r>
      <w:r w:rsidR="00403385" w:rsidRPr="004C5271">
        <w:rPr>
          <w:rStyle w:val="FootnoteReference"/>
          <w:rFonts w:asciiTheme="majorBidi" w:hAnsiTheme="majorBidi" w:cstheme="majorBidi"/>
          <w:color w:val="000000"/>
          <w:lang w:val="en-AU"/>
        </w:rPr>
        <w:footnoteReference w:id="127"/>
      </w:r>
    </w:p>
    <w:p w14:paraId="2B753E97" w14:textId="35EF6FA1" w:rsidR="00547C26" w:rsidRPr="004C5271" w:rsidRDefault="00547C26" w:rsidP="00547C26">
      <w:pPr>
        <w:pStyle w:val="DotPointTLRI"/>
        <w:rPr>
          <w:rFonts w:asciiTheme="majorBidi" w:hAnsiTheme="majorBidi" w:cstheme="majorBidi"/>
          <w:sz w:val="24"/>
          <w:lang w:val="en-AU"/>
        </w:rPr>
      </w:pPr>
      <w:r w:rsidRPr="004C5271">
        <w:rPr>
          <w:rFonts w:asciiTheme="majorBidi" w:hAnsiTheme="majorBidi" w:cstheme="majorBidi"/>
          <w:i/>
          <w:iCs/>
          <w:lang w:val="en-AU"/>
        </w:rPr>
        <w:t>donatio mortis causa</w:t>
      </w:r>
      <w:r w:rsidR="006C7BA2" w:rsidRPr="004C5271">
        <w:rPr>
          <w:rFonts w:asciiTheme="majorBidi" w:hAnsiTheme="majorBidi" w:cstheme="majorBidi"/>
          <w:lang w:val="en-AU"/>
        </w:rPr>
        <w:t xml:space="preserve"> (or death-bed gifts)</w:t>
      </w:r>
      <w:r w:rsidRPr="004C5271">
        <w:rPr>
          <w:rFonts w:asciiTheme="majorBidi" w:hAnsiTheme="majorBidi" w:cstheme="majorBidi"/>
          <w:lang w:val="en-AU"/>
        </w:rPr>
        <w:t>;</w:t>
      </w:r>
    </w:p>
    <w:p w14:paraId="4BEEE725" w14:textId="13680CB8" w:rsidR="00547C26" w:rsidRPr="004C5271" w:rsidRDefault="00547C26" w:rsidP="00547C26">
      <w:pPr>
        <w:pStyle w:val="DotPointTLRI"/>
        <w:rPr>
          <w:rFonts w:asciiTheme="majorBidi" w:hAnsiTheme="majorBidi" w:cstheme="majorBidi"/>
          <w:lang w:val="en-AU"/>
        </w:rPr>
      </w:pPr>
      <w:r w:rsidRPr="004C5271">
        <w:rPr>
          <w:rFonts w:asciiTheme="majorBidi" w:hAnsiTheme="majorBidi" w:cstheme="majorBidi"/>
          <w:lang w:val="en-AU"/>
        </w:rPr>
        <w:t>money deposited in an account in the name of the deceased in trust for another, remaining on deposit at the date of the death;</w:t>
      </w:r>
    </w:p>
    <w:p w14:paraId="27264A70" w14:textId="40E76CA7" w:rsidR="00547C26" w:rsidRPr="004C5271" w:rsidRDefault="00547C26" w:rsidP="00547C26">
      <w:pPr>
        <w:pStyle w:val="DotPointTLRI"/>
        <w:rPr>
          <w:rFonts w:asciiTheme="majorBidi" w:hAnsiTheme="majorBidi" w:cstheme="majorBidi"/>
          <w:lang w:val="en-AU"/>
        </w:rPr>
      </w:pPr>
      <w:r w:rsidRPr="004C5271">
        <w:rPr>
          <w:rFonts w:asciiTheme="majorBidi" w:hAnsiTheme="majorBidi" w:cstheme="majorBidi"/>
          <w:lang w:val="en-AU"/>
        </w:rPr>
        <w:t>money deposited in an account in the name of the deceased and another person or persons and payable on death under the terms of the deposit or by operation of law to the survivor or survivors, remaining on deposit at the date of the death of the deceased;</w:t>
      </w:r>
    </w:p>
    <w:p w14:paraId="030275EB" w14:textId="3F77698C" w:rsidR="00547C26" w:rsidRPr="004C5271" w:rsidRDefault="00547C26" w:rsidP="00547C26">
      <w:pPr>
        <w:pStyle w:val="DotPointTLRI"/>
        <w:rPr>
          <w:rFonts w:asciiTheme="majorBidi" w:hAnsiTheme="majorBidi" w:cstheme="majorBidi"/>
          <w:lang w:val="en-AU"/>
        </w:rPr>
      </w:pPr>
      <w:r w:rsidRPr="004C5271">
        <w:rPr>
          <w:rFonts w:asciiTheme="majorBidi" w:hAnsiTheme="majorBidi" w:cstheme="majorBidi"/>
          <w:lang w:val="en-AU"/>
        </w:rPr>
        <w:t>any disposition of property made by a deceased whereby property is held by the deceased and another as joint tenants;</w:t>
      </w:r>
    </w:p>
    <w:p w14:paraId="107279F0" w14:textId="4F4FE3C9" w:rsidR="00547C26" w:rsidRPr="004C5271" w:rsidRDefault="00547C26" w:rsidP="00547C26">
      <w:pPr>
        <w:pStyle w:val="DotPointTLRI"/>
        <w:rPr>
          <w:rFonts w:asciiTheme="majorBidi" w:hAnsiTheme="majorBidi" w:cstheme="majorBidi"/>
          <w:lang w:val="en-AU"/>
        </w:rPr>
      </w:pPr>
      <w:r w:rsidRPr="004C5271">
        <w:rPr>
          <w:rFonts w:asciiTheme="majorBidi" w:hAnsiTheme="majorBidi" w:cstheme="majorBidi"/>
          <w:lang w:val="en-AU"/>
        </w:rPr>
        <w:t>any disposition of property made by the deceased in trust or otherwise, to the extent that the deceased at the date of his or her death retained, either alone or with another person or persons, a power to revoke such disposition, or a power to consume, invoke or dispose of the principal;</w:t>
      </w:r>
      <w:r w:rsidR="00A70E56" w:rsidRPr="004C5271">
        <w:rPr>
          <w:rFonts w:asciiTheme="majorBidi" w:hAnsiTheme="majorBidi" w:cstheme="majorBidi"/>
          <w:lang w:val="en-AU"/>
        </w:rPr>
        <w:t xml:space="preserve"> and</w:t>
      </w:r>
    </w:p>
    <w:p w14:paraId="21F50BA8" w14:textId="16353DD5" w:rsidR="00547C26" w:rsidRPr="004C5271" w:rsidRDefault="00547C26" w:rsidP="00076B44">
      <w:pPr>
        <w:pStyle w:val="DotPointTLRI"/>
        <w:rPr>
          <w:rFonts w:asciiTheme="majorBidi" w:hAnsiTheme="majorBidi" w:cstheme="majorBidi"/>
          <w:lang w:val="en-AU"/>
        </w:rPr>
      </w:pPr>
      <w:r w:rsidRPr="004C5271">
        <w:rPr>
          <w:rFonts w:asciiTheme="majorBidi" w:hAnsiTheme="majorBidi" w:cstheme="majorBidi"/>
          <w:lang w:val="en-AU"/>
        </w:rPr>
        <w:t>any amount payable under a policy of insurance effected on the life of the deceased and owned by him or her</w:t>
      </w:r>
      <w:r w:rsidR="00A70E56" w:rsidRPr="004C5271">
        <w:rPr>
          <w:rFonts w:asciiTheme="majorBidi" w:hAnsiTheme="majorBidi" w:cstheme="majorBidi"/>
          <w:lang w:val="en-AU"/>
        </w:rPr>
        <w:t>.</w:t>
      </w:r>
    </w:p>
    <w:p w14:paraId="5E4F620B" w14:textId="6C95BA09" w:rsidR="00A70E56" w:rsidRPr="004C5271" w:rsidRDefault="00A70E56" w:rsidP="00403385">
      <w:pPr>
        <w:pStyle w:val="NormalNumberedTextTLRI"/>
        <w:rPr>
          <w:rFonts w:asciiTheme="majorBidi" w:hAnsiTheme="majorBidi" w:cstheme="majorBidi"/>
          <w:lang w:val="en-AU"/>
        </w:rPr>
      </w:pPr>
      <w:r w:rsidRPr="004C5271">
        <w:rPr>
          <w:rFonts w:asciiTheme="majorBidi" w:hAnsiTheme="majorBidi" w:cstheme="majorBidi"/>
          <w:lang w:val="en-AU"/>
        </w:rPr>
        <w:t>There are no time limits imposed upon these transactions, other than the first scenario listed.</w:t>
      </w:r>
    </w:p>
    <w:p w14:paraId="1306E915" w14:textId="6028434A" w:rsidR="004B4F98" w:rsidRPr="004C5271" w:rsidRDefault="00403385" w:rsidP="004B4F98">
      <w:pPr>
        <w:pStyle w:val="NormalNumberedTextTLRI"/>
        <w:rPr>
          <w:rFonts w:asciiTheme="majorBidi" w:hAnsiTheme="majorBidi" w:cstheme="majorBidi"/>
          <w:lang w:val="en-AU"/>
        </w:rPr>
      </w:pPr>
      <w:r w:rsidRPr="004C5271">
        <w:rPr>
          <w:rFonts w:asciiTheme="majorBidi" w:hAnsiTheme="majorBidi" w:cstheme="majorBidi"/>
          <w:lang w:val="en-AU"/>
        </w:rPr>
        <w:t xml:space="preserve">Despite </w:t>
      </w:r>
      <w:r w:rsidR="00446E0C" w:rsidRPr="004C5271">
        <w:rPr>
          <w:rFonts w:asciiTheme="majorBidi" w:hAnsiTheme="majorBidi" w:cstheme="majorBidi"/>
          <w:lang w:val="en-AU"/>
        </w:rPr>
        <w:t xml:space="preserve">the recommendation of the ULCC, only two provinces, Ontario and Yukon, have enacted legislation </w:t>
      </w:r>
      <w:r w:rsidR="00A70E56" w:rsidRPr="004C5271">
        <w:rPr>
          <w:rFonts w:asciiTheme="majorBidi" w:hAnsiTheme="majorBidi" w:cstheme="majorBidi"/>
          <w:lang w:val="en-AU"/>
        </w:rPr>
        <w:t xml:space="preserve">broadly </w:t>
      </w:r>
      <w:r w:rsidR="00446E0C" w:rsidRPr="004C5271">
        <w:rPr>
          <w:rFonts w:asciiTheme="majorBidi" w:hAnsiTheme="majorBidi" w:cstheme="majorBidi"/>
          <w:lang w:val="en-AU"/>
        </w:rPr>
        <w:t xml:space="preserve">consistent with the </w:t>
      </w:r>
      <w:r w:rsidR="00446E0C" w:rsidRPr="004C5271">
        <w:rPr>
          <w:rFonts w:asciiTheme="majorBidi" w:hAnsiTheme="majorBidi" w:cstheme="majorBidi"/>
          <w:lang w:val="en-AU"/>
        </w:rPr>
        <w:lastRenderedPageBreak/>
        <w:t>Uniform Act</w:t>
      </w:r>
      <w:r w:rsidR="00A70E56" w:rsidRPr="004C5271">
        <w:rPr>
          <w:rFonts w:asciiTheme="majorBidi" w:hAnsiTheme="majorBidi" w:cstheme="majorBidi"/>
          <w:lang w:val="en-AU"/>
        </w:rPr>
        <w:t xml:space="preserve"> in this regard</w:t>
      </w:r>
      <w:r w:rsidR="00446E0C" w:rsidRPr="004C5271">
        <w:rPr>
          <w:rFonts w:asciiTheme="majorBidi" w:hAnsiTheme="majorBidi" w:cstheme="majorBidi"/>
          <w:lang w:val="en-AU"/>
        </w:rPr>
        <w:t>.</w:t>
      </w:r>
      <w:r w:rsidR="00E23682" w:rsidRPr="004C5271">
        <w:rPr>
          <w:rStyle w:val="FootnoteReference"/>
          <w:rFonts w:asciiTheme="majorBidi" w:hAnsiTheme="majorBidi" w:cstheme="majorBidi"/>
          <w:lang w:val="en-AU"/>
        </w:rPr>
        <w:footnoteReference w:id="128"/>
      </w:r>
      <w:r w:rsidR="00446E0C" w:rsidRPr="004C5271">
        <w:rPr>
          <w:rFonts w:asciiTheme="majorBidi" w:hAnsiTheme="majorBidi" w:cstheme="majorBidi"/>
          <w:lang w:val="en-AU"/>
        </w:rPr>
        <w:t xml:space="preserve"> </w:t>
      </w:r>
      <w:r w:rsidR="00F62E1E" w:rsidRPr="004C5271">
        <w:rPr>
          <w:rFonts w:asciiTheme="majorBidi" w:hAnsiTheme="majorBidi" w:cstheme="majorBidi"/>
          <w:lang w:val="en-AU"/>
        </w:rPr>
        <w:t>O</w:t>
      </w:r>
      <w:r w:rsidR="00631DC8" w:rsidRPr="004C5271">
        <w:rPr>
          <w:rFonts w:asciiTheme="majorBidi" w:hAnsiTheme="majorBidi" w:cstheme="majorBidi"/>
          <w:lang w:val="en-AU"/>
        </w:rPr>
        <w:t>nly</w:t>
      </w:r>
      <w:r w:rsidR="00F62E1E" w:rsidRPr="004C5271">
        <w:rPr>
          <w:rFonts w:asciiTheme="majorBidi" w:hAnsiTheme="majorBidi" w:cstheme="majorBidi"/>
          <w:lang w:val="en-AU"/>
        </w:rPr>
        <w:t xml:space="preserve"> in</w:t>
      </w:r>
      <w:r w:rsidR="00631DC8" w:rsidRPr="004C5271">
        <w:rPr>
          <w:rFonts w:asciiTheme="majorBidi" w:hAnsiTheme="majorBidi" w:cstheme="majorBidi"/>
          <w:lang w:val="en-AU"/>
        </w:rPr>
        <w:t xml:space="preserve"> Yukon may the court ‘clawback’ </w:t>
      </w:r>
      <w:r w:rsidR="006C7BA2" w:rsidRPr="004C5271">
        <w:rPr>
          <w:rFonts w:asciiTheme="majorBidi" w:hAnsiTheme="majorBidi" w:cstheme="majorBidi"/>
          <w:lang w:val="en-AU"/>
        </w:rPr>
        <w:t>unreasonably large gifts occurring</w:t>
      </w:r>
      <w:r w:rsidR="00A70E56" w:rsidRPr="004C5271">
        <w:rPr>
          <w:rFonts w:asciiTheme="majorBidi" w:hAnsiTheme="majorBidi" w:cstheme="majorBidi"/>
          <w:lang w:val="en-AU"/>
        </w:rPr>
        <w:t xml:space="preserve"> in the year </w:t>
      </w:r>
      <w:r w:rsidR="00547C26" w:rsidRPr="004C5271">
        <w:rPr>
          <w:rFonts w:asciiTheme="majorBidi" w:hAnsiTheme="majorBidi" w:cstheme="majorBidi"/>
          <w:lang w:val="en-AU"/>
        </w:rPr>
        <w:t>before</w:t>
      </w:r>
      <w:r w:rsidR="00A70E56" w:rsidRPr="004C5271">
        <w:rPr>
          <w:rFonts w:asciiTheme="majorBidi" w:hAnsiTheme="majorBidi" w:cstheme="majorBidi"/>
          <w:lang w:val="en-AU"/>
        </w:rPr>
        <w:t xml:space="preserve"> the</w:t>
      </w:r>
      <w:r w:rsidR="00F62E1E" w:rsidRPr="004C5271">
        <w:rPr>
          <w:rFonts w:asciiTheme="majorBidi" w:hAnsiTheme="majorBidi" w:cstheme="majorBidi"/>
          <w:lang w:val="en-AU"/>
        </w:rPr>
        <w:t xml:space="preserve"> will-maker’s</w:t>
      </w:r>
      <w:r w:rsidR="00547C26" w:rsidRPr="004C5271">
        <w:rPr>
          <w:rFonts w:asciiTheme="majorBidi" w:hAnsiTheme="majorBidi" w:cstheme="majorBidi"/>
          <w:lang w:val="en-AU"/>
        </w:rPr>
        <w:t xml:space="preserve"> death with the intention of defeating a claim</w:t>
      </w:r>
      <w:r w:rsidR="00A70E56" w:rsidRPr="004C5271">
        <w:rPr>
          <w:rFonts w:asciiTheme="majorBidi" w:hAnsiTheme="majorBidi" w:cstheme="majorBidi"/>
          <w:lang w:val="en-AU"/>
        </w:rPr>
        <w:t xml:space="preserve">. Both Yukon and Ontario enable </w:t>
      </w:r>
      <w:r w:rsidR="00556941" w:rsidRPr="004C5271">
        <w:rPr>
          <w:rFonts w:asciiTheme="majorBidi" w:hAnsiTheme="majorBidi" w:cstheme="majorBidi"/>
          <w:lang w:val="en-AU"/>
        </w:rPr>
        <w:t xml:space="preserve">the other </w:t>
      </w:r>
      <w:r w:rsidR="005351D4" w:rsidRPr="004C5271">
        <w:rPr>
          <w:rFonts w:asciiTheme="majorBidi" w:hAnsiTheme="majorBidi" w:cstheme="majorBidi"/>
          <w:lang w:val="en-AU"/>
        </w:rPr>
        <w:t>dispositions outlined in the Uniform Act</w:t>
      </w:r>
      <w:r w:rsidR="00556941" w:rsidRPr="004C5271">
        <w:rPr>
          <w:rFonts w:asciiTheme="majorBidi" w:hAnsiTheme="majorBidi" w:cstheme="majorBidi"/>
          <w:lang w:val="en-AU"/>
        </w:rPr>
        <w:t xml:space="preserve"> (listed above)</w:t>
      </w:r>
      <w:r w:rsidR="005351D4" w:rsidRPr="004C5271">
        <w:rPr>
          <w:rFonts w:asciiTheme="majorBidi" w:hAnsiTheme="majorBidi" w:cstheme="majorBidi"/>
          <w:lang w:val="en-AU"/>
        </w:rPr>
        <w:t xml:space="preserve"> to be treated as estate assets and used to fund provision for successful family provision claimants. </w:t>
      </w:r>
      <w:r w:rsidR="00556941" w:rsidRPr="004C5271">
        <w:rPr>
          <w:rFonts w:asciiTheme="majorBidi" w:hAnsiTheme="majorBidi" w:cstheme="majorBidi"/>
          <w:lang w:val="en-AU"/>
        </w:rPr>
        <w:t>Details of the varying models operating in Canada are provided in Appendix 2.</w:t>
      </w:r>
    </w:p>
    <w:p w14:paraId="15881007" w14:textId="6AE243B0" w:rsidR="004B4F98" w:rsidRPr="004C5271" w:rsidRDefault="00556941" w:rsidP="004B4F98">
      <w:pPr>
        <w:pStyle w:val="NormalNumberedTextTLRI"/>
        <w:rPr>
          <w:rFonts w:asciiTheme="majorBidi" w:hAnsiTheme="majorBidi" w:cstheme="majorBidi"/>
          <w:lang w:val="en-AU"/>
        </w:rPr>
      </w:pPr>
      <w:r w:rsidRPr="004C5271">
        <w:rPr>
          <w:rFonts w:asciiTheme="majorBidi" w:hAnsiTheme="majorBidi" w:cstheme="majorBidi"/>
          <w:lang w:val="en-AU"/>
        </w:rPr>
        <w:t xml:space="preserve">Whilst only a minority of provinces have enacted </w:t>
      </w:r>
      <w:r w:rsidR="006C7BA2" w:rsidRPr="004C5271">
        <w:rPr>
          <w:rFonts w:asciiTheme="majorBidi" w:hAnsiTheme="majorBidi" w:cstheme="majorBidi"/>
          <w:lang w:val="en-AU"/>
        </w:rPr>
        <w:t>clawback</w:t>
      </w:r>
      <w:r w:rsidRPr="004C5271">
        <w:rPr>
          <w:rFonts w:asciiTheme="majorBidi" w:hAnsiTheme="majorBidi" w:cstheme="majorBidi"/>
          <w:lang w:val="en-AU"/>
        </w:rPr>
        <w:t xml:space="preserve"> provisions consistent with the </w:t>
      </w:r>
      <w:r w:rsidR="004B4F98" w:rsidRPr="004C5271">
        <w:rPr>
          <w:rFonts w:asciiTheme="majorBidi" w:hAnsiTheme="majorBidi" w:cstheme="majorBidi"/>
          <w:lang w:val="en-AU"/>
        </w:rPr>
        <w:t>Uniform Act</w:t>
      </w:r>
      <w:r w:rsidRPr="004C5271">
        <w:rPr>
          <w:rFonts w:asciiTheme="majorBidi" w:hAnsiTheme="majorBidi" w:cstheme="majorBidi"/>
          <w:lang w:val="en-AU"/>
        </w:rPr>
        <w:t>, most have legislation</w:t>
      </w:r>
      <w:r w:rsidR="004B4F98" w:rsidRPr="004C5271">
        <w:rPr>
          <w:rFonts w:asciiTheme="majorBidi" w:hAnsiTheme="majorBidi" w:cstheme="majorBidi"/>
          <w:lang w:val="en-AU"/>
        </w:rPr>
        <w:t xml:space="preserve"> providing that property disposed of pursuant to a contract to dispose of property by will (for example, a mutual wills contract) may be included within a family provision claim, to the extent that the recipient did not give full consideration.</w:t>
      </w:r>
      <w:bookmarkStart w:id="75" w:name="_Ref13078127"/>
      <w:r w:rsidR="004B4F98" w:rsidRPr="004C5271">
        <w:rPr>
          <w:rStyle w:val="FootnoteReference"/>
          <w:rFonts w:asciiTheme="majorBidi" w:hAnsiTheme="majorBidi" w:cstheme="majorBidi"/>
          <w:lang w:val="en-AU"/>
        </w:rPr>
        <w:footnoteReference w:id="129"/>
      </w:r>
      <w:bookmarkEnd w:id="75"/>
      <w:r w:rsidR="004B4F98" w:rsidRPr="004C5271">
        <w:rPr>
          <w:rFonts w:asciiTheme="majorBidi" w:hAnsiTheme="majorBidi" w:cstheme="majorBidi"/>
          <w:lang w:val="en-AU"/>
        </w:rPr>
        <w:t xml:space="preserve"> </w:t>
      </w:r>
      <w:r w:rsidRPr="004C5271">
        <w:rPr>
          <w:rFonts w:asciiTheme="majorBidi" w:hAnsiTheme="majorBidi" w:cstheme="majorBidi"/>
          <w:lang w:val="en-AU"/>
        </w:rPr>
        <w:t xml:space="preserve">These provisions are consistent with the approach in Australia as a consequence of the decision of </w:t>
      </w:r>
      <w:r w:rsidRPr="004C5271">
        <w:rPr>
          <w:rFonts w:asciiTheme="majorBidi" w:hAnsiTheme="majorBidi" w:cstheme="majorBidi"/>
          <w:i/>
          <w:iCs/>
          <w:lang w:val="en-AU"/>
        </w:rPr>
        <w:t>Barns v Barns</w:t>
      </w:r>
      <w:r w:rsidRPr="004C5271">
        <w:rPr>
          <w:rStyle w:val="FootnoteReference"/>
          <w:rFonts w:asciiTheme="majorBidi" w:hAnsiTheme="majorBidi" w:cstheme="majorBidi"/>
          <w:lang w:val="en-AU"/>
        </w:rPr>
        <w:footnoteReference w:id="130"/>
      </w:r>
      <w:r w:rsidRPr="004C5271">
        <w:rPr>
          <w:rFonts w:asciiTheme="majorBidi" w:hAnsiTheme="majorBidi" w:cstheme="majorBidi"/>
          <w:lang w:val="en-AU"/>
        </w:rPr>
        <w:t xml:space="preserve"> where the High Court held that property disposed of pursuant to a mutual wills contract can be affected by a family provision claim. </w:t>
      </w:r>
    </w:p>
    <w:p w14:paraId="611C93EA" w14:textId="4A7D8913" w:rsidR="00C43D5F" w:rsidRPr="004C5271" w:rsidRDefault="00FB79D4" w:rsidP="004B4F98">
      <w:pPr>
        <w:pStyle w:val="NormalNumberedTextTLRI"/>
        <w:rPr>
          <w:rFonts w:asciiTheme="majorBidi" w:hAnsiTheme="majorBidi" w:cstheme="majorBidi"/>
          <w:lang w:val="en-AU"/>
        </w:rPr>
      </w:pPr>
      <w:bookmarkStart w:id="76" w:name="_Ref13080479"/>
      <w:r w:rsidRPr="004C5271">
        <w:rPr>
          <w:rFonts w:asciiTheme="majorBidi" w:hAnsiTheme="majorBidi" w:cstheme="majorBidi"/>
          <w:lang w:val="en-AU"/>
        </w:rPr>
        <w:t xml:space="preserve">Although not all </w:t>
      </w:r>
      <w:r w:rsidR="006C7BA2" w:rsidRPr="004C5271">
        <w:rPr>
          <w:rFonts w:asciiTheme="majorBidi" w:hAnsiTheme="majorBidi" w:cstheme="majorBidi"/>
          <w:lang w:val="en-AU"/>
        </w:rPr>
        <w:t xml:space="preserve">Canadian </w:t>
      </w:r>
      <w:r w:rsidRPr="004C5271">
        <w:rPr>
          <w:rFonts w:asciiTheme="majorBidi" w:hAnsiTheme="majorBidi" w:cstheme="majorBidi"/>
          <w:lang w:val="en-AU"/>
        </w:rPr>
        <w:t xml:space="preserve">provinces have </w:t>
      </w:r>
      <w:r w:rsidR="005D644B" w:rsidRPr="004C5271">
        <w:rPr>
          <w:rFonts w:asciiTheme="majorBidi" w:hAnsiTheme="majorBidi" w:cstheme="majorBidi"/>
          <w:lang w:val="en-AU"/>
        </w:rPr>
        <w:t>incorporated</w:t>
      </w:r>
      <w:r w:rsidRPr="004C5271">
        <w:rPr>
          <w:rFonts w:asciiTheme="majorBidi" w:hAnsiTheme="majorBidi" w:cstheme="majorBidi"/>
          <w:lang w:val="en-AU"/>
        </w:rPr>
        <w:t xml:space="preserve"> anti-avoidance provisions within family provision legislation, some address the division of assets between spouses after death within family law legislation.</w:t>
      </w:r>
      <w:bookmarkStart w:id="77" w:name="_Ref13068334"/>
      <w:r w:rsidRPr="004C5271">
        <w:rPr>
          <w:rStyle w:val="FootnoteReference"/>
          <w:rFonts w:asciiTheme="majorBidi" w:hAnsiTheme="majorBidi" w:cstheme="majorBidi"/>
          <w:lang w:val="en-AU"/>
        </w:rPr>
        <w:footnoteReference w:id="131"/>
      </w:r>
      <w:bookmarkEnd w:id="77"/>
      <w:r w:rsidRPr="004C5271">
        <w:rPr>
          <w:rFonts w:asciiTheme="majorBidi" w:hAnsiTheme="majorBidi" w:cstheme="majorBidi"/>
          <w:lang w:val="en-AU"/>
        </w:rPr>
        <w:t xml:space="preserve"> Even within these jurisdictions there </w:t>
      </w:r>
      <w:r w:rsidR="006C7BA2" w:rsidRPr="004C5271">
        <w:rPr>
          <w:rFonts w:asciiTheme="majorBidi" w:hAnsiTheme="majorBidi" w:cstheme="majorBidi"/>
          <w:lang w:val="en-AU"/>
        </w:rPr>
        <w:t>is broad</w:t>
      </w:r>
      <w:r w:rsidRPr="004C5271">
        <w:rPr>
          <w:rFonts w:asciiTheme="majorBidi" w:hAnsiTheme="majorBidi" w:cstheme="majorBidi"/>
          <w:lang w:val="en-AU"/>
        </w:rPr>
        <w:t xml:space="preserve"> </w:t>
      </w:r>
      <w:r w:rsidR="00556941" w:rsidRPr="004C5271">
        <w:rPr>
          <w:rFonts w:asciiTheme="majorBidi" w:hAnsiTheme="majorBidi" w:cstheme="majorBidi"/>
          <w:lang w:val="en-AU"/>
        </w:rPr>
        <w:t>variation</w:t>
      </w:r>
      <w:r w:rsidRPr="004C5271">
        <w:rPr>
          <w:rFonts w:asciiTheme="majorBidi" w:hAnsiTheme="majorBidi" w:cstheme="majorBidi"/>
          <w:lang w:val="en-AU"/>
        </w:rPr>
        <w:t xml:space="preserve"> between the treatment of non-estate assets. For example, in Saskatchewan, substantial gifts of property without the consent of a spouse, or assets transferred for less than full consideration with the intention of defeating a claim where the recipient </w:t>
      </w:r>
      <w:r w:rsidRPr="004C5271">
        <w:rPr>
          <w:rFonts w:asciiTheme="majorBidi" w:hAnsiTheme="majorBidi" w:cstheme="majorBidi"/>
          <w:lang w:val="en-AU"/>
        </w:rPr>
        <w:lastRenderedPageBreak/>
        <w:t>knew or ought to have known of that intention may be clawed back.</w:t>
      </w:r>
      <w:r w:rsidRPr="004C5271">
        <w:rPr>
          <w:rStyle w:val="FootnoteReference"/>
          <w:rFonts w:asciiTheme="majorBidi" w:hAnsiTheme="majorBidi" w:cstheme="majorBidi"/>
          <w:lang w:val="en-AU"/>
        </w:rPr>
        <w:footnoteReference w:id="132"/>
      </w:r>
      <w:r w:rsidRPr="004C5271">
        <w:rPr>
          <w:rFonts w:asciiTheme="majorBidi" w:hAnsiTheme="majorBidi" w:cstheme="majorBidi"/>
          <w:lang w:val="en-AU"/>
        </w:rPr>
        <w:t xml:space="preserve"> Other non-estate assets, however, </w:t>
      </w:r>
      <w:r w:rsidR="006C7BA2" w:rsidRPr="004C5271">
        <w:rPr>
          <w:rFonts w:asciiTheme="majorBidi" w:hAnsiTheme="majorBidi" w:cstheme="majorBidi"/>
          <w:lang w:val="en-AU"/>
        </w:rPr>
        <w:t xml:space="preserve">like joint tenancy properties or bank accounts, </w:t>
      </w:r>
      <w:r w:rsidRPr="004C5271">
        <w:rPr>
          <w:rFonts w:asciiTheme="majorBidi" w:hAnsiTheme="majorBidi" w:cstheme="majorBidi"/>
          <w:lang w:val="en-AU"/>
        </w:rPr>
        <w:t>are not covered.</w:t>
      </w:r>
      <w:r w:rsidR="009D4BB5" w:rsidRPr="004C5271">
        <w:rPr>
          <w:rStyle w:val="FootnoteReference"/>
          <w:rFonts w:asciiTheme="majorBidi" w:hAnsiTheme="majorBidi" w:cstheme="majorBidi"/>
          <w:lang w:val="en-AU"/>
        </w:rPr>
        <w:footnoteReference w:id="133"/>
      </w:r>
      <w:r w:rsidRPr="004C5271">
        <w:rPr>
          <w:rFonts w:asciiTheme="majorBidi" w:hAnsiTheme="majorBidi" w:cstheme="majorBidi"/>
          <w:lang w:val="en-AU"/>
        </w:rPr>
        <w:t xml:space="preserve"> </w:t>
      </w:r>
      <w:r w:rsidR="00703A36" w:rsidRPr="004C5271">
        <w:rPr>
          <w:rFonts w:asciiTheme="majorBidi" w:hAnsiTheme="majorBidi" w:cstheme="majorBidi"/>
          <w:lang w:val="en-AU"/>
        </w:rPr>
        <w:t xml:space="preserve">On the other hand, Manitoba’s family law legislation includes provisions similar to the Uniform Act that provide that non-estate assets, including </w:t>
      </w:r>
      <w:r w:rsidR="00703A36" w:rsidRPr="004C5271">
        <w:rPr>
          <w:rFonts w:asciiTheme="majorBidi" w:hAnsiTheme="majorBidi" w:cstheme="majorBidi"/>
          <w:i/>
          <w:iCs/>
          <w:lang w:val="en-AU"/>
        </w:rPr>
        <w:t>donatio mortis causa</w:t>
      </w:r>
      <w:r w:rsidR="00703A36" w:rsidRPr="004C5271">
        <w:rPr>
          <w:rFonts w:asciiTheme="majorBidi" w:hAnsiTheme="majorBidi" w:cstheme="majorBidi"/>
          <w:lang w:val="en-AU"/>
        </w:rPr>
        <w:t>, joint tenancy property, and the proceeds of life insurance policies, may in certain circumstances</w:t>
      </w:r>
      <w:r w:rsidR="00703A36" w:rsidRPr="004C5271">
        <w:rPr>
          <w:rStyle w:val="FootnoteReference"/>
          <w:rFonts w:asciiTheme="majorBidi" w:hAnsiTheme="majorBidi" w:cstheme="majorBidi"/>
          <w:lang w:val="en-AU"/>
        </w:rPr>
        <w:footnoteReference w:id="134"/>
      </w:r>
      <w:r w:rsidR="00703A36" w:rsidRPr="004C5271">
        <w:rPr>
          <w:rFonts w:asciiTheme="majorBidi" w:hAnsiTheme="majorBidi" w:cstheme="majorBidi"/>
          <w:lang w:val="en-AU"/>
        </w:rPr>
        <w:t xml:space="preserve"> be treated as part of an estate where the deceased spouse did not receive adequate consideration.</w:t>
      </w:r>
      <w:r w:rsidR="00703A36" w:rsidRPr="004C5271">
        <w:rPr>
          <w:rStyle w:val="FootnoteReference"/>
          <w:rFonts w:asciiTheme="majorBidi" w:hAnsiTheme="majorBidi" w:cstheme="majorBidi"/>
          <w:lang w:val="en-AU"/>
        </w:rPr>
        <w:footnoteReference w:id="135"/>
      </w:r>
      <w:r w:rsidR="00703A36" w:rsidRPr="004C5271">
        <w:rPr>
          <w:rFonts w:asciiTheme="majorBidi" w:hAnsiTheme="majorBidi" w:cstheme="majorBidi"/>
          <w:lang w:val="en-AU"/>
        </w:rPr>
        <w:t xml:space="preserve"> </w:t>
      </w:r>
      <w:r w:rsidR="004E2C5E" w:rsidRPr="004C5271">
        <w:rPr>
          <w:rFonts w:asciiTheme="majorBidi" w:hAnsiTheme="majorBidi" w:cstheme="majorBidi"/>
          <w:lang w:val="en-AU"/>
        </w:rPr>
        <w:t xml:space="preserve">Ontario deals with these issues </w:t>
      </w:r>
      <w:r w:rsidR="006C7BA2" w:rsidRPr="004C5271">
        <w:rPr>
          <w:rFonts w:asciiTheme="majorBidi" w:hAnsiTheme="majorBidi" w:cstheme="majorBidi"/>
          <w:lang w:val="en-AU"/>
        </w:rPr>
        <w:t>differently again</w:t>
      </w:r>
      <w:r w:rsidR="004E2C5E" w:rsidRPr="004C5271">
        <w:rPr>
          <w:rFonts w:asciiTheme="majorBidi" w:hAnsiTheme="majorBidi" w:cstheme="majorBidi"/>
          <w:lang w:val="en-AU"/>
        </w:rPr>
        <w:t xml:space="preserve">, </w:t>
      </w:r>
      <w:r w:rsidR="0092287A" w:rsidRPr="004C5271">
        <w:rPr>
          <w:rFonts w:asciiTheme="majorBidi" w:hAnsiTheme="majorBidi" w:cstheme="majorBidi"/>
          <w:lang w:val="en-AU"/>
        </w:rPr>
        <w:t>the effect of which is to include certain non-estate assets as part of the pool of family assets but with limited clawback</w:t>
      </w:r>
      <w:r w:rsidR="006C7BA2" w:rsidRPr="004C5271">
        <w:rPr>
          <w:rFonts w:asciiTheme="majorBidi" w:hAnsiTheme="majorBidi" w:cstheme="majorBidi"/>
          <w:lang w:val="en-AU"/>
        </w:rPr>
        <w:t xml:space="preserve"> ability</w:t>
      </w:r>
      <w:r w:rsidR="0092287A" w:rsidRPr="004C5271">
        <w:rPr>
          <w:rFonts w:asciiTheme="majorBidi" w:hAnsiTheme="majorBidi" w:cstheme="majorBidi"/>
          <w:lang w:val="en-AU"/>
        </w:rPr>
        <w:t>.</w:t>
      </w:r>
      <w:r w:rsidR="0092287A" w:rsidRPr="004C5271">
        <w:rPr>
          <w:rStyle w:val="FootnoteReference"/>
          <w:rFonts w:asciiTheme="majorBidi" w:hAnsiTheme="majorBidi" w:cstheme="majorBidi"/>
          <w:lang w:val="en-AU"/>
        </w:rPr>
        <w:footnoteReference w:id="136"/>
      </w:r>
      <w:bookmarkEnd w:id="76"/>
      <w:r w:rsidR="005F4A15" w:rsidRPr="004C5271">
        <w:rPr>
          <w:rFonts w:asciiTheme="majorBidi" w:hAnsiTheme="majorBidi" w:cstheme="majorBidi"/>
          <w:lang w:val="en-AU"/>
        </w:rPr>
        <w:t xml:space="preserve"> </w:t>
      </w:r>
    </w:p>
    <w:p w14:paraId="7458BCEA" w14:textId="439D034F" w:rsidR="00FB79D4" w:rsidRPr="004C5271" w:rsidRDefault="00C43D5F" w:rsidP="004B4F98">
      <w:pPr>
        <w:pStyle w:val="NormalNumberedTextTLRI"/>
        <w:rPr>
          <w:rFonts w:asciiTheme="majorBidi" w:hAnsiTheme="majorBidi" w:cstheme="majorBidi"/>
          <w:lang w:val="en-AU"/>
        </w:rPr>
      </w:pPr>
      <w:r w:rsidRPr="004C5271">
        <w:rPr>
          <w:rFonts w:asciiTheme="majorBidi" w:hAnsiTheme="majorBidi" w:cstheme="majorBidi"/>
          <w:lang w:val="en-AU"/>
        </w:rPr>
        <w:t xml:space="preserve">These issues were considered by the Alberta Law Reform Institute </w:t>
      </w:r>
      <w:r w:rsidR="008D6B08">
        <w:rPr>
          <w:rFonts w:asciiTheme="majorBidi" w:hAnsiTheme="majorBidi" w:cstheme="majorBidi"/>
          <w:lang w:val="en-AU"/>
        </w:rPr>
        <w:t xml:space="preserve">(‘ALRI’) </w:t>
      </w:r>
      <w:r w:rsidRPr="004C5271">
        <w:rPr>
          <w:rFonts w:asciiTheme="majorBidi" w:hAnsiTheme="majorBidi" w:cstheme="majorBidi"/>
          <w:lang w:val="en-AU"/>
        </w:rPr>
        <w:t>in 2000. It noted t</w:t>
      </w:r>
      <w:r w:rsidR="005F4A15" w:rsidRPr="004C5271">
        <w:rPr>
          <w:rFonts w:asciiTheme="majorBidi" w:hAnsiTheme="majorBidi" w:cstheme="majorBidi"/>
          <w:lang w:val="en-AU"/>
        </w:rPr>
        <w:t xml:space="preserve">he absence of </w:t>
      </w:r>
      <w:r w:rsidR="005B399C" w:rsidRPr="004C5271">
        <w:rPr>
          <w:rFonts w:asciiTheme="majorBidi" w:hAnsiTheme="majorBidi" w:cstheme="majorBidi"/>
          <w:lang w:val="en-AU"/>
        </w:rPr>
        <w:t>clawback</w:t>
      </w:r>
      <w:r w:rsidR="005F4A15" w:rsidRPr="004C5271">
        <w:rPr>
          <w:rFonts w:asciiTheme="majorBidi" w:hAnsiTheme="majorBidi" w:cstheme="majorBidi"/>
          <w:lang w:val="en-AU"/>
        </w:rPr>
        <w:t xml:space="preserve"> provisions </w:t>
      </w:r>
      <w:r w:rsidR="005B399C" w:rsidRPr="004C5271">
        <w:rPr>
          <w:rFonts w:asciiTheme="majorBidi" w:hAnsiTheme="majorBidi" w:cstheme="majorBidi"/>
          <w:lang w:val="en-AU"/>
        </w:rPr>
        <w:t>in Alberta</w:t>
      </w:r>
      <w:r w:rsidRPr="004C5271">
        <w:rPr>
          <w:rFonts w:asciiTheme="majorBidi" w:hAnsiTheme="majorBidi" w:cstheme="majorBidi"/>
          <w:lang w:val="en-AU"/>
        </w:rPr>
        <w:t xml:space="preserve">, </w:t>
      </w:r>
      <w:r w:rsidR="005F4A15" w:rsidRPr="004C5271">
        <w:rPr>
          <w:rFonts w:asciiTheme="majorBidi" w:hAnsiTheme="majorBidi" w:cstheme="majorBidi"/>
          <w:lang w:val="en-AU"/>
        </w:rPr>
        <w:t>describ</w:t>
      </w:r>
      <w:r w:rsidRPr="004C5271">
        <w:rPr>
          <w:rFonts w:asciiTheme="majorBidi" w:hAnsiTheme="majorBidi" w:cstheme="majorBidi"/>
          <w:lang w:val="en-AU"/>
        </w:rPr>
        <w:t xml:space="preserve">ing this circumstance </w:t>
      </w:r>
      <w:r w:rsidR="005F4A15" w:rsidRPr="004C5271">
        <w:rPr>
          <w:rFonts w:asciiTheme="majorBidi" w:hAnsiTheme="majorBidi" w:cstheme="majorBidi"/>
          <w:lang w:val="en-AU"/>
        </w:rPr>
        <w:t xml:space="preserve">as </w:t>
      </w:r>
      <w:r w:rsidR="00E10F63" w:rsidRPr="004C5271">
        <w:rPr>
          <w:rFonts w:asciiTheme="majorBidi" w:hAnsiTheme="majorBidi" w:cstheme="majorBidi"/>
          <w:lang w:val="en-AU"/>
        </w:rPr>
        <w:t>‘</w:t>
      </w:r>
      <w:r w:rsidR="005F4A15" w:rsidRPr="004C5271">
        <w:rPr>
          <w:rFonts w:asciiTheme="majorBidi" w:hAnsiTheme="majorBidi" w:cstheme="majorBidi"/>
          <w:lang w:val="en-AU"/>
        </w:rPr>
        <w:t>inadequate</w:t>
      </w:r>
      <w:r w:rsidR="00E10F63" w:rsidRPr="004C5271">
        <w:rPr>
          <w:rFonts w:asciiTheme="majorBidi" w:hAnsiTheme="majorBidi" w:cstheme="majorBidi"/>
          <w:lang w:val="en-AU"/>
        </w:rPr>
        <w:t>’</w:t>
      </w:r>
      <w:r w:rsidR="005F4A15" w:rsidRPr="004C5271">
        <w:rPr>
          <w:rStyle w:val="FootnoteReference"/>
          <w:rFonts w:asciiTheme="majorBidi" w:hAnsiTheme="majorBidi" w:cstheme="majorBidi"/>
          <w:lang w:val="en-AU"/>
        </w:rPr>
        <w:footnoteReference w:id="137"/>
      </w:r>
      <w:r w:rsidR="005F4A15" w:rsidRPr="004C5271">
        <w:rPr>
          <w:rFonts w:asciiTheme="majorBidi" w:hAnsiTheme="majorBidi" w:cstheme="majorBidi"/>
          <w:lang w:val="en-AU"/>
        </w:rPr>
        <w:t xml:space="preserve"> and allowing for </w:t>
      </w:r>
      <w:r w:rsidR="00E10F63" w:rsidRPr="004C5271">
        <w:rPr>
          <w:rFonts w:asciiTheme="majorBidi" w:hAnsiTheme="majorBidi" w:cstheme="majorBidi"/>
          <w:lang w:val="en-AU"/>
        </w:rPr>
        <w:t>‘</w:t>
      </w:r>
      <w:r w:rsidR="005F4A15" w:rsidRPr="004C5271">
        <w:rPr>
          <w:rFonts w:asciiTheme="majorBidi" w:hAnsiTheme="majorBidi" w:cstheme="majorBidi"/>
          <w:lang w:val="en-AU"/>
        </w:rPr>
        <w:t>easy circumvention</w:t>
      </w:r>
      <w:r w:rsidR="00E10F63" w:rsidRPr="004C5271">
        <w:rPr>
          <w:rFonts w:asciiTheme="majorBidi" w:hAnsiTheme="majorBidi" w:cstheme="majorBidi"/>
          <w:lang w:val="en-AU"/>
        </w:rPr>
        <w:t>’</w:t>
      </w:r>
      <w:r w:rsidR="00086910" w:rsidRPr="004C5271">
        <w:rPr>
          <w:rFonts w:asciiTheme="majorBidi" w:hAnsiTheme="majorBidi" w:cstheme="majorBidi"/>
          <w:lang w:val="en-AU"/>
        </w:rPr>
        <w:t xml:space="preserve"> of laws.</w:t>
      </w:r>
      <w:r w:rsidR="005F4A15" w:rsidRPr="004C5271">
        <w:rPr>
          <w:rStyle w:val="FootnoteReference"/>
          <w:rFonts w:asciiTheme="majorBidi" w:hAnsiTheme="majorBidi" w:cstheme="majorBidi"/>
          <w:lang w:val="en-AU"/>
        </w:rPr>
        <w:footnoteReference w:id="138"/>
      </w:r>
      <w:r w:rsidR="005F4A15" w:rsidRPr="004C5271">
        <w:rPr>
          <w:rFonts w:asciiTheme="majorBidi" w:hAnsiTheme="majorBidi" w:cstheme="majorBidi"/>
          <w:lang w:val="en-AU"/>
        </w:rPr>
        <w:t xml:space="preserve"> </w:t>
      </w:r>
      <w:r w:rsidRPr="004C5271">
        <w:rPr>
          <w:rFonts w:asciiTheme="majorBidi" w:hAnsiTheme="majorBidi" w:cstheme="majorBidi"/>
          <w:lang w:val="en-AU"/>
        </w:rPr>
        <w:t xml:space="preserve">It proposed reform to its family law legislation to </w:t>
      </w:r>
      <w:r w:rsidR="00BA4531" w:rsidRPr="004C5271">
        <w:rPr>
          <w:rFonts w:asciiTheme="majorBidi" w:hAnsiTheme="majorBidi" w:cstheme="majorBidi"/>
          <w:lang w:val="en-AU"/>
        </w:rPr>
        <w:t>include certain non-estate assets as part of the parties’ pool of assets</w:t>
      </w:r>
      <w:r w:rsidR="00EB0205" w:rsidRPr="004C5271">
        <w:rPr>
          <w:rFonts w:asciiTheme="majorBidi" w:hAnsiTheme="majorBidi" w:cstheme="majorBidi"/>
          <w:lang w:val="en-AU"/>
        </w:rPr>
        <w:t>.</w:t>
      </w:r>
      <w:r w:rsidR="00BA4531" w:rsidRPr="004C5271">
        <w:rPr>
          <w:rStyle w:val="FootnoteReference"/>
          <w:rFonts w:asciiTheme="majorBidi" w:hAnsiTheme="majorBidi" w:cstheme="majorBidi"/>
          <w:lang w:val="en-AU"/>
        </w:rPr>
        <w:footnoteReference w:id="139"/>
      </w:r>
      <w:r w:rsidR="00EB0205" w:rsidRPr="004C5271">
        <w:rPr>
          <w:rFonts w:asciiTheme="majorBidi" w:hAnsiTheme="majorBidi" w:cstheme="majorBidi"/>
          <w:lang w:val="en-AU"/>
        </w:rPr>
        <w:t xml:space="preserve"> There was an almost equal split of views amongst respondents </w:t>
      </w:r>
      <w:r w:rsidR="005B399C" w:rsidRPr="004C5271">
        <w:rPr>
          <w:rFonts w:asciiTheme="majorBidi" w:hAnsiTheme="majorBidi" w:cstheme="majorBidi"/>
          <w:lang w:val="en-AU"/>
        </w:rPr>
        <w:t>to</w:t>
      </w:r>
      <w:r w:rsidR="00EB0205" w:rsidRPr="004C5271">
        <w:rPr>
          <w:rFonts w:asciiTheme="majorBidi" w:hAnsiTheme="majorBidi" w:cstheme="majorBidi"/>
          <w:lang w:val="en-AU"/>
        </w:rPr>
        <w:t xml:space="preserve"> the supplementary question of whether these assets should then be able to be recovered from third </w:t>
      </w:r>
      <w:r w:rsidR="00EB0205" w:rsidRPr="004C5271">
        <w:rPr>
          <w:rFonts w:asciiTheme="majorBidi" w:hAnsiTheme="majorBidi" w:cstheme="majorBidi"/>
          <w:lang w:val="en-AU"/>
        </w:rPr>
        <w:lastRenderedPageBreak/>
        <w:t>party recipients.</w:t>
      </w:r>
      <w:r w:rsidR="00EB0205" w:rsidRPr="004C5271">
        <w:rPr>
          <w:rStyle w:val="FootnoteReference"/>
          <w:rFonts w:asciiTheme="majorBidi" w:hAnsiTheme="majorBidi" w:cstheme="majorBidi"/>
          <w:lang w:val="en-AU"/>
        </w:rPr>
        <w:footnoteReference w:id="140"/>
      </w:r>
      <w:r w:rsidR="00EB0205" w:rsidRPr="004C5271">
        <w:rPr>
          <w:rFonts w:asciiTheme="majorBidi" w:hAnsiTheme="majorBidi" w:cstheme="majorBidi"/>
          <w:lang w:val="en-AU"/>
        </w:rPr>
        <w:t xml:space="preserve"> </w:t>
      </w:r>
      <w:r w:rsidR="00F13C46" w:rsidRPr="004C5271">
        <w:rPr>
          <w:rFonts w:asciiTheme="majorBidi" w:hAnsiTheme="majorBidi" w:cstheme="majorBidi"/>
          <w:lang w:val="en-AU"/>
        </w:rPr>
        <w:t>It was ultimately concluded that non-estate assets ought to be able to be utilised to fund awards for surviving spouses where the assets within an estate are insufficient.</w:t>
      </w:r>
      <w:r w:rsidR="00F13C46" w:rsidRPr="004C5271">
        <w:rPr>
          <w:rStyle w:val="FootnoteReference"/>
          <w:rFonts w:asciiTheme="majorBidi" w:hAnsiTheme="majorBidi" w:cstheme="majorBidi"/>
          <w:lang w:val="en-AU"/>
        </w:rPr>
        <w:footnoteReference w:id="141"/>
      </w:r>
      <w:r w:rsidR="00F13C46" w:rsidRPr="004C5271">
        <w:rPr>
          <w:rFonts w:asciiTheme="majorBidi" w:hAnsiTheme="majorBidi" w:cstheme="majorBidi"/>
          <w:lang w:val="en-AU"/>
        </w:rPr>
        <w:t xml:space="preserve"> </w:t>
      </w:r>
      <w:r w:rsidR="005B399C" w:rsidRPr="004C5271">
        <w:rPr>
          <w:rFonts w:asciiTheme="majorBidi" w:hAnsiTheme="majorBidi" w:cstheme="majorBidi"/>
          <w:lang w:val="en-AU"/>
        </w:rPr>
        <w:t>Despite this recommendation, t</w:t>
      </w:r>
      <w:r w:rsidR="00F13C46" w:rsidRPr="004C5271">
        <w:rPr>
          <w:rFonts w:asciiTheme="majorBidi" w:hAnsiTheme="majorBidi" w:cstheme="majorBidi"/>
          <w:lang w:val="en-AU"/>
        </w:rPr>
        <w:t>hese reforms have not been enacted.</w:t>
      </w:r>
      <w:r w:rsidR="00F13C46" w:rsidRPr="004C5271">
        <w:rPr>
          <w:rStyle w:val="FootnoteReference"/>
          <w:rFonts w:asciiTheme="majorBidi" w:hAnsiTheme="majorBidi" w:cstheme="majorBidi"/>
          <w:lang w:val="en-AU"/>
        </w:rPr>
        <w:footnoteReference w:id="142"/>
      </w:r>
    </w:p>
    <w:p w14:paraId="509D4A23" w14:textId="027718FC" w:rsidR="00FD40F9" w:rsidRPr="004C5271" w:rsidRDefault="00FD40F9" w:rsidP="00403385">
      <w:pPr>
        <w:pStyle w:val="NormalNumberedTextTLRI"/>
        <w:rPr>
          <w:rFonts w:asciiTheme="majorBidi" w:hAnsiTheme="majorBidi" w:cstheme="majorBidi"/>
          <w:lang w:val="en-AU"/>
        </w:rPr>
      </w:pPr>
      <w:r w:rsidRPr="004C5271">
        <w:rPr>
          <w:rFonts w:asciiTheme="majorBidi" w:hAnsiTheme="majorBidi" w:cstheme="majorBidi"/>
          <w:lang w:val="en-AU"/>
        </w:rPr>
        <w:t>In 2006, t</w:t>
      </w:r>
      <w:r w:rsidR="005351D4" w:rsidRPr="004C5271">
        <w:rPr>
          <w:rFonts w:asciiTheme="majorBidi" w:hAnsiTheme="majorBidi" w:cstheme="majorBidi"/>
          <w:lang w:val="en-AU"/>
        </w:rPr>
        <w:t xml:space="preserve">he British Columbia Law Institute </w:t>
      </w:r>
      <w:r w:rsidR="00D208C7" w:rsidRPr="004C5271">
        <w:rPr>
          <w:rFonts w:asciiTheme="majorBidi" w:hAnsiTheme="majorBidi" w:cstheme="majorBidi"/>
          <w:lang w:val="en-AU"/>
        </w:rPr>
        <w:t xml:space="preserve">(‘BCLI’) </w:t>
      </w:r>
      <w:r w:rsidRPr="004C5271">
        <w:rPr>
          <w:rFonts w:asciiTheme="majorBidi" w:hAnsiTheme="majorBidi" w:cstheme="majorBidi"/>
          <w:lang w:val="en-AU"/>
        </w:rPr>
        <w:t xml:space="preserve">considered reform to its succession laws, including family provision legislation. It proposed a </w:t>
      </w:r>
      <w:r w:rsidR="004B4F98" w:rsidRPr="004C5271">
        <w:rPr>
          <w:rFonts w:asciiTheme="majorBidi" w:hAnsiTheme="majorBidi" w:cstheme="majorBidi"/>
          <w:lang w:val="en-AU"/>
        </w:rPr>
        <w:t>varied</w:t>
      </w:r>
      <w:r w:rsidRPr="004C5271">
        <w:rPr>
          <w:rFonts w:asciiTheme="majorBidi" w:hAnsiTheme="majorBidi" w:cstheme="majorBidi"/>
          <w:lang w:val="en-AU"/>
        </w:rPr>
        <w:t xml:space="preserve"> anti-avoidance </w:t>
      </w:r>
      <w:r w:rsidR="00AE4479" w:rsidRPr="004C5271">
        <w:rPr>
          <w:rFonts w:asciiTheme="majorBidi" w:hAnsiTheme="majorBidi" w:cstheme="majorBidi"/>
          <w:lang w:val="en-AU"/>
        </w:rPr>
        <w:t>model</w:t>
      </w:r>
      <w:r w:rsidR="004B4F98" w:rsidRPr="004C5271">
        <w:rPr>
          <w:rFonts w:asciiTheme="majorBidi" w:hAnsiTheme="majorBidi" w:cstheme="majorBidi"/>
          <w:lang w:val="en-AU"/>
        </w:rPr>
        <w:t xml:space="preserve"> to that contained</w:t>
      </w:r>
      <w:r w:rsidRPr="004C5271">
        <w:rPr>
          <w:rFonts w:asciiTheme="majorBidi" w:hAnsiTheme="majorBidi" w:cstheme="majorBidi"/>
          <w:lang w:val="en-AU"/>
        </w:rPr>
        <w:t xml:space="preserve"> in the Uniform Act and </w:t>
      </w:r>
      <w:r w:rsidR="005C5C6B" w:rsidRPr="004C5271">
        <w:rPr>
          <w:rFonts w:asciiTheme="majorBidi" w:hAnsiTheme="majorBidi" w:cstheme="majorBidi"/>
          <w:lang w:val="en-AU"/>
        </w:rPr>
        <w:t>operating</w:t>
      </w:r>
      <w:r w:rsidRPr="004C5271">
        <w:rPr>
          <w:rFonts w:asciiTheme="majorBidi" w:hAnsiTheme="majorBidi" w:cstheme="majorBidi"/>
          <w:lang w:val="en-AU"/>
        </w:rPr>
        <w:t xml:space="preserve"> in a modified form in Ontario, ha</w:t>
      </w:r>
      <w:r w:rsidR="00AE4479" w:rsidRPr="004C5271">
        <w:rPr>
          <w:rFonts w:asciiTheme="majorBidi" w:hAnsiTheme="majorBidi" w:cstheme="majorBidi"/>
          <w:lang w:val="en-AU"/>
        </w:rPr>
        <w:t>ving</w:t>
      </w:r>
      <w:r w:rsidRPr="004C5271">
        <w:rPr>
          <w:rFonts w:asciiTheme="majorBidi" w:hAnsiTheme="majorBidi" w:cstheme="majorBidi"/>
          <w:lang w:val="en-AU"/>
        </w:rPr>
        <w:t xml:space="preserve"> concluded that those provisions were </w:t>
      </w:r>
      <w:r w:rsidR="0062113C" w:rsidRPr="004C5271">
        <w:rPr>
          <w:rFonts w:asciiTheme="majorBidi" w:hAnsiTheme="majorBidi" w:cstheme="majorBidi"/>
          <w:lang w:val="en-AU"/>
        </w:rPr>
        <w:t>‘</w:t>
      </w:r>
      <w:r w:rsidRPr="004C5271">
        <w:rPr>
          <w:rFonts w:asciiTheme="majorBidi" w:hAnsiTheme="majorBidi" w:cstheme="majorBidi"/>
          <w:lang w:val="en-AU"/>
        </w:rPr>
        <w:t>too intrusive and draconian.</w:t>
      </w:r>
      <w:r w:rsidR="0062113C"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143"/>
      </w:r>
      <w:r w:rsidRPr="004C5271">
        <w:rPr>
          <w:rFonts w:asciiTheme="majorBidi" w:hAnsiTheme="majorBidi" w:cstheme="majorBidi"/>
          <w:lang w:val="en-AU"/>
        </w:rPr>
        <w:t xml:space="preserve"> </w:t>
      </w:r>
      <w:r w:rsidR="00FF31B2" w:rsidRPr="004C5271">
        <w:rPr>
          <w:rFonts w:asciiTheme="majorBidi" w:hAnsiTheme="majorBidi" w:cstheme="majorBidi"/>
          <w:lang w:val="en-AU"/>
        </w:rPr>
        <w:t xml:space="preserve">This </w:t>
      </w:r>
      <w:r w:rsidR="00AE4479" w:rsidRPr="004C5271">
        <w:rPr>
          <w:rFonts w:asciiTheme="majorBidi" w:hAnsiTheme="majorBidi" w:cstheme="majorBidi"/>
          <w:lang w:val="en-AU"/>
        </w:rPr>
        <w:t xml:space="preserve">view </w:t>
      </w:r>
      <w:r w:rsidR="00FF31B2" w:rsidRPr="004C5271">
        <w:rPr>
          <w:rFonts w:asciiTheme="majorBidi" w:hAnsiTheme="majorBidi" w:cstheme="majorBidi"/>
          <w:lang w:val="en-AU"/>
        </w:rPr>
        <w:t>was</w:t>
      </w:r>
      <w:r w:rsidR="00AE4479" w:rsidRPr="004C5271">
        <w:rPr>
          <w:rFonts w:asciiTheme="majorBidi" w:hAnsiTheme="majorBidi" w:cstheme="majorBidi"/>
          <w:lang w:val="en-AU"/>
        </w:rPr>
        <w:t xml:space="preserve"> expressed</w:t>
      </w:r>
      <w:r w:rsidR="00FF31B2" w:rsidRPr="004C5271">
        <w:rPr>
          <w:rFonts w:asciiTheme="majorBidi" w:hAnsiTheme="majorBidi" w:cstheme="majorBidi"/>
          <w:lang w:val="en-AU"/>
        </w:rPr>
        <w:t xml:space="preserve"> because the</w:t>
      </w:r>
      <w:r w:rsidR="00F62E1E" w:rsidRPr="004C5271">
        <w:rPr>
          <w:rFonts w:asciiTheme="majorBidi" w:hAnsiTheme="majorBidi" w:cstheme="majorBidi"/>
          <w:lang w:val="en-AU"/>
        </w:rPr>
        <w:t xml:space="preserve"> effect of the provision </w:t>
      </w:r>
      <w:r w:rsidR="00FF31B2" w:rsidRPr="004C5271">
        <w:rPr>
          <w:rFonts w:asciiTheme="majorBidi" w:hAnsiTheme="majorBidi" w:cstheme="majorBidi"/>
          <w:lang w:val="en-AU"/>
        </w:rPr>
        <w:t xml:space="preserve">can </w:t>
      </w:r>
      <w:r w:rsidR="000A1F6E" w:rsidRPr="004C5271">
        <w:rPr>
          <w:rFonts w:asciiTheme="majorBidi" w:hAnsiTheme="majorBidi" w:cstheme="majorBidi"/>
          <w:lang w:val="en-AU"/>
        </w:rPr>
        <w:t>‘</w:t>
      </w:r>
      <w:r w:rsidR="00FF31B2" w:rsidRPr="004C5271">
        <w:rPr>
          <w:rFonts w:asciiTheme="majorBidi" w:hAnsiTheme="majorBidi" w:cstheme="majorBidi"/>
          <w:lang w:val="en-AU"/>
        </w:rPr>
        <w:t>extend to innocent transactions and interrupt contractual relations entered into in good faith.</w:t>
      </w:r>
      <w:r w:rsidR="000A1F6E" w:rsidRPr="004C5271">
        <w:rPr>
          <w:rFonts w:asciiTheme="majorBidi" w:hAnsiTheme="majorBidi" w:cstheme="majorBidi"/>
          <w:lang w:val="en-AU"/>
        </w:rPr>
        <w:t>’</w:t>
      </w:r>
      <w:r w:rsidR="00FF31B2" w:rsidRPr="004C5271">
        <w:rPr>
          <w:rFonts w:asciiTheme="majorBidi" w:hAnsiTheme="majorBidi" w:cstheme="majorBidi"/>
          <w:lang w:val="en-AU"/>
        </w:rPr>
        <w:t xml:space="preserve"> </w:t>
      </w:r>
      <w:r w:rsidR="005C5C6B" w:rsidRPr="004C5271">
        <w:rPr>
          <w:rFonts w:asciiTheme="majorBidi" w:hAnsiTheme="majorBidi" w:cstheme="majorBidi"/>
          <w:lang w:val="en-AU"/>
        </w:rPr>
        <w:t>This view</w:t>
      </w:r>
      <w:r w:rsidR="00FF31B2" w:rsidRPr="004C5271">
        <w:rPr>
          <w:rFonts w:asciiTheme="majorBidi" w:hAnsiTheme="majorBidi" w:cstheme="majorBidi"/>
          <w:lang w:val="en-AU"/>
        </w:rPr>
        <w:t xml:space="preserve"> </w:t>
      </w:r>
      <w:r w:rsidRPr="004C5271">
        <w:rPr>
          <w:rFonts w:asciiTheme="majorBidi" w:hAnsiTheme="majorBidi" w:cstheme="majorBidi"/>
          <w:lang w:val="en-AU"/>
        </w:rPr>
        <w:t xml:space="preserve">was consistent with </w:t>
      </w:r>
      <w:r w:rsidR="000A1F6E" w:rsidRPr="004C5271">
        <w:rPr>
          <w:rFonts w:asciiTheme="majorBidi" w:hAnsiTheme="majorBidi" w:cstheme="majorBidi"/>
          <w:lang w:val="en-AU"/>
        </w:rPr>
        <w:t xml:space="preserve">the BCLI’s </w:t>
      </w:r>
      <w:r w:rsidRPr="004C5271">
        <w:rPr>
          <w:rFonts w:asciiTheme="majorBidi" w:hAnsiTheme="majorBidi" w:cstheme="majorBidi"/>
          <w:lang w:val="en-AU"/>
        </w:rPr>
        <w:t xml:space="preserve">earlier </w:t>
      </w:r>
      <w:r w:rsidR="00FF31B2" w:rsidRPr="004C5271">
        <w:rPr>
          <w:rFonts w:asciiTheme="majorBidi" w:hAnsiTheme="majorBidi" w:cstheme="majorBidi"/>
          <w:lang w:val="en-AU"/>
        </w:rPr>
        <w:t>comments</w:t>
      </w:r>
      <w:r w:rsidRPr="004C5271">
        <w:rPr>
          <w:rFonts w:asciiTheme="majorBidi" w:hAnsiTheme="majorBidi" w:cstheme="majorBidi"/>
          <w:lang w:val="en-AU"/>
        </w:rPr>
        <w:t xml:space="preserve"> </w:t>
      </w:r>
      <w:r w:rsidR="000A1F6E" w:rsidRPr="004C5271">
        <w:rPr>
          <w:rFonts w:asciiTheme="majorBidi" w:hAnsiTheme="majorBidi" w:cstheme="majorBidi"/>
          <w:lang w:val="en-AU"/>
        </w:rPr>
        <w:t xml:space="preserve">made </w:t>
      </w:r>
      <w:r w:rsidRPr="004C5271">
        <w:rPr>
          <w:rFonts w:asciiTheme="majorBidi" w:hAnsiTheme="majorBidi" w:cstheme="majorBidi"/>
          <w:lang w:val="en-AU"/>
        </w:rPr>
        <w:t>in 1983.</w:t>
      </w:r>
      <w:bookmarkStart w:id="80" w:name="_Ref13329063"/>
      <w:r w:rsidRPr="004C5271">
        <w:rPr>
          <w:rStyle w:val="FootnoteReference"/>
          <w:rFonts w:asciiTheme="majorBidi" w:hAnsiTheme="majorBidi" w:cstheme="majorBidi"/>
          <w:lang w:val="en-AU"/>
        </w:rPr>
        <w:footnoteReference w:id="144"/>
      </w:r>
      <w:bookmarkEnd w:id="80"/>
    </w:p>
    <w:p w14:paraId="24A7A64F" w14:textId="32DF9D4C" w:rsidR="000D0AE2" w:rsidRPr="004C5271" w:rsidRDefault="00FF31B2" w:rsidP="00403385">
      <w:pPr>
        <w:pStyle w:val="NormalNumberedTextTLRI"/>
        <w:rPr>
          <w:rFonts w:asciiTheme="majorBidi" w:hAnsiTheme="majorBidi" w:cstheme="majorBidi"/>
          <w:lang w:val="en-AU"/>
        </w:rPr>
      </w:pPr>
      <w:r w:rsidRPr="004C5271">
        <w:rPr>
          <w:rFonts w:asciiTheme="majorBidi" w:hAnsiTheme="majorBidi" w:cstheme="majorBidi"/>
          <w:lang w:val="en-AU"/>
        </w:rPr>
        <w:t xml:space="preserve">The varied model that the BCLI </w:t>
      </w:r>
      <w:r w:rsidR="005351D4" w:rsidRPr="004C5271">
        <w:rPr>
          <w:rFonts w:asciiTheme="majorBidi" w:hAnsiTheme="majorBidi" w:cstheme="majorBidi"/>
          <w:lang w:val="en-AU"/>
        </w:rPr>
        <w:t>propos</w:t>
      </w:r>
      <w:r w:rsidRPr="004C5271">
        <w:rPr>
          <w:rFonts w:asciiTheme="majorBidi" w:hAnsiTheme="majorBidi" w:cstheme="majorBidi"/>
          <w:lang w:val="en-AU"/>
        </w:rPr>
        <w:t>ed</w:t>
      </w:r>
      <w:r w:rsidR="005351D4" w:rsidRPr="004C5271">
        <w:rPr>
          <w:rFonts w:asciiTheme="majorBidi" w:hAnsiTheme="majorBidi" w:cstheme="majorBidi"/>
          <w:lang w:val="en-AU"/>
        </w:rPr>
        <w:t xml:space="preserve"> </w:t>
      </w:r>
      <w:r w:rsidR="004B4F98" w:rsidRPr="004C5271">
        <w:rPr>
          <w:rFonts w:asciiTheme="majorBidi" w:hAnsiTheme="majorBidi" w:cstheme="majorBidi"/>
          <w:lang w:val="en-AU"/>
        </w:rPr>
        <w:t>provide</w:t>
      </w:r>
      <w:r w:rsidR="00086910" w:rsidRPr="004C5271">
        <w:rPr>
          <w:rFonts w:asciiTheme="majorBidi" w:hAnsiTheme="majorBidi" w:cstheme="majorBidi"/>
          <w:lang w:val="en-AU"/>
        </w:rPr>
        <w:t>d</w:t>
      </w:r>
      <w:r w:rsidR="004B4F98" w:rsidRPr="004C5271">
        <w:rPr>
          <w:rFonts w:asciiTheme="majorBidi" w:hAnsiTheme="majorBidi" w:cstheme="majorBidi"/>
          <w:lang w:val="en-AU"/>
        </w:rPr>
        <w:t xml:space="preserve"> for</w:t>
      </w:r>
      <w:r w:rsidR="005351D4" w:rsidRPr="004C5271">
        <w:rPr>
          <w:rFonts w:asciiTheme="majorBidi" w:hAnsiTheme="majorBidi" w:cstheme="majorBidi"/>
          <w:lang w:val="en-AU"/>
        </w:rPr>
        <w:t xml:space="preserve"> transactions</w:t>
      </w:r>
      <w:r w:rsidR="00D208C7" w:rsidRPr="004C5271">
        <w:rPr>
          <w:rStyle w:val="FootnoteReference"/>
          <w:rFonts w:asciiTheme="majorBidi" w:hAnsiTheme="majorBidi" w:cstheme="majorBidi"/>
          <w:lang w:val="en-AU"/>
        </w:rPr>
        <w:footnoteReference w:id="145"/>
      </w:r>
      <w:r w:rsidR="005351D4" w:rsidRPr="004C5271">
        <w:rPr>
          <w:rFonts w:asciiTheme="majorBidi" w:hAnsiTheme="majorBidi" w:cstheme="majorBidi"/>
          <w:lang w:val="en-AU"/>
        </w:rPr>
        <w:t xml:space="preserve"> entered into with the intention of defeating claims </w:t>
      </w:r>
      <w:r w:rsidR="00086910" w:rsidRPr="004C5271">
        <w:rPr>
          <w:rFonts w:asciiTheme="majorBidi" w:hAnsiTheme="majorBidi" w:cstheme="majorBidi"/>
          <w:lang w:val="en-AU"/>
        </w:rPr>
        <w:t xml:space="preserve">to </w:t>
      </w:r>
      <w:r w:rsidR="005351D4" w:rsidRPr="004C5271">
        <w:rPr>
          <w:rFonts w:asciiTheme="majorBidi" w:hAnsiTheme="majorBidi" w:cstheme="majorBidi"/>
          <w:lang w:val="en-AU"/>
        </w:rPr>
        <w:t>be voidable for the purpose of funding claims.</w:t>
      </w:r>
      <w:r w:rsidR="005351D4" w:rsidRPr="004C5271">
        <w:rPr>
          <w:rStyle w:val="FootnoteReference"/>
          <w:rFonts w:asciiTheme="majorBidi" w:hAnsiTheme="majorBidi" w:cstheme="majorBidi"/>
          <w:lang w:val="en-AU"/>
        </w:rPr>
        <w:footnoteReference w:id="146"/>
      </w:r>
      <w:r w:rsidR="00C52057" w:rsidRPr="004C5271">
        <w:rPr>
          <w:rFonts w:asciiTheme="majorBidi" w:hAnsiTheme="majorBidi" w:cstheme="majorBidi"/>
          <w:lang w:val="en-AU"/>
        </w:rPr>
        <w:t xml:space="preserve"> </w:t>
      </w:r>
      <w:r w:rsidR="00AC2E58" w:rsidRPr="004C5271">
        <w:rPr>
          <w:rFonts w:asciiTheme="majorBidi" w:hAnsiTheme="majorBidi" w:cstheme="majorBidi"/>
          <w:lang w:val="en-AU"/>
        </w:rPr>
        <w:t xml:space="preserve">The </w:t>
      </w:r>
      <w:r w:rsidR="00D208C7" w:rsidRPr="004C5271">
        <w:rPr>
          <w:rFonts w:asciiTheme="majorBidi" w:hAnsiTheme="majorBidi" w:cstheme="majorBidi"/>
          <w:lang w:val="en-AU"/>
        </w:rPr>
        <w:t>BCLI</w:t>
      </w:r>
      <w:r w:rsidR="00C52057" w:rsidRPr="004C5271">
        <w:rPr>
          <w:rFonts w:asciiTheme="majorBidi" w:hAnsiTheme="majorBidi" w:cstheme="majorBidi"/>
          <w:lang w:val="en-AU"/>
        </w:rPr>
        <w:t xml:space="preserve"> proposed, however, that </w:t>
      </w:r>
      <w:r w:rsidR="00AC2E58" w:rsidRPr="004C5271">
        <w:rPr>
          <w:rFonts w:asciiTheme="majorBidi" w:hAnsiTheme="majorBidi" w:cstheme="majorBidi"/>
          <w:lang w:val="en-AU"/>
        </w:rPr>
        <w:t>transactions</w:t>
      </w:r>
      <w:r w:rsidR="00C52057" w:rsidRPr="004C5271">
        <w:rPr>
          <w:rFonts w:asciiTheme="majorBidi" w:hAnsiTheme="majorBidi" w:cstheme="majorBidi"/>
          <w:lang w:val="en-AU"/>
        </w:rPr>
        <w:t xml:space="preserve"> </w:t>
      </w:r>
      <w:r w:rsidR="00AC2E58" w:rsidRPr="004C5271">
        <w:rPr>
          <w:rFonts w:asciiTheme="majorBidi" w:hAnsiTheme="majorBidi" w:cstheme="majorBidi"/>
          <w:lang w:val="en-AU"/>
        </w:rPr>
        <w:t>that</w:t>
      </w:r>
      <w:r w:rsidR="00C52057" w:rsidRPr="004C5271">
        <w:rPr>
          <w:rFonts w:asciiTheme="majorBidi" w:hAnsiTheme="majorBidi" w:cstheme="majorBidi"/>
          <w:lang w:val="en-AU"/>
        </w:rPr>
        <w:t xml:space="preserve"> third parties </w:t>
      </w:r>
      <w:r w:rsidR="00AC2E58" w:rsidRPr="004C5271">
        <w:rPr>
          <w:rFonts w:asciiTheme="majorBidi" w:hAnsiTheme="majorBidi" w:cstheme="majorBidi"/>
          <w:lang w:val="en-AU"/>
        </w:rPr>
        <w:t xml:space="preserve">enter into </w:t>
      </w:r>
      <w:r w:rsidR="00C52057" w:rsidRPr="004C5271">
        <w:rPr>
          <w:rFonts w:asciiTheme="majorBidi" w:hAnsiTheme="majorBidi" w:cstheme="majorBidi"/>
          <w:lang w:val="en-AU"/>
        </w:rPr>
        <w:t>for valuable consideration and in good faith where, at the time of the transaction, they had no notice or knowledge of the purpose of the transfer being to defeat a claim</w:t>
      </w:r>
      <w:r w:rsidR="000A1F6E" w:rsidRPr="004C5271">
        <w:rPr>
          <w:rFonts w:asciiTheme="majorBidi" w:hAnsiTheme="majorBidi" w:cstheme="majorBidi"/>
          <w:lang w:val="en-AU"/>
        </w:rPr>
        <w:t>,</w:t>
      </w:r>
      <w:r w:rsidR="00AC2E58" w:rsidRPr="004C5271">
        <w:rPr>
          <w:rFonts w:asciiTheme="majorBidi" w:hAnsiTheme="majorBidi" w:cstheme="majorBidi"/>
          <w:lang w:val="en-AU"/>
        </w:rPr>
        <w:t xml:space="preserve"> </w:t>
      </w:r>
      <w:r w:rsidR="005C5C6B" w:rsidRPr="004C5271">
        <w:rPr>
          <w:rFonts w:asciiTheme="majorBidi" w:hAnsiTheme="majorBidi" w:cstheme="majorBidi"/>
          <w:lang w:val="en-AU"/>
        </w:rPr>
        <w:t xml:space="preserve">ought to </w:t>
      </w:r>
      <w:r w:rsidR="00AC2E58" w:rsidRPr="004C5271">
        <w:rPr>
          <w:rFonts w:asciiTheme="majorBidi" w:hAnsiTheme="majorBidi" w:cstheme="majorBidi"/>
          <w:lang w:val="en-AU"/>
        </w:rPr>
        <w:t>be excluded</w:t>
      </w:r>
      <w:r w:rsidR="00C52057" w:rsidRPr="004C5271">
        <w:rPr>
          <w:rFonts w:asciiTheme="majorBidi" w:hAnsiTheme="majorBidi" w:cstheme="majorBidi"/>
          <w:lang w:val="en-AU"/>
        </w:rPr>
        <w:t>.</w:t>
      </w:r>
      <w:r w:rsidR="00C52057" w:rsidRPr="004C5271">
        <w:rPr>
          <w:rStyle w:val="FootnoteReference"/>
          <w:rFonts w:asciiTheme="majorBidi" w:hAnsiTheme="majorBidi" w:cstheme="majorBidi"/>
          <w:lang w:val="en-AU"/>
        </w:rPr>
        <w:footnoteReference w:id="147"/>
      </w:r>
      <w:r w:rsidR="00D208C7" w:rsidRPr="004C5271">
        <w:rPr>
          <w:rFonts w:asciiTheme="majorBidi" w:hAnsiTheme="majorBidi" w:cstheme="majorBidi"/>
          <w:lang w:val="en-AU"/>
        </w:rPr>
        <w:t xml:space="preserve"> The BCLI advocated this approach on the basis that it would then </w:t>
      </w:r>
      <w:r w:rsidR="000A1F6E" w:rsidRPr="004C5271">
        <w:rPr>
          <w:rFonts w:asciiTheme="majorBidi" w:hAnsiTheme="majorBidi" w:cstheme="majorBidi"/>
          <w:lang w:val="en-AU"/>
        </w:rPr>
        <w:t>‘</w:t>
      </w:r>
      <w:r w:rsidR="00D208C7" w:rsidRPr="004C5271">
        <w:rPr>
          <w:rFonts w:asciiTheme="majorBidi" w:hAnsiTheme="majorBidi" w:cstheme="majorBidi"/>
          <w:lang w:val="en-AU"/>
        </w:rPr>
        <w:t>provide finality and protect settled expectations in completed dealings.</w:t>
      </w:r>
      <w:r w:rsidR="000A1F6E" w:rsidRPr="004C5271">
        <w:rPr>
          <w:rFonts w:asciiTheme="majorBidi" w:hAnsiTheme="majorBidi" w:cstheme="majorBidi"/>
          <w:lang w:val="en-AU"/>
        </w:rPr>
        <w:t>’</w:t>
      </w:r>
      <w:r w:rsidR="00D208C7" w:rsidRPr="004C5271">
        <w:rPr>
          <w:rStyle w:val="FootnoteReference"/>
          <w:rFonts w:asciiTheme="majorBidi" w:hAnsiTheme="majorBidi" w:cstheme="majorBidi"/>
          <w:lang w:val="en-AU"/>
        </w:rPr>
        <w:footnoteReference w:id="148"/>
      </w:r>
      <w:r w:rsidR="003D2AD4" w:rsidRPr="004C5271">
        <w:rPr>
          <w:rFonts w:asciiTheme="majorBidi" w:hAnsiTheme="majorBidi" w:cstheme="majorBidi"/>
          <w:lang w:val="en-AU"/>
        </w:rPr>
        <w:t xml:space="preserve"> It proposed that </w:t>
      </w:r>
      <w:r w:rsidR="00DB48AA" w:rsidRPr="004C5271">
        <w:rPr>
          <w:rFonts w:asciiTheme="majorBidi" w:hAnsiTheme="majorBidi" w:cstheme="majorBidi"/>
          <w:lang w:val="en-AU"/>
        </w:rPr>
        <w:lastRenderedPageBreak/>
        <w:t>property only be used to the extent necessary to make sufficient assets available to fund provision.</w:t>
      </w:r>
      <w:r w:rsidRPr="004C5271">
        <w:rPr>
          <w:rFonts w:asciiTheme="majorBidi" w:hAnsiTheme="majorBidi" w:cstheme="majorBidi"/>
          <w:lang w:val="en-AU"/>
        </w:rPr>
        <w:t xml:space="preserve"> </w:t>
      </w:r>
      <w:r w:rsidR="00084414" w:rsidRPr="004C5271">
        <w:rPr>
          <w:rFonts w:asciiTheme="majorBidi" w:hAnsiTheme="majorBidi" w:cstheme="majorBidi"/>
          <w:lang w:val="en-AU"/>
        </w:rPr>
        <w:t>T</w:t>
      </w:r>
      <w:r w:rsidR="00ED5629" w:rsidRPr="004C5271">
        <w:rPr>
          <w:rFonts w:asciiTheme="majorBidi" w:hAnsiTheme="majorBidi" w:cstheme="majorBidi"/>
          <w:lang w:val="en-AU"/>
        </w:rPr>
        <w:t xml:space="preserve">he model advocated limited the classes of eligible applicants able to make a claim and </w:t>
      </w:r>
      <w:r w:rsidR="00084414" w:rsidRPr="004C5271">
        <w:rPr>
          <w:rFonts w:asciiTheme="majorBidi" w:hAnsiTheme="majorBidi" w:cstheme="majorBidi"/>
          <w:lang w:val="en-AU"/>
        </w:rPr>
        <w:t>the BCLI stated that</w:t>
      </w:r>
      <w:r w:rsidR="00ED5629" w:rsidRPr="004C5271">
        <w:rPr>
          <w:rFonts w:asciiTheme="majorBidi" w:hAnsiTheme="majorBidi" w:cstheme="majorBidi"/>
          <w:lang w:val="en-AU"/>
        </w:rPr>
        <w:t xml:space="preserve"> this supported its conclusion that </w:t>
      </w:r>
      <w:r w:rsidR="000A1F6E" w:rsidRPr="004C5271">
        <w:rPr>
          <w:rFonts w:asciiTheme="majorBidi" w:hAnsiTheme="majorBidi" w:cstheme="majorBidi"/>
          <w:lang w:val="en-AU"/>
        </w:rPr>
        <w:t>‘</w:t>
      </w:r>
      <w:r w:rsidR="00ED5629" w:rsidRPr="004C5271">
        <w:rPr>
          <w:rFonts w:asciiTheme="majorBidi" w:hAnsiTheme="majorBidi" w:cstheme="majorBidi"/>
          <w:lang w:val="en-AU"/>
        </w:rPr>
        <w:t>there ought to be a means of preventing the rights of deserving claimants from being deliberately defeated by transfers of property during the deceased’s lifetime.</w:t>
      </w:r>
      <w:r w:rsidR="000A1F6E" w:rsidRPr="004C5271">
        <w:rPr>
          <w:rFonts w:asciiTheme="majorBidi" w:hAnsiTheme="majorBidi" w:cstheme="majorBidi"/>
          <w:lang w:val="en-AU"/>
        </w:rPr>
        <w:t>’</w:t>
      </w:r>
      <w:r w:rsidR="00ED5629" w:rsidRPr="004C5271">
        <w:rPr>
          <w:rStyle w:val="FootnoteReference"/>
          <w:rFonts w:asciiTheme="majorBidi" w:hAnsiTheme="majorBidi" w:cstheme="majorBidi"/>
          <w:lang w:val="en-AU"/>
        </w:rPr>
        <w:footnoteReference w:id="149"/>
      </w:r>
    </w:p>
    <w:p w14:paraId="70028DC6" w14:textId="4DAD2E50" w:rsidR="00403385" w:rsidRPr="004C5271" w:rsidRDefault="00FF31B2" w:rsidP="00403385">
      <w:pPr>
        <w:pStyle w:val="NormalNumberedTextTLRI"/>
        <w:rPr>
          <w:rFonts w:asciiTheme="majorBidi" w:hAnsiTheme="majorBidi" w:cstheme="majorBidi"/>
          <w:lang w:val="en-AU"/>
        </w:rPr>
      </w:pPr>
      <w:r w:rsidRPr="004C5271">
        <w:rPr>
          <w:rFonts w:asciiTheme="majorBidi" w:hAnsiTheme="majorBidi" w:cstheme="majorBidi"/>
          <w:lang w:val="en-AU"/>
        </w:rPr>
        <w:t>Despite the recommendations of the BCLI, these reforms have not been enacted</w:t>
      </w:r>
      <w:r w:rsidR="002C4EA2" w:rsidRPr="004C5271">
        <w:rPr>
          <w:rFonts w:asciiTheme="majorBidi" w:hAnsiTheme="majorBidi" w:cstheme="majorBidi"/>
          <w:lang w:val="en-AU"/>
        </w:rPr>
        <w:t xml:space="preserve">, although reforms enacted in 2009 via the </w:t>
      </w:r>
      <w:r w:rsidR="002C4EA2" w:rsidRPr="004C5271">
        <w:rPr>
          <w:rFonts w:asciiTheme="majorBidi" w:hAnsiTheme="majorBidi" w:cstheme="majorBidi"/>
          <w:i/>
          <w:iCs/>
          <w:lang w:val="en-AU"/>
        </w:rPr>
        <w:t xml:space="preserve">Wills, Estates and Succession Act </w:t>
      </w:r>
      <w:r w:rsidR="002C4EA2" w:rsidRPr="004C5271">
        <w:rPr>
          <w:rFonts w:asciiTheme="majorBidi" w:hAnsiTheme="majorBidi" w:cstheme="majorBidi"/>
          <w:lang w:val="en-AU"/>
        </w:rPr>
        <w:t>were otherwise broadly consistent with the recommendations contained in the BCLI’s report</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150"/>
      </w:r>
    </w:p>
    <w:p w14:paraId="07D684BD" w14:textId="01AFA694" w:rsidR="00084414" w:rsidRPr="004C5271" w:rsidRDefault="00084414" w:rsidP="00403385">
      <w:pPr>
        <w:pStyle w:val="NormalNumberedTextTLRI"/>
        <w:rPr>
          <w:rFonts w:asciiTheme="majorBidi" w:hAnsiTheme="majorBidi" w:cstheme="majorBidi"/>
          <w:lang w:val="en-AU"/>
        </w:rPr>
      </w:pPr>
      <w:r w:rsidRPr="004C5271">
        <w:rPr>
          <w:rFonts w:asciiTheme="majorBidi" w:hAnsiTheme="majorBidi" w:cstheme="majorBidi"/>
          <w:lang w:val="en-AU"/>
        </w:rPr>
        <w:t xml:space="preserve">To summarise the position in Canada, whilst notional estate-style provisions have been recommended by the Uniform Law Conference of Canada since the 1970s, these provisions been </w:t>
      </w:r>
      <w:r w:rsidR="00086910" w:rsidRPr="004C5271">
        <w:rPr>
          <w:rFonts w:asciiTheme="majorBidi" w:hAnsiTheme="majorBidi" w:cstheme="majorBidi"/>
          <w:lang w:val="en-AU"/>
        </w:rPr>
        <w:t xml:space="preserve">only been </w:t>
      </w:r>
      <w:r w:rsidRPr="004C5271">
        <w:rPr>
          <w:rFonts w:asciiTheme="majorBidi" w:hAnsiTheme="majorBidi" w:cstheme="majorBidi"/>
          <w:lang w:val="en-AU"/>
        </w:rPr>
        <w:t xml:space="preserve">enacted </w:t>
      </w:r>
      <w:r w:rsidR="00086910" w:rsidRPr="004C5271">
        <w:rPr>
          <w:rFonts w:asciiTheme="majorBidi" w:hAnsiTheme="majorBidi" w:cstheme="majorBidi"/>
          <w:lang w:val="en-AU"/>
        </w:rPr>
        <w:t xml:space="preserve">to </w:t>
      </w:r>
      <w:r w:rsidRPr="004C5271">
        <w:rPr>
          <w:rFonts w:asciiTheme="majorBidi" w:hAnsiTheme="majorBidi" w:cstheme="majorBidi"/>
          <w:lang w:val="en-AU"/>
        </w:rPr>
        <w:t>their full effect</w:t>
      </w:r>
      <w:r w:rsidR="00086910" w:rsidRPr="004C5271">
        <w:rPr>
          <w:rFonts w:asciiTheme="majorBidi" w:hAnsiTheme="majorBidi" w:cstheme="majorBidi"/>
          <w:lang w:val="en-AU"/>
        </w:rPr>
        <w:t xml:space="preserve"> in one jurisdiction</w:t>
      </w:r>
      <w:r w:rsidRPr="004C5271">
        <w:rPr>
          <w:rFonts w:asciiTheme="majorBidi" w:hAnsiTheme="majorBidi" w:cstheme="majorBidi"/>
          <w:lang w:val="en-AU"/>
        </w:rPr>
        <w:t>. Subsequent recommendations proposing narrower notional estate-style provisions to those contained in the Uniform Act have not been enacted</w:t>
      </w:r>
      <w:r w:rsidR="00086910" w:rsidRPr="004C5271">
        <w:rPr>
          <w:rFonts w:asciiTheme="majorBidi" w:hAnsiTheme="majorBidi" w:cstheme="majorBidi"/>
          <w:lang w:val="en-AU"/>
        </w:rPr>
        <w:t xml:space="preserve"> in those jurisdictions where recommendations have been made</w:t>
      </w:r>
      <w:r w:rsidRPr="004C5271">
        <w:rPr>
          <w:rFonts w:asciiTheme="majorBidi" w:hAnsiTheme="majorBidi" w:cstheme="majorBidi"/>
          <w:lang w:val="en-AU"/>
        </w:rPr>
        <w:t xml:space="preserve">. </w:t>
      </w:r>
    </w:p>
    <w:p w14:paraId="54F22607" w14:textId="0064F11F" w:rsidR="0012248F" w:rsidRPr="004C5271" w:rsidRDefault="0012248F" w:rsidP="0012248F">
      <w:pPr>
        <w:pStyle w:val="NumberedHeadingTLRI"/>
        <w:rPr>
          <w:rFonts w:asciiTheme="majorBidi" w:hAnsiTheme="majorBidi" w:cstheme="majorBidi"/>
          <w:lang w:val="en-AU"/>
        </w:rPr>
      </w:pPr>
      <w:bookmarkStart w:id="81" w:name="_Toc12268950"/>
      <w:r w:rsidRPr="004C5271">
        <w:rPr>
          <w:rFonts w:asciiTheme="majorBidi" w:hAnsiTheme="majorBidi" w:cstheme="majorBidi"/>
          <w:lang w:val="en-AU"/>
        </w:rPr>
        <w:t>New Zealand</w:t>
      </w:r>
      <w:bookmarkEnd w:id="81"/>
    </w:p>
    <w:p w14:paraId="04C44D7A" w14:textId="00E96F7B"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New Zealand </w:t>
      </w:r>
      <w:r w:rsidR="00086910" w:rsidRPr="004C5271">
        <w:rPr>
          <w:rFonts w:asciiTheme="majorBidi" w:hAnsiTheme="majorBidi" w:cstheme="majorBidi"/>
          <w:lang w:val="en-AU"/>
        </w:rPr>
        <w:t xml:space="preserve">has </w:t>
      </w:r>
      <w:r w:rsidRPr="004C5271">
        <w:rPr>
          <w:rFonts w:asciiTheme="majorBidi" w:hAnsiTheme="majorBidi" w:cstheme="majorBidi"/>
          <w:lang w:val="en-AU"/>
        </w:rPr>
        <w:t>also examined the utility of notional estate laws in a review completed by the New Zealand Law Commission (‘NZLC’).</w:t>
      </w:r>
      <w:bookmarkStart w:id="82" w:name="_Ref13079633"/>
      <w:r w:rsidRPr="004C5271">
        <w:rPr>
          <w:rStyle w:val="FootnoteReference"/>
          <w:rFonts w:asciiTheme="majorBidi" w:hAnsiTheme="majorBidi" w:cstheme="majorBidi"/>
          <w:lang w:val="en-AU"/>
        </w:rPr>
        <w:footnoteReference w:id="151"/>
      </w:r>
      <w:bookmarkEnd w:id="82"/>
      <w:r w:rsidRPr="004C5271">
        <w:rPr>
          <w:rFonts w:asciiTheme="majorBidi" w:hAnsiTheme="majorBidi" w:cstheme="majorBidi"/>
          <w:lang w:val="en-AU"/>
        </w:rPr>
        <w:t xml:space="preserve"> It released its final report in the same year that the National Committee </w:t>
      </w:r>
      <w:r w:rsidR="008347B7" w:rsidRPr="004C5271">
        <w:rPr>
          <w:rFonts w:asciiTheme="majorBidi" w:hAnsiTheme="majorBidi" w:cstheme="majorBidi"/>
          <w:lang w:val="en-AU"/>
        </w:rPr>
        <w:t xml:space="preserve">for Uniform Succession Laws </w:t>
      </w:r>
      <w:r w:rsidRPr="004C5271">
        <w:rPr>
          <w:rFonts w:asciiTheme="majorBidi" w:hAnsiTheme="majorBidi" w:cstheme="majorBidi"/>
          <w:lang w:val="en-AU"/>
        </w:rPr>
        <w:t>proposed</w:t>
      </w:r>
      <w:r w:rsidR="00D166A4" w:rsidRPr="004C5271">
        <w:rPr>
          <w:rFonts w:asciiTheme="majorBidi" w:hAnsiTheme="majorBidi" w:cstheme="majorBidi"/>
          <w:lang w:val="en-AU"/>
        </w:rPr>
        <w:t xml:space="preserve"> a</w:t>
      </w:r>
      <w:r w:rsidRPr="004C5271">
        <w:rPr>
          <w:rFonts w:asciiTheme="majorBidi" w:hAnsiTheme="majorBidi" w:cstheme="majorBidi"/>
          <w:lang w:val="en-AU"/>
        </w:rPr>
        <w:t xml:space="preserve"> roll out of notional estate provisions across Australia.</w:t>
      </w:r>
      <w:r w:rsidR="008347B7" w:rsidRPr="004C5271">
        <w:rPr>
          <w:rStyle w:val="FootnoteReference"/>
          <w:rFonts w:asciiTheme="majorBidi" w:hAnsiTheme="majorBidi" w:cstheme="majorBidi"/>
          <w:lang w:val="en-AU"/>
        </w:rPr>
        <w:footnoteReference w:id="152"/>
      </w:r>
      <w:r w:rsidRPr="004C5271">
        <w:rPr>
          <w:rFonts w:asciiTheme="majorBidi" w:hAnsiTheme="majorBidi" w:cstheme="majorBidi"/>
          <w:lang w:val="en-AU"/>
        </w:rPr>
        <w:t xml:space="preserve"> It too endorsed introduction of similar provisions for New Zealand. </w:t>
      </w:r>
    </w:p>
    <w:p w14:paraId="79DCE6A2" w14:textId="5CCFD29F"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In its preliminary paper, the NZLC observed that </w:t>
      </w:r>
      <w:r w:rsidR="00B76977" w:rsidRPr="004C5271">
        <w:rPr>
          <w:rFonts w:asciiTheme="majorBidi" w:hAnsiTheme="majorBidi" w:cstheme="majorBidi"/>
          <w:lang w:val="en-AU"/>
        </w:rPr>
        <w:t xml:space="preserve">art </w:t>
      </w:r>
      <w:r w:rsidRPr="004C5271">
        <w:rPr>
          <w:rFonts w:asciiTheme="majorBidi" w:hAnsiTheme="majorBidi" w:cstheme="majorBidi"/>
          <w:lang w:val="en-AU"/>
        </w:rPr>
        <w:t xml:space="preserve">17 of the </w:t>
      </w:r>
      <w:r w:rsidRPr="004C5271">
        <w:rPr>
          <w:rFonts w:asciiTheme="majorBidi" w:hAnsiTheme="majorBidi" w:cstheme="majorBidi"/>
          <w:i/>
          <w:iCs/>
          <w:lang w:val="en-AU"/>
        </w:rPr>
        <w:t>International Covenant on Civil and Political Rights</w:t>
      </w:r>
      <w:r w:rsidRPr="004C5271">
        <w:rPr>
          <w:rFonts w:asciiTheme="majorBidi" w:hAnsiTheme="majorBidi" w:cstheme="majorBidi"/>
          <w:lang w:val="en-AU"/>
        </w:rPr>
        <w:t xml:space="preserve"> confirms the right to freedom from arbitrary interference with privacy, home and correspondence and stated that succession laws should protect this right.</w:t>
      </w:r>
      <w:bookmarkStart w:id="83" w:name="_Ref13331237"/>
      <w:r w:rsidRPr="004C5271">
        <w:rPr>
          <w:rStyle w:val="FootnoteReference"/>
          <w:rFonts w:asciiTheme="majorBidi" w:hAnsiTheme="majorBidi" w:cstheme="majorBidi"/>
        </w:rPr>
        <w:footnoteReference w:id="153"/>
      </w:r>
      <w:bookmarkEnd w:id="83"/>
      <w:r w:rsidRPr="004C5271">
        <w:rPr>
          <w:rFonts w:asciiTheme="majorBidi" w:hAnsiTheme="majorBidi" w:cstheme="majorBidi"/>
          <w:lang w:val="en-AU"/>
        </w:rPr>
        <w:t xml:space="preserve"> </w:t>
      </w:r>
      <w:r w:rsidR="008347B7" w:rsidRPr="004C5271">
        <w:rPr>
          <w:rFonts w:asciiTheme="majorBidi" w:hAnsiTheme="majorBidi" w:cstheme="majorBidi"/>
          <w:lang w:val="en-AU"/>
        </w:rPr>
        <w:t>It</w:t>
      </w:r>
      <w:r w:rsidRPr="004C5271">
        <w:rPr>
          <w:rFonts w:asciiTheme="majorBidi" w:hAnsiTheme="majorBidi" w:cstheme="majorBidi"/>
          <w:lang w:val="en-AU"/>
        </w:rPr>
        <w:t xml:space="preserve"> also noted, however, that </w:t>
      </w:r>
      <w:r w:rsidR="00B76977" w:rsidRPr="004C5271">
        <w:rPr>
          <w:rFonts w:asciiTheme="majorBidi" w:hAnsiTheme="majorBidi" w:cstheme="majorBidi"/>
          <w:lang w:val="en-AU"/>
        </w:rPr>
        <w:t>s</w:t>
      </w:r>
      <w:r w:rsidRPr="004C5271">
        <w:rPr>
          <w:rFonts w:asciiTheme="majorBidi" w:hAnsiTheme="majorBidi" w:cstheme="majorBidi"/>
          <w:lang w:val="en-AU"/>
        </w:rPr>
        <w:t xml:space="preserve">tates also have other obligations under other international human rights laws including the </w:t>
      </w:r>
      <w:r w:rsidRPr="004C5271">
        <w:rPr>
          <w:rFonts w:asciiTheme="majorBidi" w:hAnsiTheme="majorBidi" w:cstheme="majorBidi"/>
          <w:i/>
          <w:iCs/>
          <w:lang w:val="en-AU"/>
        </w:rPr>
        <w:t>International Convention on the Elimination of All Forms of Discrimination against Women</w:t>
      </w:r>
      <w:r w:rsidRPr="004C5271">
        <w:rPr>
          <w:rFonts w:asciiTheme="majorBidi" w:hAnsiTheme="majorBidi" w:cstheme="majorBidi"/>
          <w:lang w:val="en-AU"/>
        </w:rPr>
        <w:t xml:space="preserve"> and the United Nations </w:t>
      </w:r>
      <w:r w:rsidRPr="004C5271">
        <w:rPr>
          <w:rFonts w:asciiTheme="majorBidi" w:hAnsiTheme="majorBidi" w:cstheme="majorBidi"/>
          <w:i/>
          <w:iCs/>
          <w:lang w:val="en-AU"/>
        </w:rPr>
        <w:t>Convention on the Rights of the Child</w:t>
      </w:r>
      <w:r w:rsidRPr="004C5271">
        <w:rPr>
          <w:rFonts w:asciiTheme="majorBidi" w:hAnsiTheme="majorBidi" w:cstheme="majorBidi"/>
          <w:lang w:val="en-AU"/>
        </w:rPr>
        <w:t>.</w:t>
      </w:r>
      <w:r w:rsidRPr="004C5271">
        <w:rPr>
          <w:rStyle w:val="FootnoteReference"/>
          <w:rFonts w:asciiTheme="majorBidi" w:hAnsiTheme="majorBidi" w:cstheme="majorBidi"/>
        </w:rPr>
        <w:footnoteReference w:id="154"/>
      </w:r>
    </w:p>
    <w:p w14:paraId="2A88C03A" w14:textId="7CAA6472"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Initially, the NZLC had proposed that an administrator have the ability to require non-probate assets to bear part of the burden of a </w:t>
      </w:r>
      <w:r w:rsidR="008347B7" w:rsidRPr="004C5271">
        <w:rPr>
          <w:rFonts w:asciiTheme="majorBidi" w:hAnsiTheme="majorBidi" w:cstheme="majorBidi"/>
          <w:lang w:val="en-AU"/>
        </w:rPr>
        <w:t xml:space="preserve">family provision </w:t>
      </w:r>
      <w:r w:rsidRPr="004C5271">
        <w:rPr>
          <w:rFonts w:asciiTheme="majorBidi" w:hAnsiTheme="majorBidi" w:cstheme="majorBidi"/>
          <w:lang w:val="en-AU"/>
        </w:rPr>
        <w:t xml:space="preserve">claim where they are of the opinion that </w:t>
      </w:r>
      <w:r w:rsidR="00DC49D8" w:rsidRPr="004C5271">
        <w:rPr>
          <w:rFonts w:asciiTheme="majorBidi" w:hAnsiTheme="majorBidi" w:cstheme="majorBidi"/>
          <w:lang w:val="en-AU"/>
        </w:rPr>
        <w:t>‘</w:t>
      </w:r>
      <w:r w:rsidRPr="004C5271">
        <w:rPr>
          <w:rFonts w:asciiTheme="majorBidi" w:hAnsiTheme="majorBidi" w:cstheme="majorBidi"/>
          <w:lang w:val="en-AU"/>
        </w:rPr>
        <w:t>so much of the estate of a deceased person as is disposed of by will or intestacy is significantly affected by a claim.</w:t>
      </w:r>
      <w:r w:rsidR="00DC49D8" w:rsidRPr="004C5271">
        <w:rPr>
          <w:rFonts w:asciiTheme="majorBidi" w:hAnsiTheme="majorBidi" w:cstheme="majorBidi"/>
          <w:lang w:val="en-AU"/>
        </w:rPr>
        <w:t>’</w:t>
      </w:r>
      <w:r w:rsidRPr="004C5271">
        <w:rPr>
          <w:rStyle w:val="FootnoteReference"/>
          <w:rFonts w:asciiTheme="majorBidi" w:hAnsiTheme="majorBidi" w:cstheme="majorBidi"/>
        </w:rPr>
        <w:footnoteReference w:id="155"/>
      </w:r>
      <w:r w:rsidRPr="004C5271">
        <w:rPr>
          <w:rFonts w:asciiTheme="majorBidi" w:hAnsiTheme="majorBidi" w:cstheme="majorBidi"/>
          <w:vertAlign w:val="superscript"/>
          <w:lang w:val="en-AU"/>
        </w:rPr>
        <w:t xml:space="preserve"> </w:t>
      </w:r>
      <w:r w:rsidRPr="004C5271">
        <w:rPr>
          <w:rFonts w:asciiTheme="majorBidi" w:hAnsiTheme="majorBidi" w:cstheme="majorBidi"/>
          <w:lang w:val="en-AU"/>
        </w:rPr>
        <w:t>It proposed that beneficiaries have the right to appeal an administrator’s decision.</w:t>
      </w:r>
      <w:r w:rsidRPr="004C5271">
        <w:rPr>
          <w:rStyle w:val="FootnoteReference"/>
          <w:rFonts w:asciiTheme="majorBidi" w:hAnsiTheme="majorBidi" w:cstheme="majorBidi"/>
        </w:rPr>
        <w:footnoteReference w:id="156"/>
      </w:r>
    </w:p>
    <w:p w14:paraId="5B432FC9" w14:textId="0D36CA70"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 xml:space="preserve">The NZLC further proposed that claimants have the right to apply to the court for non-probate assets to be called in. It suggested that this should include gifts and transactions made for less than full consideration, if made within three years of death, and transactions </w:t>
      </w:r>
      <w:proofErr w:type="gramStart"/>
      <w:r w:rsidRPr="004C5271">
        <w:rPr>
          <w:rFonts w:asciiTheme="majorBidi" w:hAnsiTheme="majorBidi" w:cstheme="majorBidi"/>
          <w:lang w:val="en-AU"/>
        </w:rPr>
        <w:t>entered into</w:t>
      </w:r>
      <w:proofErr w:type="gramEnd"/>
      <w:r w:rsidRPr="004C5271">
        <w:rPr>
          <w:rFonts w:asciiTheme="majorBidi" w:hAnsiTheme="majorBidi" w:cstheme="majorBidi"/>
          <w:lang w:val="en-AU"/>
        </w:rPr>
        <w:t xml:space="preserve"> with the fraudulent intention of removing property from challenge (without time limit).</w:t>
      </w:r>
      <w:r w:rsidRPr="004C5271">
        <w:rPr>
          <w:rStyle w:val="FootnoteReference"/>
          <w:rFonts w:asciiTheme="majorBidi" w:hAnsiTheme="majorBidi" w:cstheme="majorBidi"/>
        </w:rPr>
        <w:footnoteReference w:id="157"/>
      </w:r>
      <w:r w:rsidRPr="004C5271">
        <w:rPr>
          <w:rFonts w:asciiTheme="majorBidi" w:hAnsiTheme="majorBidi" w:cstheme="majorBidi"/>
          <w:lang w:val="en-AU"/>
        </w:rPr>
        <w:t xml:space="preserve"> </w:t>
      </w:r>
    </w:p>
    <w:p w14:paraId="3B8D0D22" w14:textId="2BCFFA13"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Following community consultation, the NZLC recommended that non-probate assets be available to satisfy claims, so long as the holder of that property is a party to the proceedings.</w:t>
      </w:r>
      <w:r w:rsidRPr="004C5271">
        <w:rPr>
          <w:rStyle w:val="FootnoteReference"/>
          <w:rFonts w:asciiTheme="majorBidi" w:hAnsiTheme="majorBidi" w:cstheme="majorBidi"/>
        </w:rPr>
        <w:footnoteReference w:id="158"/>
      </w:r>
      <w:r w:rsidRPr="004C5271">
        <w:rPr>
          <w:rFonts w:asciiTheme="majorBidi" w:hAnsiTheme="majorBidi" w:cstheme="majorBidi"/>
          <w:lang w:val="en-AU"/>
        </w:rPr>
        <w:t xml:space="preserve"> </w:t>
      </w:r>
      <w:r w:rsidR="00DC49D8" w:rsidRPr="004C5271">
        <w:rPr>
          <w:rFonts w:asciiTheme="majorBidi" w:hAnsiTheme="majorBidi" w:cstheme="majorBidi"/>
          <w:lang w:val="en-AU"/>
        </w:rPr>
        <w:t xml:space="preserve">The Commission </w:t>
      </w:r>
      <w:r w:rsidRPr="004C5271">
        <w:rPr>
          <w:rFonts w:asciiTheme="majorBidi" w:hAnsiTheme="majorBidi" w:cstheme="majorBidi"/>
          <w:lang w:val="en-AU"/>
        </w:rPr>
        <w:t>argued for this approach on the basis that</w:t>
      </w:r>
      <w:r w:rsidR="001B065B" w:rsidRPr="004C5271">
        <w:rPr>
          <w:rFonts w:asciiTheme="majorBidi" w:hAnsiTheme="majorBidi" w:cstheme="majorBidi"/>
          <w:lang w:val="en-AU"/>
        </w:rPr>
        <w:t>,</w:t>
      </w:r>
      <w:r w:rsidRPr="004C5271">
        <w:rPr>
          <w:rFonts w:asciiTheme="majorBidi" w:hAnsiTheme="majorBidi" w:cstheme="majorBidi"/>
          <w:lang w:val="en-AU"/>
        </w:rPr>
        <w:t xml:space="preserve"> </w:t>
      </w:r>
    </w:p>
    <w:p w14:paraId="2D3DA666" w14:textId="77777777" w:rsidR="0012248F" w:rsidRPr="004C5271" w:rsidRDefault="0012248F" w:rsidP="002D2764">
      <w:pPr>
        <w:pStyle w:val="QuoteTLRI"/>
        <w:rPr>
          <w:rFonts w:asciiTheme="majorBidi" w:hAnsiTheme="majorBidi" w:cstheme="majorBidi"/>
        </w:rPr>
      </w:pPr>
      <w:r w:rsidRPr="004C5271">
        <w:rPr>
          <w:rFonts w:asciiTheme="majorBidi" w:hAnsiTheme="majorBidi" w:cstheme="majorBidi"/>
        </w:rPr>
        <w:t xml:space="preserve">This is required in fairness to claimants, since the will-maker’s obligations apply irrespective of the technical arrangements used </w:t>
      </w:r>
      <w:r w:rsidRPr="004C5271">
        <w:rPr>
          <w:rFonts w:asciiTheme="majorBidi" w:hAnsiTheme="majorBidi" w:cstheme="majorBidi"/>
        </w:rPr>
        <w:lastRenderedPageBreak/>
        <w:t>to dispose of property upon death. It is also required in fairness to the will or intestate beneficiaries, who may otherwise bear a disproportionate burden which cannot be passed on to the successors to the non-probate assets.</w:t>
      </w:r>
      <w:r w:rsidRPr="004C5271">
        <w:rPr>
          <w:rStyle w:val="FootnoteReference"/>
          <w:rFonts w:asciiTheme="majorBidi" w:eastAsia="Times New Roman" w:hAnsiTheme="majorBidi" w:cstheme="majorBidi"/>
          <w:color w:val="333333"/>
        </w:rPr>
        <w:footnoteReference w:id="159"/>
      </w:r>
      <w:r w:rsidRPr="004C5271">
        <w:rPr>
          <w:rFonts w:asciiTheme="majorBidi" w:hAnsiTheme="majorBidi" w:cstheme="majorBidi"/>
        </w:rPr>
        <w:t xml:space="preserve"> </w:t>
      </w:r>
    </w:p>
    <w:p w14:paraId="312550C0" w14:textId="77777777"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It drafted separate sections dealing with:</w:t>
      </w:r>
    </w:p>
    <w:p w14:paraId="7F97AA57" w14:textId="4E183658" w:rsidR="0012248F" w:rsidRPr="004C5271" w:rsidRDefault="0012248F" w:rsidP="0012248F">
      <w:pPr>
        <w:pStyle w:val="DotPointTLRI"/>
        <w:rPr>
          <w:rFonts w:asciiTheme="majorBidi" w:hAnsiTheme="majorBidi" w:cstheme="majorBidi"/>
          <w:lang w:val="en-AU"/>
        </w:rPr>
      </w:pPr>
      <w:r w:rsidRPr="004C5271">
        <w:rPr>
          <w:rFonts w:asciiTheme="majorBidi" w:hAnsiTheme="majorBidi" w:cstheme="majorBidi"/>
          <w:lang w:val="en-AU"/>
        </w:rPr>
        <w:t xml:space="preserve">assets disposed of otherwise than by will </w:t>
      </w:r>
      <w:r w:rsidR="002D2764" w:rsidRPr="004C5271">
        <w:rPr>
          <w:rFonts w:asciiTheme="majorBidi" w:hAnsiTheme="majorBidi" w:cstheme="majorBidi"/>
          <w:lang w:val="en-AU"/>
        </w:rPr>
        <w:t>—</w:t>
      </w:r>
      <w:r w:rsidRPr="004C5271">
        <w:rPr>
          <w:rFonts w:asciiTheme="majorBidi" w:hAnsiTheme="majorBidi" w:cstheme="majorBidi"/>
          <w:lang w:val="en-AU"/>
        </w:rPr>
        <w:t xml:space="preserve"> for example trust assets and joint tenancy properties;</w:t>
      </w:r>
      <w:r w:rsidRPr="004C5271">
        <w:rPr>
          <w:rStyle w:val="FootnoteReference"/>
          <w:rFonts w:asciiTheme="majorBidi" w:hAnsiTheme="majorBidi" w:cstheme="majorBidi"/>
        </w:rPr>
        <w:footnoteReference w:id="160"/>
      </w:r>
      <w:r w:rsidRPr="004C5271">
        <w:rPr>
          <w:rFonts w:asciiTheme="majorBidi" w:hAnsiTheme="majorBidi" w:cstheme="majorBidi"/>
          <w:lang w:val="en-AU"/>
        </w:rPr>
        <w:t xml:space="preserve"> </w:t>
      </w:r>
    </w:p>
    <w:p w14:paraId="786ECE94" w14:textId="61EE1871" w:rsidR="0012248F" w:rsidRPr="004C5271" w:rsidRDefault="0012248F" w:rsidP="0012248F">
      <w:pPr>
        <w:pStyle w:val="DotPointTLRI"/>
        <w:rPr>
          <w:rFonts w:asciiTheme="majorBidi" w:hAnsiTheme="majorBidi" w:cstheme="majorBidi"/>
          <w:lang w:val="en-AU"/>
        </w:rPr>
      </w:pPr>
      <w:r w:rsidRPr="004C5271">
        <w:rPr>
          <w:rFonts w:asciiTheme="majorBidi" w:hAnsiTheme="majorBidi" w:cstheme="majorBidi"/>
          <w:lang w:val="en-AU"/>
        </w:rPr>
        <w:t xml:space="preserve">transactions that a deceased </w:t>
      </w:r>
      <w:proofErr w:type="gramStart"/>
      <w:r w:rsidRPr="004C5271">
        <w:rPr>
          <w:rFonts w:asciiTheme="majorBidi" w:hAnsiTheme="majorBidi" w:cstheme="majorBidi"/>
          <w:lang w:val="en-AU"/>
        </w:rPr>
        <w:t>entered into</w:t>
      </w:r>
      <w:proofErr w:type="gramEnd"/>
      <w:r w:rsidRPr="004C5271">
        <w:rPr>
          <w:rFonts w:asciiTheme="majorBidi" w:hAnsiTheme="majorBidi" w:cstheme="majorBidi"/>
          <w:lang w:val="en-AU"/>
        </w:rPr>
        <w:t xml:space="preserve"> prior to death with the intention of prejudicing claimants;</w:t>
      </w:r>
      <w:r w:rsidRPr="004C5271">
        <w:rPr>
          <w:rStyle w:val="FootnoteReference"/>
          <w:rFonts w:asciiTheme="majorBidi" w:hAnsiTheme="majorBidi" w:cstheme="majorBidi"/>
        </w:rPr>
        <w:footnoteReference w:id="161"/>
      </w:r>
      <w:r w:rsidRPr="004C5271">
        <w:rPr>
          <w:rFonts w:asciiTheme="majorBidi" w:hAnsiTheme="majorBidi" w:cstheme="majorBidi"/>
          <w:lang w:val="en-AU"/>
        </w:rPr>
        <w:t xml:space="preserve"> and</w:t>
      </w:r>
    </w:p>
    <w:p w14:paraId="4DF7F116" w14:textId="65877352" w:rsidR="0012248F" w:rsidRPr="004C5271" w:rsidRDefault="0012248F" w:rsidP="0012248F">
      <w:pPr>
        <w:pStyle w:val="DotPointTLRI"/>
        <w:rPr>
          <w:rFonts w:asciiTheme="majorBidi" w:hAnsiTheme="majorBidi" w:cstheme="majorBidi"/>
          <w:lang w:val="en-AU"/>
        </w:rPr>
      </w:pPr>
      <w:r w:rsidRPr="004C5271">
        <w:rPr>
          <w:rFonts w:asciiTheme="majorBidi" w:hAnsiTheme="majorBidi" w:cstheme="majorBidi"/>
          <w:lang w:val="en-AU"/>
        </w:rPr>
        <w:t xml:space="preserve">transfers made less than </w:t>
      </w:r>
      <w:r w:rsidR="002D2764" w:rsidRPr="004C5271">
        <w:rPr>
          <w:rFonts w:asciiTheme="majorBidi" w:hAnsiTheme="majorBidi" w:cstheme="majorBidi"/>
          <w:lang w:val="en-AU"/>
        </w:rPr>
        <w:t>three</w:t>
      </w:r>
      <w:r w:rsidRPr="004C5271">
        <w:rPr>
          <w:rFonts w:asciiTheme="majorBidi" w:hAnsiTheme="majorBidi" w:cstheme="majorBidi"/>
          <w:lang w:val="en-AU"/>
        </w:rPr>
        <w:t xml:space="preserve"> years before death where full valuable consideration was not given.</w:t>
      </w:r>
      <w:r w:rsidRPr="004C5271">
        <w:rPr>
          <w:rStyle w:val="FootnoteReference"/>
          <w:rFonts w:asciiTheme="majorBidi" w:hAnsiTheme="majorBidi" w:cstheme="majorBidi"/>
        </w:rPr>
        <w:footnoteReference w:id="162"/>
      </w:r>
    </w:p>
    <w:p w14:paraId="3BE8B36E" w14:textId="702D18FE" w:rsidR="0012248F"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The draft provisions put the onus upon a person who acquired property to prove that they acquired it for valuable consideration and in good faith.</w:t>
      </w:r>
      <w:r w:rsidRPr="004C5271">
        <w:rPr>
          <w:rStyle w:val="FootnoteReference"/>
          <w:rFonts w:asciiTheme="majorBidi" w:eastAsia="Times New Roman" w:hAnsiTheme="majorBidi" w:cstheme="majorBidi"/>
          <w:szCs w:val="24"/>
          <w:lang w:val="en-US"/>
        </w:rPr>
        <w:footnoteReference w:id="163"/>
      </w:r>
    </w:p>
    <w:p w14:paraId="17E12366" w14:textId="565A8AB1" w:rsidR="00861873" w:rsidRPr="004C5271" w:rsidRDefault="0012248F" w:rsidP="0012248F">
      <w:pPr>
        <w:pStyle w:val="NormalNumberedTextTLRI"/>
        <w:rPr>
          <w:rFonts w:asciiTheme="majorBidi" w:hAnsiTheme="majorBidi" w:cstheme="majorBidi"/>
          <w:lang w:val="en-AU"/>
        </w:rPr>
      </w:pPr>
      <w:r w:rsidRPr="004C5271">
        <w:rPr>
          <w:rFonts w:asciiTheme="majorBidi" w:hAnsiTheme="majorBidi" w:cstheme="majorBidi"/>
          <w:lang w:val="en-AU"/>
        </w:rPr>
        <w:t>The NZLC’s recommendations</w:t>
      </w:r>
      <w:r w:rsidR="00E7722C" w:rsidRPr="004C5271">
        <w:rPr>
          <w:rFonts w:asciiTheme="majorBidi" w:hAnsiTheme="majorBidi" w:cstheme="majorBidi"/>
          <w:lang w:val="en-AU"/>
        </w:rPr>
        <w:t xml:space="preserve"> relating to the inclusion of notional estate</w:t>
      </w:r>
      <w:r w:rsidRPr="004C5271">
        <w:rPr>
          <w:rFonts w:asciiTheme="majorBidi" w:hAnsiTheme="majorBidi" w:cstheme="majorBidi"/>
          <w:lang w:val="en-AU"/>
        </w:rPr>
        <w:t xml:space="preserve"> are yet to be enacted,</w:t>
      </w:r>
      <w:r w:rsidRPr="004C5271">
        <w:rPr>
          <w:rStyle w:val="FootnoteReference"/>
          <w:rFonts w:asciiTheme="majorBidi" w:hAnsiTheme="majorBidi" w:cstheme="majorBidi"/>
          <w:lang w:val="en-AU"/>
        </w:rPr>
        <w:footnoteReference w:id="164"/>
      </w:r>
      <w:r w:rsidRPr="004C5271">
        <w:rPr>
          <w:rFonts w:asciiTheme="majorBidi" w:hAnsiTheme="majorBidi" w:cstheme="majorBidi"/>
          <w:lang w:val="en-AU"/>
        </w:rPr>
        <w:t xml:space="preserve"> while recommendations made in the NZLC’s report</w:t>
      </w:r>
      <w:r w:rsidR="00E7722C" w:rsidRPr="004C5271">
        <w:rPr>
          <w:rFonts w:asciiTheme="majorBidi" w:hAnsiTheme="majorBidi" w:cstheme="majorBidi"/>
          <w:lang w:val="en-AU"/>
        </w:rPr>
        <w:t>s</w:t>
      </w:r>
      <w:r w:rsidRPr="004C5271">
        <w:rPr>
          <w:rFonts w:asciiTheme="majorBidi" w:hAnsiTheme="majorBidi" w:cstheme="majorBidi"/>
          <w:lang w:val="en-AU"/>
        </w:rPr>
        <w:t xml:space="preserve"> </w:t>
      </w:r>
      <w:r w:rsidR="00E7722C" w:rsidRPr="004C5271">
        <w:rPr>
          <w:rFonts w:asciiTheme="majorBidi" w:hAnsiTheme="majorBidi" w:cstheme="majorBidi"/>
          <w:lang w:val="en-AU"/>
        </w:rPr>
        <w:t>relating to other matters, including forfeiture,</w:t>
      </w:r>
      <w:r w:rsidR="00E7722C" w:rsidRPr="004C5271">
        <w:rPr>
          <w:rStyle w:val="FootnoteReference"/>
          <w:rFonts w:asciiTheme="majorBidi" w:hAnsiTheme="majorBidi" w:cstheme="majorBidi"/>
          <w:lang w:val="en-AU"/>
        </w:rPr>
        <w:footnoteReference w:id="165"/>
      </w:r>
      <w:r w:rsidR="00E7722C" w:rsidRPr="004C5271">
        <w:rPr>
          <w:rFonts w:asciiTheme="majorBidi" w:hAnsiTheme="majorBidi" w:cstheme="majorBidi"/>
          <w:lang w:val="en-AU"/>
        </w:rPr>
        <w:t xml:space="preserve"> financial agreements</w:t>
      </w:r>
      <w:r w:rsidR="00E7722C" w:rsidRPr="004C5271">
        <w:rPr>
          <w:rStyle w:val="FootnoteReference"/>
          <w:rFonts w:asciiTheme="majorBidi" w:hAnsiTheme="majorBidi" w:cstheme="majorBidi"/>
          <w:lang w:val="en-AU"/>
        </w:rPr>
        <w:footnoteReference w:id="166"/>
      </w:r>
      <w:r w:rsidR="00E7722C" w:rsidRPr="004C5271">
        <w:rPr>
          <w:rFonts w:asciiTheme="majorBidi" w:hAnsiTheme="majorBidi" w:cstheme="majorBidi"/>
          <w:lang w:val="en-AU"/>
        </w:rPr>
        <w:t xml:space="preserve"> and formal requirements for wills</w:t>
      </w:r>
      <w:r w:rsidR="00E7722C" w:rsidRPr="004C5271">
        <w:rPr>
          <w:rStyle w:val="FootnoteReference"/>
          <w:rFonts w:asciiTheme="majorBidi" w:hAnsiTheme="majorBidi" w:cstheme="majorBidi"/>
          <w:lang w:val="en-AU"/>
        </w:rPr>
        <w:footnoteReference w:id="167"/>
      </w:r>
      <w:r w:rsidR="00E7722C" w:rsidRPr="004C5271">
        <w:rPr>
          <w:rFonts w:asciiTheme="majorBidi" w:hAnsiTheme="majorBidi" w:cstheme="majorBidi"/>
          <w:lang w:val="en-AU"/>
        </w:rPr>
        <w:t xml:space="preserve"> </w:t>
      </w:r>
      <w:r w:rsidRPr="004C5271">
        <w:rPr>
          <w:rFonts w:asciiTheme="majorBidi" w:hAnsiTheme="majorBidi" w:cstheme="majorBidi"/>
          <w:lang w:val="en-AU"/>
        </w:rPr>
        <w:t>have been adopted.</w:t>
      </w:r>
      <w:r w:rsidR="005F44C7" w:rsidRPr="004C5271">
        <w:rPr>
          <w:rStyle w:val="FootnoteReference"/>
          <w:rFonts w:asciiTheme="majorBidi" w:hAnsiTheme="majorBidi" w:cstheme="majorBidi"/>
          <w:lang w:val="en-AU"/>
        </w:rPr>
        <w:footnoteReference w:id="168"/>
      </w:r>
    </w:p>
    <w:p w14:paraId="7120B500" w14:textId="60E24088" w:rsidR="00BA269E" w:rsidRPr="004C5271" w:rsidRDefault="00861873" w:rsidP="00BA269E">
      <w:pPr>
        <w:pStyle w:val="NormalNumberedTextTLRI"/>
        <w:rPr>
          <w:rFonts w:asciiTheme="majorBidi" w:hAnsiTheme="majorBidi" w:cstheme="majorBidi"/>
          <w:lang w:val="en-AU"/>
        </w:rPr>
      </w:pPr>
      <w:bookmarkStart w:id="85" w:name="_Ref13487905"/>
      <w:r w:rsidRPr="004C5271">
        <w:rPr>
          <w:rFonts w:asciiTheme="majorBidi" w:hAnsiTheme="majorBidi" w:cstheme="majorBidi"/>
          <w:lang w:val="en-AU"/>
        </w:rPr>
        <w:t xml:space="preserve">Whilst </w:t>
      </w:r>
      <w:r w:rsidR="007A19CD" w:rsidRPr="004C5271">
        <w:rPr>
          <w:rFonts w:asciiTheme="majorBidi" w:hAnsiTheme="majorBidi" w:cstheme="majorBidi"/>
          <w:lang w:val="en-AU"/>
        </w:rPr>
        <w:t xml:space="preserve">there has not been reform to the </w:t>
      </w:r>
      <w:r w:rsidR="007A19CD" w:rsidRPr="004C5271">
        <w:rPr>
          <w:rFonts w:asciiTheme="majorBidi" w:hAnsiTheme="majorBidi" w:cstheme="majorBidi"/>
          <w:i/>
          <w:iCs/>
          <w:lang w:val="en-AU"/>
        </w:rPr>
        <w:t>Family Protection Act</w:t>
      </w:r>
      <w:r w:rsidR="007A19CD" w:rsidRPr="004C5271">
        <w:rPr>
          <w:rFonts w:asciiTheme="majorBidi" w:hAnsiTheme="majorBidi" w:cstheme="majorBidi"/>
          <w:lang w:val="en-AU"/>
        </w:rPr>
        <w:t xml:space="preserve"> to </w:t>
      </w:r>
      <w:r w:rsidR="00C93C95" w:rsidRPr="004C5271">
        <w:rPr>
          <w:rFonts w:asciiTheme="majorBidi" w:hAnsiTheme="majorBidi" w:cstheme="majorBidi"/>
          <w:lang w:val="en-AU"/>
        </w:rPr>
        <w:t xml:space="preserve">cover </w:t>
      </w:r>
      <w:r w:rsidR="007A19CD" w:rsidRPr="004C5271">
        <w:rPr>
          <w:rFonts w:asciiTheme="majorBidi" w:hAnsiTheme="majorBidi" w:cstheme="majorBidi"/>
          <w:lang w:val="en-AU"/>
        </w:rPr>
        <w:t xml:space="preserve">non-estate assets, </w:t>
      </w:r>
      <w:r w:rsidR="003210DA" w:rsidRPr="004C5271">
        <w:rPr>
          <w:rFonts w:asciiTheme="majorBidi" w:hAnsiTheme="majorBidi" w:cstheme="majorBidi"/>
          <w:lang w:val="en-AU"/>
        </w:rPr>
        <w:t>spouses</w:t>
      </w:r>
      <w:r w:rsidR="007A19CD" w:rsidRPr="004C5271">
        <w:rPr>
          <w:rFonts w:asciiTheme="majorBidi" w:hAnsiTheme="majorBidi" w:cstheme="majorBidi"/>
          <w:lang w:val="en-AU"/>
        </w:rPr>
        <w:t xml:space="preserve"> </w:t>
      </w:r>
      <w:r w:rsidR="008347B7" w:rsidRPr="004C5271">
        <w:rPr>
          <w:rFonts w:asciiTheme="majorBidi" w:hAnsiTheme="majorBidi" w:cstheme="majorBidi"/>
          <w:lang w:val="en-AU"/>
        </w:rPr>
        <w:t xml:space="preserve">in New Zealand </w:t>
      </w:r>
      <w:r w:rsidR="00086910" w:rsidRPr="004C5271">
        <w:rPr>
          <w:rFonts w:asciiTheme="majorBidi" w:hAnsiTheme="majorBidi" w:cstheme="majorBidi"/>
          <w:lang w:val="en-AU"/>
        </w:rPr>
        <w:t xml:space="preserve">are able </w:t>
      </w:r>
      <w:r w:rsidR="007A19CD" w:rsidRPr="004C5271">
        <w:rPr>
          <w:rFonts w:asciiTheme="majorBidi" w:hAnsiTheme="majorBidi" w:cstheme="majorBidi"/>
          <w:lang w:val="en-AU"/>
        </w:rPr>
        <w:t xml:space="preserve">to apply for the division of property of </w:t>
      </w:r>
      <w:r w:rsidR="00C93C95" w:rsidRPr="004C5271">
        <w:rPr>
          <w:rFonts w:asciiTheme="majorBidi" w:hAnsiTheme="majorBidi" w:cstheme="majorBidi"/>
          <w:lang w:val="en-AU"/>
        </w:rPr>
        <w:t xml:space="preserve">a </w:t>
      </w:r>
      <w:r w:rsidR="007A19CD" w:rsidRPr="004C5271">
        <w:rPr>
          <w:rFonts w:asciiTheme="majorBidi" w:hAnsiTheme="majorBidi" w:cstheme="majorBidi"/>
          <w:lang w:val="en-AU"/>
        </w:rPr>
        <w:t>relationship</w:t>
      </w:r>
      <w:r w:rsidR="00C93C95" w:rsidRPr="004C5271">
        <w:rPr>
          <w:rFonts w:asciiTheme="majorBidi" w:hAnsiTheme="majorBidi" w:cstheme="majorBidi"/>
          <w:lang w:val="en-AU"/>
        </w:rPr>
        <w:t xml:space="preserve"> after death, including certain non-estate assets,</w:t>
      </w:r>
      <w:r w:rsidR="007A19CD" w:rsidRPr="004C5271">
        <w:rPr>
          <w:rFonts w:asciiTheme="majorBidi" w:hAnsiTheme="majorBidi" w:cstheme="majorBidi"/>
          <w:lang w:val="en-AU"/>
        </w:rPr>
        <w:t xml:space="preserve"> </w:t>
      </w:r>
      <w:r w:rsidR="007A19CD" w:rsidRPr="004C5271">
        <w:rPr>
          <w:rFonts w:asciiTheme="majorBidi" w:hAnsiTheme="majorBidi" w:cstheme="majorBidi"/>
          <w:lang w:val="en-AU"/>
        </w:rPr>
        <w:lastRenderedPageBreak/>
        <w:t xml:space="preserve">under </w:t>
      </w:r>
      <w:r w:rsidR="00086910" w:rsidRPr="004C5271">
        <w:rPr>
          <w:rFonts w:asciiTheme="majorBidi" w:hAnsiTheme="majorBidi" w:cstheme="majorBidi"/>
          <w:lang w:val="en-AU"/>
        </w:rPr>
        <w:t>family law legislation</w:t>
      </w:r>
      <w:r w:rsidR="00C93C95" w:rsidRPr="004C5271">
        <w:rPr>
          <w:rFonts w:asciiTheme="majorBidi" w:hAnsiTheme="majorBidi" w:cstheme="majorBidi"/>
          <w:lang w:val="en-AU"/>
        </w:rPr>
        <w:t xml:space="preserve">. </w:t>
      </w:r>
      <w:r w:rsidR="002F6674" w:rsidRPr="004C5271">
        <w:rPr>
          <w:rFonts w:asciiTheme="majorBidi" w:hAnsiTheme="majorBidi" w:cstheme="majorBidi"/>
          <w:lang w:val="en-AU"/>
        </w:rPr>
        <w:t xml:space="preserve">Consistent with </w:t>
      </w:r>
      <w:r w:rsidR="00086910" w:rsidRPr="004C5271">
        <w:rPr>
          <w:rFonts w:asciiTheme="majorBidi" w:hAnsiTheme="majorBidi" w:cstheme="majorBidi"/>
          <w:lang w:val="en-AU"/>
        </w:rPr>
        <w:t xml:space="preserve">Australian </w:t>
      </w:r>
      <w:r w:rsidR="002F6674" w:rsidRPr="004C5271">
        <w:rPr>
          <w:rFonts w:asciiTheme="majorBidi" w:hAnsiTheme="majorBidi" w:cstheme="majorBidi"/>
          <w:lang w:val="en-AU"/>
        </w:rPr>
        <w:t>family law,</w:t>
      </w:r>
      <w:r w:rsidR="002F6674" w:rsidRPr="004C5271">
        <w:rPr>
          <w:rStyle w:val="FootnoteReference"/>
          <w:rFonts w:asciiTheme="majorBidi" w:hAnsiTheme="majorBidi" w:cstheme="majorBidi"/>
          <w:lang w:val="en-AU"/>
        </w:rPr>
        <w:footnoteReference w:id="169"/>
      </w:r>
      <w:r w:rsidR="002F6674" w:rsidRPr="004C5271">
        <w:rPr>
          <w:rFonts w:asciiTheme="majorBidi" w:hAnsiTheme="majorBidi" w:cstheme="majorBidi"/>
          <w:lang w:val="en-AU"/>
        </w:rPr>
        <w:t xml:space="preserve"> </w:t>
      </w:r>
      <w:r w:rsidR="0079466D" w:rsidRPr="004C5271">
        <w:rPr>
          <w:rFonts w:asciiTheme="majorBidi" w:hAnsiTheme="majorBidi" w:cstheme="majorBidi"/>
          <w:lang w:val="en-AU"/>
        </w:rPr>
        <w:t>th</w:t>
      </w:r>
      <w:r w:rsidR="00684823" w:rsidRPr="004C5271">
        <w:rPr>
          <w:rFonts w:asciiTheme="majorBidi" w:hAnsiTheme="majorBidi" w:cstheme="majorBidi"/>
          <w:lang w:val="en-AU"/>
        </w:rPr>
        <w:t xml:space="preserve">e </w:t>
      </w:r>
      <w:r w:rsidR="00684823" w:rsidRPr="004C5271">
        <w:rPr>
          <w:rFonts w:asciiTheme="majorBidi" w:hAnsiTheme="majorBidi" w:cstheme="majorBidi"/>
          <w:i/>
          <w:iCs/>
          <w:lang w:val="en-AU"/>
        </w:rPr>
        <w:t>Property (Relationships) Act</w:t>
      </w:r>
      <w:r w:rsidR="00684823" w:rsidRPr="004C5271">
        <w:rPr>
          <w:rFonts w:asciiTheme="majorBidi" w:hAnsiTheme="majorBidi" w:cstheme="majorBidi"/>
          <w:lang w:val="en-AU"/>
        </w:rPr>
        <w:t xml:space="preserve"> </w:t>
      </w:r>
      <w:r w:rsidR="00C93C95" w:rsidRPr="004C5271">
        <w:rPr>
          <w:rFonts w:asciiTheme="majorBidi" w:hAnsiTheme="majorBidi" w:cstheme="majorBidi"/>
          <w:i/>
          <w:iCs/>
          <w:lang w:val="en-AU"/>
        </w:rPr>
        <w:t>1976</w:t>
      </w:r>
      <w:r w:rsidR="00C93C95" w:rsidRPr="004C5271">
        <w:rPr>
          <w:rFonts w:asciiTheme="majorBidi" w:hAnsiTheme="majorBidi" w:cstheme="majorBidi"/>
          <w:lang w:val="en-AU"/>
        </w:rPr>
        <w:t xml:space="preserve"> (NZ)</w:t>
      </w:r>
      <w:r w:rsidR="00C93C95" w:rsidRPr="004C5271">
        <w:rPr>
          <w:rStyle w:val="FootnoteReference"/>
          <w:rFonts w:asciiTheme="majorBidi" w:hAnsiTheme="majorBidi" w:cstheme="majorBidi"/>
          <w:lang w:val="en-AU"/>
        </w:rPr>
        <w:footnoteReference w:id="170"/>
      </w:r>
      <w:r w:rsidR="00C93C95" w:rsidRPr="004C5271">
        <w:rPr>
          <w:rFonts w:asciiTheme="majorBidi" w:hAnsiTheme="majorBidi" w:cstheme="majorBidi"/>
          <w:lang w:val="en-AU"/>
        </w:rPr>
        <w:t xml:space="preserve"> </w:t>
      </w:r>
      <w:r w:rsidR="00684823" w:rsidRPr="004C5271">
        <w:rPr>
          <w:rFonts w:asciiTheme="majorBidi" w:hAnsiTheme="majorBidi" w:cstheme="majorBidi"/>
          <w:lang w:val="en-AU"/>
        </w:rPr>
        <w:t xml:space="preserve">enables the court to clawback assets disposed of </w:t>
      </w:r>
      <w:r w:rsidR="00C93C95" w:rsidRPr="004C5271">
        <w:rPr>
          <w:rFonts w:asciiTheme="majorBidi" w:hAnsiTheme="majorBidi" w:cstheme="majorBidi"/>
          <w:lang w:val="en-AU"/>
        </w:rPr>
        <w:t xml:space="preserve">with the intention of </w:t>
      </w:r>
      <w:r w:rsidR="00684823" w:rsidRPr="004C5271">
        <w:rPr>
          <w:rFonts w:asciiTheme="majorBidi" w:hAnsiTheme="majorBidi" w:cstheme="majorBidi"/>
          <w:lang w:val="en-AU"/>
        </w:rPr>
        <w:t>defeat</w:t>
      </w:r>
      <w:r w:rsidR="00C93C95" w:rsidRPr="004C5271">
        <w:rPr>
          <w:rFonts w:asciiTheme="majorBidi" w:hAnsiTheme="majorBidi" w:cstheme="majorBidi"/>
          <w:lang w:val="en-AU"/>
        </w:rPr>
        <w:t>ing</w:t>
      </w:r>
      <w:r w:rsidR="00684823" w:rsidRPr="004C5271">
        <w:rPr>
          <w:rFonts w:asciiTheme="majorBidi" w:hAnsiTheme="majorBidi" w:cstheme="majorBidi"/>
          <w:lang w:val="en-AU"/>
        </w:rPr>
        <w:t xml:space="preserve"> claims under the Act.</w:t>
      </w:r>
      <w:r w:rsidR="00684823" w:rsidRPr="004C5271">
        <w:rPr>
          <w:rStyle w:val="FootnoteReference"/>
          <w:rFonts w:asciiTheme="majorBidi" w:hAnsiTheme="majorBidi" w:cstheme="majorBidi"/>
          <w:lang w:val="en-AU"/>
        </w:rPr>
        <w:footnoteReference w:id="171"/>
      </w:r>
      <w:r w:rsidR="00684823" w:rsidRPr="004C5271">
        <w:rPr>
          <w:rFonts w:asciiTheme="majorBidi" w:hAnsiTheme="majorBidi" w:cstheme="majorBidi"/>
          <w:lang w:val="en-AU"/>
        </w:rPr>
        <w:t xml:space="preserve"> This section applies to </w:t>
      </w:r>
      <w:r w:rsidR="00C93C95" w:rsidRPr="004C5271">
        <w:rPr>
          <w:rFonts w:asciiTheme="majorBidi" w:hAnsiTheme="majorBidi" w:cstheme="majorBidi"/>
          <w:lang w:val="en-AU"/>
        </w:rPr>
        <w:t xml:space="preserve">situations where </w:t>
      </w:r>
      <w:r w:rsidR="00684823" w:rsidRPr="004C5271">
        <w:rPr>
          <w:rFonts w:asciiTheme="majorBidi" w:hAnsiTheme="majorBidi" w:cstheme="majorBidi"/>
          <w:lang w:val="en-AU"/>
        </w:rPr>
        <w:t>recipients and subsequent recipients of property receive assets otherwise than in good faith and without full or adequate consideration.</w:t>
      </w:r>
      <w:r w:rsidR="00684823" w:rsidRPr="004C5271">
        <w:rPr>
          <w:rStyle w:val="FootnoteReference"/>
          <w:rFonts w:asciiTheme="majorBidi" w:hAnsiTheme="majorBidi" w:cstheme="majorBidi"/>
        </w:rPr>
        <w:footnoteReference w:id="172"/>
      </w:r>
      <w:r w:rsidR="002D2764" w:rsidRPr="004C5271">
        <w:rPr>
          <w:rFonts w:asciiTheme="majorBidi" w:hAnsiTheme="majorBidi" w:cstheme="majorBidi"/>
          <w:lang w:val="en-AU"/>
        </w:rPr>
        <w:t xml:space="preserve"> </w:t>
      </w:r>
      <w:r w:rsidR="002D6255" w:rsidRPr="004C5271">
        <w:rPr>
          <w:rFonts w:asciiTheme="majorBidi" w:hAnsiTheme="majorBidi" w:cstheme="majorBidi"/>
          <w:lang w:val="en-AU"/>
        </w:rPr>
        <w:t xml:space="preserve">The court has discretion to refuse to make an order for the recovery of the relevant asset(s) if the recipient received the property in good faith, and has altered his or her position in reliance </w:t>
      </w:r>
      <w:r w:rsidR="00BA269E" w:rsidRPr="004C5271">
        <w:rPr>
          <w:rFonts w:asciiTheme="majorBidi" w:hAnsiTheme="majorBidi" w:cstheme="majorBidi"/>
          <w:lang w:val="en-AU"/>
        </w:rPr>
        <w:t>such that the court considers</w:t>
      </w:r>
      <w:r w:rsidR="002D6255" w:rsidRPr="004C5271">
        <w:rPr>
          <w:rFonts w:asciiTheme="majorBidi" w:hAnsiTheme="majorBidi" w:cstheme="majorBidi"/>
          <w:lang w:val="en-AU"/>
        </w:rPr>
        <w:t xml:space="preserve"> it is inequitable to grant relief</w:t>
      </w:r>
      <w:r w:rsidR="00BA269E" w:rsidRPr="004C5271">
        <w:rPr>
          <w:rFonts w:asciiTheme="majorBidi" w:hAnsiTheme="majorBidi" w:cstheme="majorBidi"/>
          <w:lang w:val="en-AU"/>
        </w:rPr>
        <w:t xml:space="preserve"> in whole or in part.</w:t>
      </w:r>
      <w:r w:rsidR="00BA269E" w:rsidRPr="004C5271">
        <w:rPr>
          <w:rStyle w:val="FootnoteReference"/>
          <w:rFonts w:asciiTheme="majorBidi" w:hAnsiTheme="majorBidi" w:cstheme="majorBidi"/>
        </w:rPr>
        <w:footnoteReference w:id="173"/>
      </w:r>
      <w:r w:rsidR="00684823" w:rsidRPr="004C5271">
        <w:rPr>
          <w:rFonts w:asciiTheme="majorBidi" w:hAnsiTheme="majorBidi" w:cstheme="majorBidi"/>
          <w:lang w:val="en-AU"/>
        </w:rPr>
        <w:t xml:space="preserve"> </w:t>
      </w:r>
      <w:r w:rsidR="00BA269E" w:rsidRPr="004C5271">
        <w:rPr>
          <w:rFonts w:asciiTheme="majorBidi" w:hAnsiTheme="majorBidi" w:cstheme="majorBidi"/>
          <w:lang w:val="en-AU"/>
        </w:rPr>
        <w:t xml:space="preserve">The </w:t>
      </w:r>
      <w:r w:rsidR="00BA269E" w:rsidRPr="004C5271">
        <w:rPr>
          <w:rFonts w:asciiTheme="majorBidi" w:hAnsiTheme="majorBidi" w:cstheme="majorBidi"/>
          <w:i/>
          <w:iCs/>
          <w:lang w:val="en-AU"/>
        </w:rPr>
        <w:t>Property (Relationships) Act</w:t>
      </w:r>
      <w:r w:rsidR="00BA269E" w:rsidRPr="004C5271">
        <w:rPr>
          <w:rFonts w:asciiTheme="majorBidi" w:hAnsiTheme="majorBidi" w:cstheme="majorBidi"/>
          <w:lang w:val="en-AU"/>
        </w:rPr>
        <w:t xml:space="preserve"> also contains provisions which enable superannuation and life insurance to be treated </w:t>
      </w:r>
      <w:r w:rsidR="00C93C95" w:rsidRPr="004C5271">
        <w:rPr>
          <w:rFonts w:asciiTheme="majorBidi" w:hAnsiTheme="majorBidi" w:cstheme="majorBidi"/>
          <w:lang w:val="en-AU"/>
        </w:rPr>
        <w:t xml:space="preserve">as </w:t>
      </w:r>
      <w:r w:rsidR="00BA269E" w:rsidRPr="004C5271">
        <w:rPr>
          <w:rFonts w:asciiTheme="majorBidi" w:hAnsiTheme="majorBidi" w:cstheme="majorBidi"/>
          <w:lang w:val="en-AU"/>
        </w:rPr>
        <w:t>assets of a relationship for the purpose of dividing property between spouses.</w:t>
      </w:r>
      <w:r w:rsidR="00BA269E" w:rsidRPr="004C5271">
        <w:rPr>
          <w:rStyle w:val="FootnoteReference"/>
          <w:rFonts w:asciiTheme="majorBidi" w:hAnsiTheme="majorBidi" w:cstheme="majorBidi"/>
          <w:lang w:val="en-AU"/>
        </w:rPr>
        <w:footnoteReference w:id="174"/>
      </w:r>
      <w:bookmarkEnd w:id="85"/>
      <w:r w:rsidR="00BA269E" w:rsidRPr="004C5271">
        <w:rPr>
          <w:rFonts w:asciiTheme="majorBidi" w:hAnsiTheme="majorBidi" w:cstheme="majorBidi"/>
          <w:lang w:val="en-AU"/>
        </w:rPr>
        <w:t xml:space="preserve"> </w:t>
      </w:r>
    </w:p>
    <w:p w14:paraId="6B8BECCE" w14:textId="184A7A34" w:rsidR="00BA269E" w:rsidRPr="004C5271" w:rsidRDefault="00C93C95" w:rsidP="00BA269E">
      <w:pPr>
        <w:pStyle w:val="NormalNumberedTextTLRI"/>
        <w:rPr>
          <w:rFonts w:asciiTheme="majorBidi" w:hAnsiTheme="majorBidi" w:cstheme="majorBidi"/>
          <w:lang w:val="en-AU"/>
        </w:rPr>
      </w:pPr>
      <w:r w:rsidRPr="004C5271">
        <w:rPr>
          <w:rFonts w:asciiTheme="majorBidi" w:hAnsiTheme="majorBidi" w:cstheme="majorBidi"/>
          <w:lang w:val="en-AU"/>
        </w:rPr>
        <w:t xml:space="preserve">The availability </w:t>
      </w:r>
      <w:r w:rsidR="00BA269E" w:rsidRPr="004C5271">
        <w:rPr>
          <w:rFonts w:asciiTheme="majorBidi" w:hAnsiTheme="majorBidi" w:cstheme="majorBidi"/>
          <w:lang w:val="en-AU"/>
        </w:rPr>
        <w:t xml:space="preserve">of family law legislation </w:t>
      </w:r>
      <w:r w:rsidRPr="004C5271">
        <w:rPr>
          <w:rFonts w:asciiTheme="majorBidi" w:hAnsiTheme="majorBidi" w:cstheme="majorBidi"/>
          <w:lang w:val="en-AU"/>
        </w:rPr>
        <w:t xml:space="preserve">to deal with </w:t>
      </w:r>
      <w:r w:rsidR="00BA269E" w:rsidRPr="004C5271">
        <w:rPr>
          <w:rFonts w:asciiTheme="majorBidi" w:hAnsiTheme="majorBidi" w:cstheme="majorBidi"/>
          <w:lang w:val="en-AU"/>
        </w:rPr>
        <w:t xml:space="preserve">the division of property </w:t>
      </w:r>
      <w:r w:rsidR="000B0046" w:rsidRPr="004C5271">
        <w:rPr>
          <w:rFonts w:asciiTheme="majorBidi" w:hAnsiTheme="majorBidi" w:cstheme="majorBidi"/>
          <w:lang w:val="en-AU"/>
        </w:rPr>
        <w:t xml:space="preserve">between spouses </w:t>
      </w:r>
      <w:r w:rsidR="00BA269E" w:rsidRPr="004C5271">
        <w:rPr>
          <w:rFonts w:asciiTheme="majorBidi" w:hAnsiTheme="majorBidi" w:cstheme="majorBidi"/>
          <w:lang w:val="en-AU"/>
        </w:rPr>
        <w:t>after death may thus</w:t>
      </w:r>
      <w:r w:rsidR="000B0046" w:rsidRPr="004C5271">
        <w:rPr>
          <w:rFonts w:asciiTheme="majorBidi" w:hAnsiTheme="majorBidi" w:cstheme="majorBidi"/>
          <w:lang w:val="en-AU"/>
        </w:rPr>
        <w:t>,</w:t>
      </w:r>
      <w:r w:rsidR="00BA269E" w:rsidRPr="004C5271">
        <w:rPr>
          <w:rFonts w:asciiTheme="majorBidi" w:hAnsiTheme="majorBidi" w:cstheme="majorBidi"/>
          <w:lang w:val="en-AU"/>
        </w:rPr>
        <w:t xml:space="preserve"> </w:t>
      </w:r>
      <w:r w:rsidR="000B0046" w:rsidRPr="004C5271">
        <w:rPr>
          <w:rFonts w:asciiTheme="majorBidi" w:hAnsiTheme="majorBidi" w:cstheme="majorBidi"/>
          <w:lang w:val="en-AU"/>
        </w:rPr>
        <w:t xml:space="preserve">at least in part, </w:t>
      </w:r>
      <w:r w:rsidR="00BA269E" w:rsidRPr="004C5271">
        <w:rPr>
          <w:rFonts w:asciiTheme="majorBidi" w:hAnsiTheme="majorBidi" w:cstheme="majorBidi"/>
          <w:lang w:val="en-AU"/>
        </w:rPr>
        <w:t>address the absence of notional estate provisions within family provision legislation</w:t>
      </w:r>
      <w:r w:rsidR="000B0046" w:rsidRPr="004C5271">
        <w:rPr>
          <w:rFonts w:asciiTheme="majorBidi" w:hAnsiTheme="majorBidi" w:cstheme="majorBidi"/>
          <w:lang w:val="en-AU"/>
        </w:rPr>
        <w:t xml:space="preserve"> in New Zealand</w:t>
      </w:r>
      <w:r w:rsidR="00BA269E" w:rsidRPr="004C5271">
        <w:rPr>
          <w:rFonts w:asciiTheme="majorBidi" w:hAnsiTheme="majorBidi" w:cstheme="majorBidi"/>
          <w:lang w:val="en-AU"/>
        </w:rPr>
        <w:t xml:space="preserve"> insofar as spouses are concerned. This approach is </w:t>
      </w:r>
      <w:proofErr w:type="gramStart"/>
      <w:r w:rsidR="00BA269E" w:rsidRPr="004C5271">
        <w:rPr>
          <w:rFonts w:asciiTheme="majorBidi" w:hAnsiTheme="majorBidi" w:cstheme="majorBidi"/>
          <w:lang w:val="en-AU"/>
        </w:rPr>
        <w:t>similar to</w:t>
      </w:r>
      <w:proofErr w:type="gramEnd"/>
      <w:r w:rsidR="00BA269E" w:rsidRPr="004C5271">
        <w:rPr>
          <w:rFonts w:asciiTheme="majorBidi" w:hAnsiTheme="majorBidi" w:cstheme="majorBidi"/>
          <w:lang w:val="en-AU"/>
        </w:rPr>
        <w:t xml:space="preserve"> some provinces in Canada which also enable</w:t>
      </w:r>
      <w:r w:rsidR="00773E12" w:rsidRPr="004C5271">
        <w:rPr>
          <w:rFonts w:asciiTheme="majorBidi" w:hAnsiTheme="majorBidi" w:cstheme="majorBidi"/>
          <w:lang w:val="en-AU"/>
        </w:rPr>
        <w:t xml:space="preserve"> use of family law legislation to</w:t>
      </w:r>
      <w:r w:rsidR="00BA269E" w:rsidRPr="004C5271">
        <w:rPr>
          <w:rFonts w:asciiTheme="majorBidi" w:hAnsiTheme="majorBidi" w:cstheme="majorBidi"/>
          <w:lang w:val="en-AU"/>
        </w:rPr>
        <w:t xml:space="preserve"> divid</w:t>
      </w:r>
      <w:r w:rsidR="00773E12" w:rsidRPr="004C5271">
        <w:rPr>
          <w:rFonts w:asciiTheme="majorBidi" w:hAnsiTheme="majorBidi" w:cstheme="majorBidi"/>
          <w:lang w:val="en-AU"/>
        </w:rPr>
        <w:t>e</w:t>
      </w:r>
      <w:r w:rsidR="00BA269E" w:rsidRPr="004C5271">
        <w:rPr>
          <w:rFonts w:asciiTheme="majorBidi" w:hAnsiTheme="majorBidi" w:cstheme="majorBidi"/>
          <w:lang w:val="en-AU"/>
        </w:rPr>
        <w:t xml:space="preserve"> property amongst spouses after death rather than being the exclusive jurisdiction of family provision legislation.</w:t>
      </w:r>
      <w:r w:rsidR="00BA269E" w:rsidRPr="004C5271">
        <w:rPr>
          <w:rStyle w:val="FootnoteReference"/>
          <w:rFonts w:asciiTheme="majorBidi" w:hAnsiTheme="majorBidi" w:cstheme="majorBidi"/>
          <w:lang w:val="en-AU"/>
        </w:rPr>
        <w:footnoteReference w:id="175"/>
      </w:r>
    </w:p>
    <w:p w14:paraId="15EA420C" w14:textId="0E3528BB" w:rsidR="0012248F" w:rsidRPr="004C5271" w:rsidRDefault="0012248F" w:rsidP="0012248F">
      <w:pPr>
        <w:pStyle w:val="NumberedHeadingTLRI"/>
        <w:rPr>
          <w:rFonts w:asciiTheme="majorBidi" w:hAnsiTheme="majorBidi" w:cstheme="majorBidi"/>
          <w:lang w:val="en-AU"/>
        </w:rPr>
      </w:pPr>
      <w:bookmarkStart w:id="86" w:name="_Toc12268951"/>
      <w:r w:rsidRPr="004C5271">
        <w:rPr>
          <w:rFonts w:asciiTheme="majorBidi" w:hAnsiTheme="majorBidi" w:cstheme="majorBidi"/>
          <w:lang w:val="en-AU"/>
        </w:rPr>
        <w:lastRenderedPageBreak/>
        <w:t>United States</w:t>
      </w:r>
      <w:bookmarkEnd w:id="86"/>
    </w:p>
    <w:p w14:paraId="286852F2" w14:textId="61FFA3AB" w:rsidR="0012248F" w:rsidRPr="004C5271" w:rsidRDefault="00260A7E" w:rsidP="0012248F">
      <w:pPr>
        <w:pStyle w:val="NormalNumberedTextTLRI"/>
        <w:rPr>
          <w:rFonts w:asciiTheme="majorBidi" w:hAnsiTheme="majorBidi" w:cstheme="majorBidi"/>
          <w:lang w:val="en-AU"/>
        </w:rPr>
      </w:pPr>
      <w:r w:rsidRPr="004C5271">
        <w:rPr>
          <w:rFonts w:asciiTheme="majorBidi" w:hAnsiTheme="majorBidi" w:cstheme="majorBidi"/>
          <w:lang w:val="en-AU"/>
        </w:rPr>
        <w:t>The United States</w:t>
      </w:r>
      <w:r w:rsidR="00165BA7" w:rsidRPr="004C5271">
        <w:rPr>
          <w:rFonts w:asciiTheme="majorBidi" w:hAnsiTheme="majorBidi" w:cstheme="majorBidi"/>
          <w:lang w:val="en-AU"/>
        </w:rPr>
        <w:t>’</w:t>
      </w:r>
      <w:r w:rsidRPr="004C5271">
        <w:rPr>
          <w:rFonts w:asciiTheme="majorBidi" w:hAnsiTheme="majorBidi" w:cstheme="majorBidi"/>
          <w:lang w:val="en-AU"/>
        </w:rPr>
        <w:t xml:space="preserve"> </w:t>
      </w:r>
      <w:r w:rsidRPr="004C5271">
        <w:rPr>
          <w:rFonts w:asciiTheme="majorBidi" w:hAnsiTheme="majorBidi" w:cstheme="majorBidi"/>
          <w:i/>
          <w:lang w:val="en-AU"/>
        </w:rPr>
        <w:t>Uniform Probate Code</w:t>
      </w:r>
      <w:r w:rsidR="00770821" w:rsidRPr="004C5271">
        <w:rPr>
          <w:rStyle w:val="FootnoteReference"/>
          <w:rFonts w:asciiTheme="majorBidi" w:hAnsiTheme="majorBidi" w:cstheme="majorBidi"/>
          <w:iCs/>
          <w:lang w:val="en-AU"/>
        </w:rPr>
        <w:footnoteReference w:id="176"/>
      </w:r>
      <w:r w:rsidR="00770821" w:rsidRPr="004C5271">
        <w:rPr>
          <w:rFonts w:asciiTheme="majorBidi" w:hAnsiTheme="majorBidi" w:cstheme="majorBidi"/>
          <w:i/>
          <w:lang w:val="en-AU"/>
        </w:rPr>
        <w:t xml:space="preserve"> </w:t>
      </w:r>
      <w:r w:rsidR="00770821" w:rsidRPr="004C5271">
        <w:rPr>
          <w:rFonts w:asciiTheme="majorBidi" w:hAnsiTheme="majorBidi" w:cstheme="majorBidi"/>
          <w:iCs/>
          <w:lang w:val="en-AU"/>
        </w:rPr>
        <w:t xml:space="preserve">also adopts </w:t>
      </w:r>
      <w:r w:rsidR="00165BA7" w:rsidRPr="004C5271">
        <w:rPr>
          <w:rFonts w:asciiTheme="majorBidi" w:hAnsiTheme="majorBidi" w:cstheme="majorBidi"/>
          <w:iCs/>
          <w:lang w:val="en-AU"/>
        </w:rPr>
        <w:t xml:space="preserve">a form of </w:t>
      </w:r>
      <w:r w:rsidR="00770821" w:rsidRPr="004C5271">
        <w:rPr>
          <w:rFonts w:asciiTheme="majorBidi" w:hAnsiTheme="majorBidi" w:cstheme="majorBidi"/>
          <w:iCs/>
          <w:lang w:val="en-AU"/>
        </w:rPr>
        <w:t>notional estate</w:t>
      </w:r>
      <w:r w:rsidR="00165BA7" w:rsidRPr="004C5271">
        <w:rPr>
          <w:rFonts w:asciiTheme="majorBidi" w:hAnsiTheme="majorBidi" w:cstheme="majorBidi"/>
          <w:iCs/>
          <w:lang w:val="en-AU"/>
        </w:rPr>
        <w:t xml:space="preserve"> law, enabling</w:t>
      </w:r>
      <w:r w:rsidR="00770821" w:rsidRPr="004C5271">
        <w:rPr>
          <w:rFonts w:asciiTheme="majorBidi" w:hAnsiTheme="majorBidi" w:cstheme="majorBidi"/>
          <w:iCs/>
          <w:lang w:val="en-AU"/>
        </w:rPr>
        <w:t xml:space="preserve"> non-estate assets to be treated as part of an ‘augmented estate’ and used to </w:t>
      </w:r>
      <w:r w:rsidR="004C2400" w:rsidRPr="004C5271">
        <w:rPr>
          <w:rFonts w:asciiTheme="majorBidi" w:hAnsiTheme="majorBidi" w:cstheme="majorBidi"/>
          <w:iCs/>
          <w:lang w:val="en-AU"/>
        </w:rPr>
        <w:t>calculate</w:t>
      </w:r>
      <w:r w:rsidR="00A32AE5" w:rsidRPr="004C5271">
        <w:rPr>
          <w:rFonts w:asciiTheme="majorBidi" w:hAnsiTheme="majorBidi" w:cstheme="majorBidi"/>
          <w:iCs/>
          <w:lang w:val="en-AU"/>
        </w:rPr>
        <w:t xml:space="preserve"> and, if necessary</w:t>
      </w:r>
      <w:r w:rsidR="00102F82" w:rsidRPr="004C5271">
        <w:rPr>
          <w:rFonts w:asciiTheme="majorBidi" w:hAnsiTheme="majorBidi" w:cstheme="majorBidi"/>
          <w:iCs/>
          <w:lang w:val="en-AU"/>
        </w:rPr>
        <w:t>,</w:t>
      </w:r>
      <w:r w:rsidR="00A32AE5" w:rsidRPr="004C5271">
        <w:rPr>
          <w:rFonts w:asciiTheme="majorBidi" w:hAnsiTheme="majorBidi" w:cstheme="majorBidi"/>
          <w:iCs/>
          <w:lang w:val="en-AU"/>
        </w:rPr>
        <w:t xml:space="preserve"> fund,</w:t>
      </w:r>
      <w:r w:rsidR="00A32AE5" w:rsidRPr="004C5271">
        <w:rPr>
          <w:rStyle w:val="FootnoteReference"/>
          <w:rFonts w:asciiTheme="majorBidi" w:hAnsiTheme="majorBidi" w:cstheme="majorBidi"/>
          <w:iCs/>
          <w:lang w:val="en-AU"/>
        </w:rPr>
        <w:footnoteReference w:id="177"/>
      </w:r>
      <w:r w:rsidR="00770821" w:rsidRPr="004C5271">
        <w:rPr>
          <w:rFonts w:asciiTheme="majorBidi" w:hAnsiTheme="majorBidi" w:cstheme="majorBidi"/>
          <w:iCs/>
          <w:lang w:val="en-AU"/>
        </w:rPr>
        <w:t xml:space="preserve"> </w:t>
      </w:r>
      <w:r w:rsidR="00166965" w:rsidRPr="004C5271">
        <w:rPr>
          <w:rFonts w:asciiTheme="majorBidi" w:hAnsiTheme="majorBidi" w:cstheme="majorBidi"/>
          <w:iCs/>
          <w:lang w:val="en-AU"/>
        </w:rPr>
        <w:t>surviving spouses’ share</w:t>
      </w:r>
      <w:r w:rsidR="004C2400" w:rsidRPr="004C5271">
        <w:rPr>
          <w:rFonts w:asciiTheme="majorBidi" w:hAnsiTheme="majorBidi" w:cstheme="majorBidi"/>
          <w:iCs/>
          <w:lang w:val="en-AU"/>
        </w:rPr>
        <w:t>s</w:t>
      </w:r>
      <w:r w:rsidR="00166965" w:rsidRPr="004C5271">
        <w:rPr>
          <w:rFonts w:asciiTheme="majorBidi" w:hAnsiTheme="majorBidi" w:cstheme="majorBidi"/>
          <w:iCs/>
          <w:lang w:val="en-AU"/>
        </w:rPr>
        <w:t xml:space="preserve"> of an </w:t>
      </w:r>
      <w:r w:rsidR="004C2400" w:rsidRPr="004C5271">
        <w:rPr>
          <w:rFonts w:asciiTheme="majorBidi" w:hAnsiTheme="majorBidi" w:cstheme="majorBidi"/>
          <w:iCs/>
          <w:lang w:val="en-AU"/>
        </w:rPr>
        <w:t>estate. These provisions capture property that the deceased held a power of appointment in respect of immediately prior to death, joint tenancy property and accounts and proceeds of insurance policies.</w:t>
      </w:r>
      <w:r w:rsidR="004C2400" w:rsidRPr="004C5271">
        <w:rPr>
          <w:rStyle w:val="FootnoteReference"/>
          <w:rFonts w:asciiTheme="majorBidi" w:hAnsiTheme="majorBidi" w:cstheme="majorBidi"/>
          <w:iCs/>
          <w:lang w:val="en-AU"/>
        </w:rPr>
        <w:footnoteReference w:id="178"/>
      </w:r>
      <w:r w:rsidR="00A32AE5" w:rsidRPr="004C5271">
        <w:rPr>
          <w:rFonts w:asciiTheme="majorBidi" w:hAnsiTheme="majorBidi" w:cstheme="majorBidi"/>
          <w:iCs/>
          <w:lang w:val="en-AU"/>
        </w:rPr>
        <w:t xml:space="preserve"> </w:t>
      </w:r>
    </w:p>
    <w:p w14:paraId="46E7F7FE" w14:textId="5B7C04FF" w:rsidR="0012248F" w:rsidRPr="004C5271" w:rsidRDefault="0012248F" w:rsidP="0012248F">
      <w:pPr>
        <w:pStyle w:val="NumberedHeadingTLRI"/>
        <w:rPr>
          <w:rFonts w:asciiTheme="majorBidi" w:hAnsiTheme="majorBidi" w:cstheme="majorBidi"/>
          <w:lang w:val="en-AU"/>
        </w:rPr>
      </w:pPr>
      <w:bookmarkStart w:id="87" w:name="_Toc12268952"/>
      <w:r w:rsidRPr="004C5271">
        <w:rPr>
          <w:rFonts w:asciiTheme="majorBidi" w:hAnsiTheme="majorBidi" w:cstheme="majorBidi"/>
          <w:lang w:val="en-AU"/>
        </w:rPr>
        <w:t>Australia</w:t>
      </w:r>
      <w:bookmarkEnd w:id="87"/>
    </w:p>
    <w:p w14:paraId="24C8EBDC" w14:textId="3F05BDB8" w:rsidR="008347B7" w:rsidRPr="004C5271" w:rsidRDefault="008347B7" w:rsidP="008347B7">
      <w:pPr>
        <w:pStyle w:val="NormalNumberedTextTLRI"/>
        <w:rPr>
          <w:rFonts w:asciiTheme="majorBidi" w:hAnsiTheme="majorBidi" w:cstheme="majorBidi"/>
          <w:lang w:val="en-AU"/>
        </w:rPr>
      </w:pPr>
      <w:r w:rsidRPr="004C5271">
        <w:rPr>
          <w:rFonts w:asciiTheme="majorBidi" w:hAnsiTheme="majorBidi" w:cstheme="majorBidi"/>
          <w:lang w:val="en-AU"/>
        </w:rPr>
        <w:t xml:space="preserve">Previous paragraphs have explained </w:t>
      </w:r>
      <w:r w:rsidR="00F104D3" w:rsidRPr="004C5271">
        <w:rPr>
          <w:rFonts w:asciiTheme="majorBidi" w:hAnsiTheme="majorBidi" w:cstheme="majorBidi"/>
          <w:lang w:val="en-AU"/>
        </w:rPr>
        <w:t xml:space="preserve">international approaches. </w:t>
      </w:r>
      <w:r w:rsidR="00A823A8" w:rsidRPr="004C5271">
        <w:rPr>
          <w:rFonts w:asciiTheme="majorBidi" w:hAnsiTheme="majorBidi" w:cstheme="majorBidi"/>
          <w:lang w:val="en-AU"/>
        </w:rPr>
        <w:t>The following section explains Australia’s consideration of notional estate laws.</w:t>
      </w:r>
    </w:p>
    <w:p w14:paraId="4A9DD2DF" w14:textId="2236A0F0" w:rsidR="00980EE3" w:rsidRPr="004C5271" w:rsidRDefault="00980EE3" w:rsidP="00AE2B8C">
      <w:pPr>
        <w:pStyle w:val="Sub-HeadingTLRI"/>
      </w:pPr>
      <w:r w:rsidRPr="004C5271">
        <w:t>Recommendations of the National Committee for Uniform Succession Laws</w:t>
      </w:r>
    </w:p>
    <w:p w14:paraId="4B18A0A4" w14:textId="5A9C3FB8" w:rsidR="00624518" w:rsidRPr="004C5271" w:rsidRDefault="00C12389" w:rsidP="00CE2AEE">
      <w:pPr>
        <w:pStyle w:val="NormalNumberedTextTLRI"/>
        <w:rPr>
          <w:rFonts w:asciiTheme="majorBidi" w:hAnsiTheme="majorBidi" w:cstheme="majorBidi"/>
          <w:lang w:val="en-AU"/>
        </w:rPr>
      </w:pPr>
      <w:r w:rsidRPr="004C5271">
        <w:rPr>
          <w:rFonts w:asciiTheme="majorBidi" w:hAnsiTheme="majorBidi" w:cstheme="majorBidi"/>
          <w:lang w:val="en-AU"/>
        </w:rPr>
        <w:tab/>
      </w:r>
      <w:bookmarkStart w:id="88" w:name="_Ref13083315"/>
      <w:r w:rsidR="003C76D0" w:rsidRPr="004C5271">
        <w:rPr>
          <w:rFonts w:asciiTheme="majorBidi" w:hAnsiTheme="majorBidi" w:cstheme="majorBidi"/>
          <w:lang w:val="en-AU"/>
        </w:rPr>
        <w:t xml:space="preserve">In 1991, the </w:t>
      </w:r>
      <w:r w:rsidR="00AF65C3" w:rsidRPr="004C5271">
        <w:rPr>
          <w:rFonts w:asciiTheme="majorBidi" w:hAnsiTheme="majorBidi" w:cstheme="majorBidi"/>
          <w:lang w:val="en-AU"/>
        </w:rPr>
        <w:t>Standing</w:t>
      </w:r>
      <w:r w:rsidR="003C76D0" w:rsidRPr="004C5271">
        <w:rPr>
          <w:rFonts w:asciiTheme="majorBidi" w:hAnsiTheme="majorBidi" w:cstheme="majorBidi"/>
          <w:lang w:val="en-AU"/>
        </w:rPr>
        <w:t xml:space="preserve"> Committee of Attorneys-General </w:t>
      </w:r>
      <w:r w:rsidR="00AF65C3" w:rsidRPr="004C5271">
        <w:rPr>
          <w:rFonts w:asciiTheme="majorBidi" w:hAnsiTheme="majorBidi" w:cstheme="majorBidi"/>
          <w:lang w:val="en-AU"/>
        </w:rPr>
        <w:t xml:space="preserve">(the </w:t>
      </w:r>
      <w:r w:rsidR="004665B1" w:rsidRPr="004C5271">
        <w:rPr>
          <w:rFonts w:asciiTheme="majorBidi" w:hAnsiTheme="majorBidi" w:cstheme="majorBidi"/>
          <w:lang w:val="en-AU"/>
        </w:rPr>
        <w:t>‘</w:t>
      </w:r>
      <w:r w:rsidR="00AF65C3" w:rsidRPr="004C5271">
        <w:rPr>
          <w:rFonts w:asciiTheme="majorBidi" w:hAnsiTheme="majorBidi" w:cstheme="majorBidi"/>
          <w:lang w:val="en-AU"/>
        </w:rPr>
        <w:t>Standing Committee’) agreed to progress nationally uniform succession laws. The Queensland Law Reform Commission (‘QLRC</w:t>
      </w:r>
      <w:r w:rsidR="004665B1" w:rsidRPr="004C5271">
        <w:rPr>
          <w:rFonts w:asciiTheme="majorBidi" w:hAnsiTheme="majorBidi" w:cstheme="majorBidi"/>
          <w:lang w:val="en-AU"/>
        </w:rPr>
        <w:t>’</w:t>
      </w:r>
      <w:r w:rsidR="00AF65C3" w:rsidRPr="004C5271">
        <w:rPr>
          <w:rFonts w:asciiTheme="majorBidi" w:hAnsiTheme="majorBidi" w:cstheme="majorBidi"/>
          <w:lang w:val="en-AU"/>
        </w:rPr>
        <w:t>) was engaged to coordinate th</w:t>
      </w:r>
      <w:r w:rsidR="00B26177" w:rsidRPr="004C5271">
        <w:rPr>
          <w:rFonts w:asciiTheme="majorBidi" w:hAnsiTheme="majorBidi" w:cstheme="majorBidi"/>
          <w:lang w:val="en-AU"/>
        </w:rPr>
        <w:t>e</w:t>
      </w:r>
      <w:r w:rsidR="00AF65C3" w:rsidRPr="004C5271">
        <w:rPr>
          <w:rFonts w:asciiTheme="majorBidi" w:hAnsiTheme="majorBidi" w:cstheme="majorBidi"/>
          <w:lang w:val="en-AU"/>
        </w:rPr>
        <w:t xml:space="preserve"> </w:t>
      </w:r>
      <w:r w:rsidR="00952AC3" w:rsidRPr="004C5271">
        <w:rPr>
          <w:rFonts w:asciiTheme="majorBidi" w:hAnsiTheme="majorBidi" w:cstheme="majorBidi"/>
          <w:lang w:val="en-AU"/>
        </w:rPr>
        <w:t xml:space="preserve">project, </w:t>
      </w:r>
      <w:r w:rsidR="00AF65C3" w:rsidRPr="004C5271">
        <w:rPr>
          <w:rFonts w:asciiTheme="majorBidi" w:hAnsiTheme="majorBidi" w:cstheme="majorBidi"/>
          <w:lang w:val="en-AU"/>
        </w:rPr>
        <w:t>conve</w:t>
      </w:r>
      <w:r w:rsidR="00952AC3" w:rsidRPr="004C5271">
        <w:rPr>
          <w:rFonts w:asciiTheme="majorBidi" w:hAnsiTheme="majorBidi" w:cstheme="majorBidi"/>
          <w:lang w:val="en-AU"/>
        </w:rPr>
        <w:t>ning</w:t>
      </w:r>
      <w:r w:rsidR="003C76D0" w:rsidRPr="004C5271">
        <w:rPr>
          <w:rFonts w:asciiTheme="majorBidi" w:hAnsiTheme="majorBidi" w:cstheme="majorBidi"/>
          <w:lang w:val="en-AU"/>
        </w:rPr>
        <w:t xml:space="preserve"> t</w:t>
      </w:r>
      <w:r w:rsidR="00CF5C10" w:rsidRPr="004C5271">
        <w:rPr>
          <w:rFonts w:asciiTheme="majorBidi" w:hAnsiTheme="majorBidi" w:cstheme="majorBidi"/>
          <w:lang w:val="en-AU"/>
        </w:rPr>
        <w:t>he National Committee for Uniform Succession Laws</w:t>
      </w:r>
      <w:r w:rsidR="00DA59DE" w:rsidRPr="004C5271">
        <w:rPr>
          <w:rFonts w:asciiTheme="majorBidi" w:hAnsiTheme="majorBidi" w:cstheme="majorBidi"/>
          <w:lang w:val="en-AU"/>
        </w:rPr>
        <w:t xml:space="preserve"> (the ‘National Committee’)</w:t>
      </w:r>
      <w:r w:rsidR="00AF65C3" w:rsidRPr="004C5271">
        <w:rPr>
          <w:rFonts w:asciiTheme="majorBidi" w:hAnsiTheme="majorBidi" w:cstheme="majorBidi"/>
          <w:lang w:val="en-AU"/>
        </w:rPr>
        <w:t xml:space="preserve"> to ensure national </w:t>
      </w:r>
      <w:r w:rsidR="00B26177" w:rsidRPr="004C5271">
        <w:rPr>
          <w:rFonts w:asciiTheme="majorBidi" w:hAnsiTheme="majorBidi" w:cstheme="majorBidi"/>
          <w:lang w:val="en-AU"/>
        </w:rPr>
        <w:t>representation and input</w:t>
      </w:r>
      <w:r w:rsidR="00AF65C3" w:rsidRPr="004C5271">
        <w:rPr>
          <w:rFonts w:asciiTheme="majorBidi" w:hAnsiTheme="majorBidi" w:cstheme="majorBidi"/>
          <w:lang w:val="en-AU"/>
        </w:rPr>
        <w:t>.</w:t>
      </w:r>
      <w:bookmarkEnd w:id="88"/>
    </w:p>
    <w:p w14:paraId="224E9586" w14:textId="6946E6A8" w:rsidR="00665DAA" w:rsidRPr="004C5271" w:rsidRDefault="00CF5C10" w:rsidP="00CE2AEE">
      <w:pPr>
        <w:pStyle w:val="NormalNumberedTextTLRI"/>
        <w:rPr>
          <w:rFonts w:asciiTheme="majorBidi" w:hAnsiTheme="majorBidi" w:cstheme="majorBidi"/>
          <w:lang w:val="en-AU"/>
        </w:rPr>
      </w:pPr>
      <w:r w:rsidRPr="004C5271">
        <w:rPr>
          <w:rFonts w:asciiTheme="majorBidi" w:hAnsiTheme="majorBidi" w:cstheme="majorBidi"/>
          <w:lang w:val="en-AU"/>
        </w:rPr>
        <w:t>Th</w:t>
      </w:r>
      <w:r w:rsidR="00A15C06" w:rsidRPr="004C5271">
        <w:rPr>
          <w:rFonts w:asciiTheme="majorBidi" w:hAnsiTheme="majorBidi" w:cstheme="majorBidi"/>
          <w:lang w:val="en-AU"/>
        </w:rPr>
        <w:t>e</w:t>
      </w:r>
      <w:r w:rsidRPr="004C5271">
        <w:rPr>
          <w:rFonts w:asciiTheme="majorBidi" w:hAnsiTheme="majorBidi" w:cstheme="majorBidi"/>
          <w:lang w:val="en-AU"/>
        </w:rPr>
        <w:t xml:space="preserve"> </w:t>
      </w:r>
      <w:r w:rsidR="00AF65C3" w:rsidRPr="004C5271">
        <w:rPr>
          <w:rFonts w:asciiTheme="majorBidi" w:hAnsiTheme="majorBidi" w:cstheme="majorBidi"/>
          <w:lang w:val="en-AU"/>
        </w:rPr>
        <w:t xml:space="preserve">National Committee’s </w:t>
      </w:r>
      <w:r w:rsidRPr="004C5271">
        <w:rPr>
          <w:rFonts w:asciiTheme="majorBidi" w:hAnsiTheme="majorBidi" w:cstheme="majorBidi"/>
          <w:lang w:val="en-AU"/>
        </w:rPr>
        <w:t>report</w:t>
      </w:r>
      <w:r w:rsidR="00A15C06" w:rsidRPr="004C5271">
        <w:rPr>
          <w:rFonts w:asciiTheme="majorBidi" w:hAnsiTheme="majorBidi" w:cstheme="majorBidi"/>
          <w:lang w:val="en-AU"/>
        </w:rPr>
        <w:t xml:space="preserve"> presented to the </w:t>
      </w:r>
      <w:r w:rsidR="00AF65C3" w:rsidRPr="004C5271">
        <w:rPr>
          <w:rFonts w:asciiTheme="majorBidi" w:hAnsiTheme="majorBidi" w:cstheme="majorBidi"/>
          <w:lang w:val="en-AU"/>
        </w:rPr>
        <w:t>Standing Committee</w:t>
      </w:r>
      <w:r w:rsidRPr="004C5271">
        <w:rPr>
          <w:rFonts w:asciiTheme="majorBidi" w:hAnsiTheme="majorBidi" w:cstheme="majorBidi"/>
          <w:lang w:val="en-AU"/>
        </w:rPr>
        <w:t xml:space="preserve"> examined the New South Wales</w:t>
      </w:r>
      <w:r w:rsidR="00200ED8" w:rsidRPr="004C5271">
        <w:rPr>
          <w:rFonts w:asciiTheme="majorBidi" w:hAnsiTheme="majorBidi" w:cstheme="majorBidi"/>
          <w:lang w:val="en-AU"/>
        </w:rPr>
        <w:t xml:space="preserve"> approach</w:t>
      </w:r>
      <w:r w:rsidRPr="004C5271">
        <w:rPr>
          <w:rFonts w:asciiTheme="majorBidi" w:hAnsiTheme="majorBidi" w:cstheme="majorBidi"/>
          <w:lang w:val="en-AU"/>
        </w:rPr>
        <w:t xml:space="preserve"> </w:t>
      </w:r>
      <w:r w:rsidR="00B26177" w:rsidRPr="004C5271">
        <w:rPr>
          <w:rFonts w:asciiTheme="majorBidi" w:hAnsiTheme="majorBidi" w:cstheme="majorBidi"/>
          <w:lang w:val="en-AU"/>
        </w:rPr>
        <w:t xml:space="preserve">to notional estate legislation </w:t>
      </w:r>
      <w:r w:rsidRPr="004C5271">
        <w:rPr>
          <w:rFonts w:asciiTheme="majorBidi" w:hAnsiTheme="majorBidi" w:cstheme="majorBidi"/>
          <w:lang w:val="en-AU"/>
        </w:rPr>
        <w:t xml:space="preserve">and </w:t>
      </w:r>
      <w:r w:rsidR="0012248F" w:rsidRPr="004C5271">
        <w:rPr>
          <w:rFonts w:asciiTheme="majorBidi" w:hAnsiTheme="majorBidi" w:cstheme="majorBidi"/>
          <w:lang w:val="en-AU"/>
        </w:rPr>
        <w:t>endorsed</w:t>
      </w:r>
      <w:r w:rsidRPr="004C5271">
        <w:rPr>
          <w:rFonts w:asciiTheme="majorBidi" w:hAnsiTheme="majorBidi" w:cstheme="majorBidi"/>
          <w:lang w:val="en-AU"/>
        </w:rPr>
        <w:t xml:space="preserve"> similar provisions be</w:t>
      </w:r>
      <w:r w:rsidR="0012248F" w:rsidRPr="004C5271">
        <w:rPr>
          <w:rFonts w:asciiTheme="majorBidi" w:hAnsiTheme="majorBidi" w:cstheme="majorBidi"/>
          <w:lang w:val="en-AU"/>
        </w:rPr>
        <w:t>ing</w:t>
      </w:r>
      <w:r w:rsidRPr="004C5271">
        <w:rPr>
          <w:rFonts w:asciiTheme="majorBidi" w:hAnsiTheme="majorBidi" w:cstheme="majorBidi"/>
          <w:lang w:val="en-AU"/>
        </w:rPr>
        <w:t xml:space="preserve"> included in the </w:t>
      </w:r>
      <w:r w:rsidR="0012248F" w:rsidRPr="004C5271">
        <w:rPr>
          <w:rFonts w:asciiTheme="majorBidi" w:hAnsiTheme="majorBidi" w:cstheme="majorBidi"/>
          <w:lang w:val="en-AU"/>
        </w:rPr>
        <w:t xml:space="preserve">new national </w:t>
      </w:r>
      <w:r w:rsidRPr="004C5271">
        <w:rPr>
          <w:rFonts w:asciiTheme="majorBidi" w:hAnsiTheme="majorBidi" w:cstheme="majorBidi"/>
          <w:lang w:val="en-AU"/>
        </w:rPr>
        <w:t>model legislation.</w:t>
      </w:r>
      <w:r w:rsidR="00057861" w:rsidRPr="004C5271">
        <w:rPr>
          <w:rStyle w:val="FootnoteReference"/>
          <w:rFonts w:asciiTheme="majorBidi" w:hAnsiTheme="majorBidi" w:cstheme="majorBidi"/>
          <w:lang w:val="en-AU"/>
        </w:rPr>
        <w:footnoteReference w:id="179"/>
      </w:r>
      <w:r w:rsidR="006232EA" w:rsidRPr="004C5271">
        <w:rPr>
          <w:rFonts w:asciiTheme="majorBidi" w:hAnsiTheme="majorBidi" w:cstheme="majorBidi"/>
          <w:lang w:val="en-AU"/>
        </w:rPr>
        <w:t xml:space="preserve"> </w:t>
      </w:r>
      <w:r w:rsidR="00624518" w:rsidRPr="004C5271">
        <w:rPr>
          <w:rFonts w:asciiTheme="majorBidi" w:hAnsiTheme="majorBidi" w:cstheme="majorBidi"/>
          <w:lang w:val="en-AU"/>
        </w:rPr>
        <w:t>Part 4 explains in more detail the notional estate legislation operating in New South Wales and the recommendations of the</w:t>
      </w:r>
      <w:r w:rsidR="00F62E1E" w:rsidRPr="004C5271">
        <w:rPr>
          <w:rFonts w:asciiTheme="majorBidi" w:hAnsiTheme="majorBidi" w:cstheme="majorBidi"/>
          <w:lang w:val="en-AU"/>
        </w:rPr>
        <w:t xml:space="preserve"> </w:t>
      </w:r>
      <w:r w:rsidR="00F62E1E" w:rsidRPr="004C5271">
        <w:rPr>
          <w:rFonts w:asciiTheme="majorBidi" w:hAnsiTheme="majorBidi" w:cstheme="majorBidi"/>
          <w:lang w:val="en-AU"/>
        </w:rPr>
        <w:lastRenderedPageBreak/>
        <w:t>New South Wales Law Reform Commission</w:t>
      </w:r>
      <w:r w:rsidR="00624518" w:rsidRPr="004C5271">
        <w:rPr>
          <w:rFonts w:asciiTheme="majorBidi" w:hAnsiTheme="majorBidi" w:cstheme="majorBidi"/>
          <w:lang w:val="en-AU"/>
        </w:rPr>
        <w:t xml:space="preserve"> </w:t>
      </w:r>
      <w:r w:rsidR="00F62E1E" w:rsidRPr="004C5271">
        <w:rPr>
          <w:rFonts w:asciiTheme="majorBidi" w:hAnsiTheme="majorBidi" w:cstheme="majorBidi"/>
          <w:lang w:val="en-AU"/>
        </w:rPr>
        <w:t>(‘</w:t>
      </w:r>
      <w:r w:rsidR="00624518" w:rsidRPr="004C5271">
        <w:rPr>
          <w:rFonts w:asciiTheme="majorBidi" w:hAnsiTheme="majorBidi" w:cstheme="majorBidi"/>
          <w:lang w:val="en-AU"/>
        </w:rPr>
        <w:t>NSWLRC</w:t>
      </w:r>
      <w:r w:rsidR="00F62E1E" w:rsidRPr="004C5271">
        <w:rPr>
          <w:rFonts w:asciiTheme="majorBidi" w:hAnsiTheme="majorBidi" w:cstheme="majorBidi"/>
          <w:lang w:val="en-AU"/>
        </w:rPr>
        <w:t>’)</w:t>
      </w:r>
      <w:r w:rsidR="00624518" w:rsidRPr="004C5271">
        <w:rPr>
          <w:rFonts w:asciiTheme="majorBidi" w:hAnsiTheme="majorBidi" w:cstheme="majorBidi"/>
          <w:lang w:val="en-AU"/>
        </w:rPr>
        <w:t xml:space="preserve"> upon which that model was based.</w:t>
      </w:r>
    </w:p>
    <w:p w14:paraId="2FA8AE95" w14:textId="16F0FDC1" w:rsidR="00624518" w:rsidRPr="004C5271" w:rsidRDefault="006909F4" w:rsidP="00624518">
      <w:pPr>
        <w:pStyle w:val="NormalNumberedTextTLRI"/>
        <w:rPr>
          <w:rFonts w:asciiTheme="majorBidi" w:hAnsiTheme="majorBidi" w:cstheme="majorBidi"/>
          <w:lang w:val="en-AU"/>
        </w:rPr>
      </w:pPr>
      <w:r w:rsidRPr="004C5271">
        <w:rPr>
          <w:rFonts w:asciiTheme="majorBidi" w:hAnsiTheme="majorBidi" w:cstheme="majorBidi"/>
          <w:lang w:val="en-AU"/>
        </w:rPr>
        <w:t>T</w:t>
      </w:r>
      <w:r w:rsidR="00624518" w:rsidRPr="004C5271">
        <w:rPr>
          <w:rFonts w:asciiTheme="majorBidi" w:hAnsiTheme="majorBidi" w:cstheme="majorBidi"/>
          <w:lang w:val="en-AU"/>
        </w:rPr>
        <w:t>he National Committee</w:t>
      </w:r>
      <w:r w:rsidRPr="004C5271">
        <w:rPr>
          <w:rFonts w:asciiTheme="majorBidi" w:hAnsiTheme="majorBidi" w:cstheme="majorBidi"/>
          <w:lang w:val="en-AU"/>
        </w:rPr>
        <w:t>’s acceptance of the New South Wales approach has been criticised for its lack of critical analysis</w:t>
      </w:r>
      <w:r w:rsidR="00624518" w:rsidRPr="004C5271">
        <w:rPr>
          <w:rFonts w:asciiTheme="majorBidi" w:hAnsiTheme="majorBidi" w:cstheme="majorBidi"/>
          <w:lang w:val="en-AU"/>
        </w:rPr>
        <w:t>:</w:t>
      </w:r>
    </w:p>
    <w:p w14:paraId="753E4731" w14:textId="051DF27B" w:rsidR="00624518" w:rsidRPr="004C5271" w:rsidRDefault="00624518" w:rsidP="00725188">
      <w:pPr>
        <w:pStyle w:val="QuoteTLRI"/>
        <w:rPr>
          <w:rFonts w:asciiTheme="majorBidi" w:hAnsiTheme="majorBidi" w:cstheme="majorBidi"/>
        </w:rPr>
      </w:pPr>
      <w:r w:rsidRPr="004C5271">
        <w:rPr>
          <w:rFonts w:asciiTheme="majorBidi" w:hAnsiTheme="majorBidi" w:cstheme="majorBidi"/>
        </w:rPr>
        <w:t xml:space="preserve">What is curious </w:t>
      </w:r>
      <w:r w:rsidR="00725188" w:rsidRPr="004C5271">
        <w:rPr>
          <w:rFonts w:asciiTheme="majorBidi" w:hAnsiTheme="majorBidi" w:cstheme="majorBidi"/>
        </w:rPr>
        <w:t>—</w:t>
      </w:r>
      <w:r w:rsidRPr="004C5271">
        <w:rPr>
          <w:rFonts w:asciiTheme="majorBidi" w:hAnsiTheme="majorBidi" w:cstheme="majorBidi"/>
        </w:rPr>
        <w:t xml:space="preserve"> to me at least </w:t>
      </w:r>
      <w:r w:rsidR="00725188" w:rsidRPr="004C5271">
        <w:rPr>
          <w:rFonts w:asciiTheme="majorBidi" w:hAnsiTheme="majorBidi" w:cstheme="majorBidi"/>
        </w:rPr>
        <w:t>—</w:t>
      </w:r>
      <w:r w:rsidRPr="004C5271">
        <w:rPr>
          <w:rFonts w:asciiTheme="majorBidi" w:hAnsiTheme="majorBidi" w:cstheme="majorBidi"/>
        </w:rPr>
        <w:t xml:space="preserve"> is that there was apparently no discussion in the National Committee’s work of the model of the claw-back property provisions. The New South Wales provisions are used because they are </w:t>
      </w:r>
      <w:r w:rsidRPr="004C5271">
        <w:rPr>
          <w:rFonts w:asciiTheme="majorBidi" w:hAnsiTheme="majorBidi" w:cstheme="majorBidi"/>
          <w:iCs/>
        </w:rPr>
        <w:t>there</w:t>
      </w:r>
      <w:r w:rsidRPr="004C5271">
        <w:rPr>
          <w:rFonts w:asciiTheme="majorBidi" w:hAnsiTheme="majorBidi" w:cstheme="majorBidi"/>
        </w:rPr>
        <w:t xml:space="preserve"> and have been in force for a while now to see if there is anything hugely wrong with them. It is a convenient </w:t>
      </w:r>
      <w:r w:rsidR="00725188" w:rsidRPr="004C5271">
        <w:rPr>
          <w:rFonts w:asciiTheme="majorBidi" w:hAnsiTheme="majorBidi" w:cstheme="majorBidi"/>
        </w:rPr>
        <w:t>—</w:t>
      </w:r>
      <w:r w:rsidRPr="004C5271">
        <w:rPr>
          <w:rFonts w:asciiTheme="majorBidi" w:hAnsiTheme="majorBidi" w:cstheme="majorBidi"/>
        </w:rPr>
        <w:t xml:space="preserve"> and pragmatic </w:t>
      </w:r>
      <w:r w:rsidR="00725188" w:rsidRPr="004C5271">
        <w:rPr>
          <w:rFonts w:asciiTheme="majorBidi" w:hAnsiTheme="majorBidi" w:cstheme="majorBidi"/>
        </w:rPr>
        <w:t>—</w:t>
      </w:r>
      <w:r w:rsidRPr="004C5271">
        <w:rPr>
          <w:rFonts w:asciiTheme="majorBidi" w:hAnsiTheme="majorBidi" w:cstheme="majorBidi"/>
        </w:rPr>
        <w:t xml:space="preserve"> approach to law reform, in sticking to the familiar.</w:t>
      </w:r>
    </w:p>
    <w:p w14:paraId="713E246D" w14:textId="7A45AE34" w:rsidR="00624518" w:rsidRPr="004C5271" w:rsidRDefault="00624518" w:rsidP="00725188">
      <w:pPr>
        <w:pStyle w:val="QuoteTLRI"/>
        <w:rPr>
          <w:rFonts w:asciiTheme="majorBidi" w:hAnsiTheme="majorBidi" w:cstheme="majorBidi"/>
        </w:rPr>
      </w:pPr>
      <w:r w:rsidRPr="004C5271">
        <w:rPr>
          <w:rFonts w:asciiTheme="majorBidi" w:hAnsiTheme="majorBidi" w:cstheme="majorBidi"/>
        </w:rPr>
        <w:t xml:space="preserve">But the model has always bothered me. For a start, it is based on the old New South Wales death duty provisions. There the formula was a complex one, </w:t>
      </w:r>
      <w:proofErr w:type="gramStart"/>
      <w:r w:rsidRPr="004C5271">
        <w:rPr>
          <w:rFonts w:asciiTheme="majorBidi" w:hAnsiTheme="majorBidi" w:cstheme="majorBidi"/>
        </w:rPr>
        <w:t>the end result</w:t>
      </w:r>
      <w:proofErr w:type="gramEnd"/>
      <w:r w:rsidRPr="004C5271">
        <w:rPr>
          <w:rFonts w:asciiTheme="majorBidi" w:hAnsiTheme="majorBidi" w:cstheme="majorBidi"/>
        </w:rPr>
        <w:t xml:space="preserve"> of which was just to determine </w:t>
      </w:r>
      <w:r w:rsidR="00725188" w:rsidRPr="004C5271">
        <w:rPr>
          <w:rFonts w:asciiTheme="majorBidi" w:hAnsiTheme="majorBidi" w:cstheme="majorBidi"/>
        </w:rPr>
        <w:t>—</w:t>
      </w:r>
      <w:r w:rsidRPr="004C5271">
        <w:rPr>
          <w:rFonts w:asciiTheme="majorBidi" w:hAnsiTheme="majorBidi" w:cstheme="majorBidi"/>
        </w:rPr>
        <w:t xml:space="preserve"> precisely </w:t>
      </w:r>
      <w:r w:rsidR="00725188" w:rsidRPr="004C5271">
        <w:rPr>
          <w:rFonts w:asciiTheme="majorBidi" w:hAnsiTheme="majorBidi" w:cstheme="majorBidi"/>
        </w:rPr>
        <w:t>—</w:t>
      </w:r>
      <w:r w:rsidRPr="004C5271">
        <w:rPr>
          <w:rFonts w:asciiTheme="majorBidi" w:hAnsiTheme="majorBidi" w:cstheme="majorBidi"/>
        </w:rPr>
        <w:t xml:space="preserve"> the dutiable value of assets on death. It was not about attaching property in any way and, hence, served a different purpose… A precisely formulated scheme like that of death duties placed the emphasis in the wrong place </w:t>
      </w:r>
      <w:r w:rsidR="00725188" w:rsidRPr="004C5271">
        <w:rPr>
          <w:rFonts w:asciiTheme="majorBidi" w:hAnsiTheme="majorBidi" w:cstheme="majorBidi"/>
        </w:rPr>
        <w:t>—</w:t>
      </w:r>
      <w:r w:rsidRPr="004C5271">
        <w:rPr>
          <w:rFonts w:asciiTheme="majorBidi" w:hAnsiTheme="majorBidi" w:cstheme="majorBidi"/>
        </w:rPr>
        <w:t xml:space="preserve"> for family provision purposes…</w:t>
      </w:r>
    </w:p>
    <w:p w14:paraId="0EBACF20" w14:textId="18C95A34" w:rsidR="00624518" w:rsidRPr="004C5271" w:rsidRDefault="00624518" w:rsidP="00725188">
      <w:pPr>
        <w:pStyle w:val="QuoteTLRI"/>
        <w:rPr>
          <w:rFonts w:asciiTheme="majorBidi" w:hAnsiTheme="majorBidi" w:cstheme="majorBidi"/>
        </w:rPr>
      </w:pPr>
      <w:r w:rsidRPr="004C5271">
        <w:rPr>
          <w:rFonts w:asciiTheme="majorBidi" w:hAnsiTheme="majorBidi" w:cstheme="majorBidi"/>
        </w:rPr>
        <w:t xml:space="preserve">A second problematic aspect of the definition of notional estate was the mixing up of subjective and objective elements: </w:t>
      </w:r>
      <w:proofErr w:type="gramStart"/>
      <w:r w:rsidRPr="004C5271">
        <w:rPr>
          <w:rFonts w:asciiTheme="majorBidi" w:hAnsiTheme="majorBidi" w:cstheme="majorBidi"/>
        </w:rPr>
        <w:t>again</w:t>
      </w:r>
      <w:proofErr w:type="gramEnd"/>
      <w:r w:rsidRPr="004C5271">
        <w:rPr>
          <w:rFonts w:asciiTheme="majorBidi" w:hAnsiTheme="majorBidi" w:cstheme="majorBidi"/>
        </w:rPr>
        <w:t xml:space="preserve"> placing extra hurdles in the way of getting to the </w:t>
      </w:r>
      <w:r w:rsidRPr="004C5271">
        <w:rPr>
          <w:rFonts w:asciiTheme="majorBidi" w:hAnsiTheme="majorBidi" w:cstheme="majorBidi"/>
          <w:i/>
          <w:iCs/>
        </w:rPr>
        <w:t>real</w:t>
      </w:r>
      <w:r w:rsidRPr="004C5271">
        <w:rPr>
          <w:rFonts w:asciiTheme="majorBidi" w:hAnsiTheme="majorBidi" w:cstheme="majorBidi"/>
        </w:rPr>
        <w:t xml:space="preserve"> issue under the legislation.</w:t>
      </w:r>
      <w:bookmarkStart w:id="89" w:name="_Ref13083698"/>
      <w:r w:rsidRPr="004C5271">
        <w:rPr>
          <w:rStyle w:val="FootnoteReference"/>
          <w:rFonts w:asciiTheme="majorBidi" w:hAnsiTheme="majorBidi" w:cstheme="majorBidi"/>
        </w:rPr>
        <w:footnoteReference w:id="180"/>
      </w:r>
      <w:bookmarkEnd w:id="89"/>
    </w:p>
    <w:p w14:paraId="139D73F2" w14:textId="0C09D2B2" w:rsidR="00217A74" w:rsidRPr="004C5271" w:rsidRDefault="00A15C06" w:rsidP="00624518">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301FB2" w:rsidRPr="004C5271">
        <w:rPr>
          <w:rFonts w:asciiTheme="majorBidi" w:hAnsiTheme="majorBidi" w:cstheme="majorBidi"/>
          <w:lang w:val="en-AU"/>
        </w:rPr>
        <w:t xml:space="preserve">National </w:t>
      </w:r>
      <w:r w:rsidR="00CF5C10" w:rsidRPr="004C5271">
        <w:rPr>
          <w:rFonts w:asciiTheme="majorBidi" w:hAnsiTheme="majorBidi" w:cstheme="majorBidi"/>
          <w:lang w:val="en-AU"/>
        </w:rPr>
        <w:t>Committee</w:t>
      </w:r>
      <w:r w:rsidRPr="004C5271">
        <w:rPr>
          <w:rFonts w:asciiTheme="majorBidi" w:hAnsiTheme="majorBidi" w:cstheme="majorBidi"/>
          <w:lang w:val="en-AU"/>
        </w:rPr>
        <w:t xml:space="preserve"> revisited </w:t>
      </w:r>
      <w:r w:rsidR="00624518" w:rsidRPr="004C5271">
        <w:rPr>
          <w:rFonts w:asciiTheme="majorBidi" w:hAnsiTheme="majorBidi" w:cstheme="majorBidi"/>
          <w:lang w:val="en-AU"/>
        </w:rPr>
        <w:t>the issue of uniform succession laws</w:t>
      </w:r>
      <w:r w:rsidR="00CF5C10" w:rsidRPr="004C5271">
        <w:rPr>
          <w:rFonts w:asciiTheme="majorBidi" w:hAnsiTheme="majorBidi" w:cstheme="majorBidi"/>
          <w:lang w:val="en-AU"/>
        </w:rPr>
        <w:t xml:space="preserve"> in </w:t>
      </w:r>
      <w:r w:rsidR="0079140A" w:rsidRPr="004C5271">
        <w:rPr>
          <w:rFonts w:asciiTheme="majorBidi" w:hAnsiTheme="majorBidi" w:cstheme="majorBidi"/>
          <w:lang w:val="en-AU"/>
        </w:rPr>
        <w:t xml:space="preserve">a </w:t>
      </w:r>
      <w:r w:rsidR="00CF5C10" w:rsidRPr="004C5271">
        <w:rPr>
          <w:rFonts w:asciiTheme="majorBidi" w:hAnsiTheme="majorBidi" w:cstheme="majorBidi"/>
          <w:lang w:val="en-AU"/>
        </w:rPr>
        <w:t>Supplementary Report to the Standing Committee in 2004</w:t>
      </w:r>
      <w:r w:rsidR="00174E65" w:rsidRPr="004C5271">
        <w:rPr>
          <w:rFonts w:asciiTheme="majorBidi" w:hAnsiTheme="majorBidi" w:cstheme="majorBidi"/>
          <w:lang w:val="en-AU"/>
        </w:rPr>
        <w:t>.</w:t>
      </w:r>
      <w:r w:rsidR="00174E65" w:rsidRPr="004C5271">
        <w:rPr>
          <w:rStyle w:val="FootnoteReference"/>
          <w:rFonts w:asciiTheme="majorBidi" w:hAnsiTheme="majorBidi" w:cstheme="majorBidi"/>
          <w:lang w:val="en-AU"/>
        </w:rPr>
        <w:footnoteReference w:id="181"/>
      </w:r>
      <w:r w:rsidR="00174E65" w:rsidRPr="004C5271">
        <w:rPr>
          <w:rFonts w:asciiTheme="majorBidi" w:hAnsiTheme="majorBidi" w:cstheme="majorBidi"/>
          <w:lang w:val="en-AU"/>
        </w:rPr>
        <w:t xml:space="preserve"> </w:t>
      </w:r>
      <w:r w:rsidR="00FE5F39" w:rsidRPr="004C5271">
        <w:rPr>
          <w:rFonts w:asciiTheme="majorBidi" w:hAnsiTheme="majorBidi" w:cstheme="majorBidi"/>
          <w:lang w:val="en-AU"/>
        </w:rPr>
        <w:t xml:space="preserve">The </w:t>
      </w:r>
      <w:r w:rsidR="00624518" w:rsidRPr="004C5271">
        <w:rPr>
          <w:rFonts w:asciiTheme="majorBidi" w:hAnsiTheme="majorBidi" w:cstheme="majorBidi"/>
          <w:lang w:val="en-AU"/>
        </w:rPr>
        <w:t xml:space="preserve">purpose of the </w:t>
      </w:r>
      <w:r w:rsidR="009E1493" w:rsidRPr="004C5271">
        <w:rPr>
          <w:rFonts w:asciiTheme="majorBidi" w:hAnsiTheme="majorBidi" w:cstheme="majorBidi"/>
          <w:lang w:val="en-AU"/>
        </w:rPr>
        <w:t>r</w:t>
      </w:r>
      <w:r w:rsidR="00FE5F39" w:rsidRPr="004C5271">
        <w:rPr>
          <w:rFonts w:asciiTheme="majorBidi" w:hAnsiTheme="majorBidi" w:cstheme="majorBidi"/>
          <w:lang w:val="en-AU"/>
        </w:rPr>
        <w:t xml:space="preserve">eport </w:t>
      </w:r>
      <w:r w:rsidR="00624518" w:rsidRPr="004C5271">
        <w:rPr>
          <w:rFonts w:asciiTheme="majorBidi" w:hAnsiTheme="majorBidi" w:cstheme="majorBidi"/>
          <w:lang w:val="en-AU"/>
        </w:rPr>
        <w:t xml:space="preserve">was to outline </w:t>
      </w:r>
      <w:r w:rsidR="00FE5F39" w:rsidRPr="004C5271">
        <w:rPr>
          <w:rFonts w:asciiTheme="majorBidi" w:hAnsiTheme="majorBidi" w:cstheme="majorBidi"/>
          <w:lang w:val="en-AU"/>
        </w:rPr>
        <w:t>draft model legislation</w:t>
      </w:r>
      <w:r w:rsidR="00301FB2" w:rsidRPr="004C5271">
        <w:rPr>
          <w:rFonts w:asciiTheme="majorBidi" w:hAnsiTheme="majorBidi" w:cstheme="majorBidi"/>
          <w:lang w:val="en-AU"/>
        </w:rPr>
        <w:t xml:space="preserve"> for Australia</w:t>
      </w:r>
      <w:r w:rsidR="00624518" w:rsidRPr="004C5271">
        <w:rPr>
          <w:rFonts w:asciiTheme="majorBidi" w:hAnsiTheme="majorBidi" w:cstheme="majorBidi"/>
          <w:lang w:val="en-AU"/>
        </w:rPr>
        <w:t xml:space="preserve"> giving effect to the National Committee’s earlier recommendations contained </w:t>
      </w:r>
      <w:r w:rsidR="00624518" w:rsidRPr="004C5271">
        <w:rPr>
          <w:rFonts w:asciiTheme="majorBidi" w:hAnsiTheme="majorBidi" w:cstheme="majorBidi"/>
          <w:lang w:val="en-AU"/>
        </w:rPr>
        <w:lastRenderedPageBreak/>
        <w:t>within its 1997 report.</w:t>
      </w:r>
      <w:r w:rsidR="00FE5F39" w:rsidRPr="004C5271">
        <w:rPr>
          <w:rStyle w:val="FootnoteReference"/>
          <w:rFonts w:asciiTheme="majorBidi" w:hAnsiTheme="majorBidi" w:cstheme="majorBidi"/>
          <w:lang w:val="en-AU"/>
        </w:rPr>
        <w:footnoteReference w:id="182"/>
      </w:r>
      <w:r w:rsidR="00A92C88" w:rsidRPr="004C5271">
        <w:rPr>
          <w:rFonts w:asciiTheme="majorBidi" w:hAnsiTheme="majorBidi" w:cstheme="majorBidi"/>
          <w:lang w:val="en-AU"/>
        </w:rPr>
        <w:t xml:space="preserve"> </w:t>
      </w:r>
      <w:r w:rsidR="00624518" w:rsidRPr="004C5271">
        <w:rPr>
          <w:rFonts w:asciiTheme="majorBidi" w:hAnsiTheme="majorBidi" w:cstheme="majorBidi"/>
          <w:lang w:val="en-AU"/>
        </w:rPr>
        <w:t xml:space="preserve">This model legislation </w:t>
      </w:r>
      <w:r w:rsidR="00A92C88" w:rsidRPr="004C5271">
        <w:rPr>
          <w:rFonts w:asciiTheme="majorBidi" w:hAnsiTheme="majorBidi" w:cstheme="majorBidi"/>
          <w:lang w:val="en-AU"/>
        </w:rPr>
        <w:t>included replicating</w:t>
      </w:r>
      <w:r w:rsidR="00CE2AEE" w:rsidRPr="004C5271">
        <w:rPr>
          <w:rFonts w:asciiTheme="majorBidi" w:hAnsiTheme="majorBidi" w:cstheme="majorBidi"/>
          <w:lang w:val="en-AU"/>
        </w:rPr>
        <w:t>,</w:t>
      </w:r>
      <w:r w:rsidR="00A92C88" w:rsidRPr="004C5271">
        <w:rPr>
          <w:rFonts w:asciiTheme="majorBidi" w:hAnsiTheme="majorBidi" w:cstheme="majorBidi"/>
          <w:lang w:val="en-AU"/>
        </w:rPr>
        <w:t xml:space="preserve"> in broad terms</w:t>
      </w:r>
      <w:r w:rsidR="00CE2AEE" w:rsidRPr="004C5271">
        <w:rPr>
          <w:rFonts w:asciiTheme="majorBidi" w:hAnsiTheme="majorBidi" w:cstheme="majorBidi"/>
          <w:lang w:val="en-AU"/>
        </w:rPr>
        <w:t>,</w:t>
      </w:r>
      <w:r w:rsidR="00A92C88" w:rsidRPr="004C5271">
        <w:rPr>
          <w:rFonts w:asciiTheme="majorBidi" w:hAnsiTheme="majorBidi" w:cstheme="majorBidi"/>
          <w:lang w:val="en-AU"/>
        </w:rPr>
        <w:t xml:space="preserve"> the notional estate provisions </w:t>
      </w:r>
      <w:r w:rsidR="00200ED8" w:rsidRPr="004C5271">
        <w:rPr>
          <w:rFonts w:asciiTheme="majorBidi" w:hAnsiTheme="majorBidi" w:cstheme="majorBidi"/>
          <w:lang w:val="en-AU"/>
        </w:rPr>
        <w:t>from</w:t>
      </w:r>
      <w:r w:rsidR="00A92C88" w:rsidRPr="004C5271">
        <w:rPr>
          <w:rFonts w:asciiTheme="majorBidi" w:hAnsiTheme="majorBidi" w:cstheme="majorBidi"/>
          <w:lang w:val="en-AU"/>
        </w:rPr>
        <w:t xml:space="preserve"> </w:t>
      </w:r>
      <w:r w:rsidR="009B004F" w:rsidRPr="004C5271">
        <w:rPr>
          <w:rFonts w:asciiTheme="majorBidi" w:hAnsiTheme="majorBidi" w:cstheme="majorBidi"/>
          <w:lang w:val="en-AU"/>
        </w:rPr>
        <w:t>New South Wales</w:t>
      </w:r>
      <w:r w:rsidR="00A92C88" w:rsidRPr="004C5271">
        <w:rPr>
          <w:rFonts w:asciiTheme="majorBidi" w:hAnsiTheme="majorBidi" w:cstheme="majorBidi"/>
          <w:lang w:val="en-AU"/>
        </w:rPr>
        <w:t>.</w:t>
      </w:r>
      <w:r w:rsidR="00FE5F39" w:rsidRPr="004C5271">
        <w:rPr>
          <w:rFonts w:asciiTheme="majorBidi" w:hAnsiTheme="majorBidi" w:cstheme="majorBidi"/>
          <w:lang w:val="en-AU"/>
        </w:rPr>
        <w:t xml:space="preserve"> </w:t>
      </w:r>
    </w:p>
    <w:p w14:paraId="31BEFFFE" w14:textId="77777777" w:rsidR="006909F4" w:rsidRPr="004C5271" w:rsidRDefault="002A68B1" w:rsidP="00E1695B">
      <w:pPr>
        <w:pStyle w:val="NormalNumberedTextTLRI"/>
        <w:rPr>
          <w:rFonts w:asciiTheme="majorBidi" w:hAnsiTheme="majorBidi" w:cstheme="majorBidi"/>
          <w:lang w:val="en-AU"/>
        </w:rPr>
      </w:pPr>
      <w:r w:rsidRPr="004C5271">
        <w:rPr>
          <w:rFonts w:asciiTheme="majorBidi" w:hAnsiTheme="majorBidi" w:cstheme="majorBidi"/>
          <w:lang w:val="en-AU"/>
        </w:rPr>
        <w:t>T</w:t>
      </w:r>
      <w:r w:rsidR="00CF5C10" w:rsidRPr="004C5271">
        <w:rPr>
          <w:rFonts w:asciiTheme="majorBidi" w:hAnsiTheme="majorBidi" w:cstheme="majorBidi"/>
          <w:lang w:val="en-AU"/>
        </w:rPr>
        <w:t>he NSW</w:t>
      </w:r>
      <w:r w:rsidR="00027875" w:rsidRPr="004C5271">
        <w:rPr>
          <w:rFonts w:asciiTheme="majorBidi" w:hAnsiTheme="majorBidi" w:cstheme="majorBidi"/>
          <w:lang w:val="en-AU"/>
        </w:rPr>
        <w:t>LRC</w:t>
      </w:r>
      <w:r w:rsidR="00FE5F39" w:rsidRPr="004C5271">
        <w:rPr>
          <w:rFonts w:asciiTheme="majorBidi" w:hAnsiTheme="majorBidi" w:cstheme="majorBidi"/>
          <w:lang w:val="en-AU"/>
        </w:rPr>
        <w:t xml:space="preserve"> subsequently </w:t>
      </w:r>
      <w:r w:rsidR="00AB13C1" w:rsidRPr="004C5271">
        <w:rPr>
          <w:rFonts w:asciiTheme="majorBidi" w:hAnsiTheme="majorBidi" w:cstheme="majorBidi"/>
          <w:lang w:val="en-AU"/>
        </w:rPr>
        <w:t>published</w:t>
      </w:r>
      <w:r w:rsidR="00FE5F39" w:rsidRPr="004C5271">
        <w:rPr>
          <w:rFonts w:asciiTheme="majorBidi" w:hAnsiTheme="majorBidi" w:cstheme="majorBidi"/>
          <w:lang w:val="en-AU"/>
        </w:rPr>
        <w:t xml:space="preserve"> a </w:t>
      </w:r>
      <w:r w:rsidR="00677CC9" w:rsidRPr="004C5271">
        <w:rPr>
          <w:rFonts w:asciiTheme="majorBidi" w:hAnsiTheme="majorBidi" w:cstheme="majorBidi"/>
          <w:lang w:val="en-AU"/>
        </w:rPr>
        <w:t>r</w:t>
      </w:r>
      <w:r w:rsidR="00FE5F39" w:rsidRPr="004C5271">
        <w:rPr>
          <w:rFonts w:asciiTheme="majorBidi" w:hAnsiTheme="majorBidi" w:cstheme="majorBidi"/>
          <w:lang w:val="en-AU"/>
        </w:rPr>
        <w:t>eport containing commentary in relation to the draft model legislation</w:t>
      </w:r>
      <w:r w:rsidR="00CF5C10" w:rsidRPr="004C5271">
        <w:rPr>
          <w:rFonts w:asciiTheme="majorBidi" w:hAnsiTheme="majorBidi" w:cstheme="majorBidi"/>
          <w:lang w:val="en-AU"/>
        </w:rPr>
        <w:t>.</w:t>
      </w:r>
      <w:r w:rsidR="005102D8" w:rsidRPr="004C5271">
        <w:rPr>
          <w:rStyle w:val="FootnoteReference"/>
          <w:rFonts w:asciiTheme="majorBidi" w:hAnsiTheme="majorBidi" w:cstheme="majorBidi"/>
          <w:lang w:val="en-AU"/>
        </w:rPr>
        <w:footnoteReference w:id="183"/>
      </w:r>
      <w:r w:rsidR="00FE5F39" w:rsidRPr="004C5271">
        <w:rPr>
          <w:rFonts w:asciiTheme="majorBidi" w:hAnsiTheme="majorBidi" w:cstheme="majorBidi"/>
          <w:lang w:val="en-AU"/>
        </w:rPr>
        <w:t xml:space="preserve"> </w:t>
      </w:r>
    </w:p>
    <w:p w14:paraId="63004736" w14:textId="29660A50" w:rsidR="00D64C0D" w:rsidRPr="004C5271" w:rsidRDefault="001626E8" w:rsidP="00E1695B">
      <w:pPr>
        <w:pStyle w:val="NormalNumberedTextTLRI"/>
        <w:rPr>
          <w:rFonts w:asciiTheme="majorBidi" w:hAnsiTheme="majorBidi" w:cstheme="majorBidi"/>
          <w:lang w:val="en-AU"/>
        </w:rPr>
      </w:pPr>
      <w:r w:rsidRPr="004C5271">
        <w:rPr>
          <w:rFonts w:asciiTheme="majorBidi" w:hAnsiTheme="majorBidi" w:cstheme="majorBidi"/>
          <w:lang w:val="en-AU"/>
        </w:rPr>
        <w:t xml:space="preserve">In 2007, the Northern Territory Law Reform Committee </w:t>
      </w:r>
      <w:r w:rsidR="005255F0" w:rsidRPr="004C5271">
        <w:rPr>
          <w:rFonts w:asciiTheme="majorBidi" w:hAnsiTheme="majorBidi" w:cstheme="majorBidi"/>
          <w:lang w:val="en-AU"/>
        </w:rPr>
        <w:t xml:space="preserve">(‘NTLRC’) </w:t>
      </w:r>
      <w:r w:rsidRPr="004C5271">
        <w:rPr>
          <w:rFonts w:asciiTheme="majorBidi" w:hAnsiTheme="majorBidi" w:cstheme="majorBidi"/>
          <w:lang w:val="en-AU"/>
        </w:rPr>
        <w:t xml:space="preserve">reviewed the draft model legislation at the request of </w:t>
      </w:r>
      <w:r w:rsidR="00102F82" w:rsidRPr="004C5271">
        <w:rPr>
          <w:rFonts w:asciiTheme="majorBidi" w:hAnsiTheme="majorBidi" w:cstheme="majorBidi"/>
          <w:lang w:val="en-AU"/>
        </w:rPr>
        <w:t>the Northern Territory</w:t>
      </w:r>
      <w:r w:rsidRPr="004C5271">
        <w:rPr>
          <w:rFonts w:asciiTheme="majorBidi" w:hAnsiTheme="majorBidi" w:cstheme="majorBidi"/>
          <w:lang w:val="en-AU"/>
        </w:rPr>
        <w:t xml:space="preserve"> Attorney-General.</w:t>
      </w:r>
      <w:bookmarkStart w:id="91" w:name="_Ref13082189"/>
      <w:r w:rsidRPr="004C5271">
        <w:rPr>
          <w:rStyle w:val="FootnoteReference"/>
          <w:rFonts w:asciiTheme="majorBidi" w:hAnsiTheme="majorBidi" w:cstheme="majorBidi"/>
          <w:lang w:val="en-AU"/>
        </w:rPr>
        <w:footnoteReference w:id="184"/>
      </w:r>
      <w:bookmarkEnd w:id="91"/>
      <w:r w:rsidRPr="004C5271">
        <w:rPr>
          <w:rFonts w:asciiTheme="majorBidi" w:hAnsiTheme="majorBidi" w:cstheme="majorBidi"/>
          <w:lang w:val="en-AU"/>
        </w:rPr>
        <w:t xml:space="preserve"> It approved in substance the provisions dealing with notional estate, </w:t>
      </w:r>
      <w:r w:rsidR="001F24F3" w:rsidRPr="004C5271">
        <w:rPr>
          <w:rFonts w:asciiTheme="majorBidi" w:hAnsiTheme="majorBidi" w:cstheme="majorBidi"/>
          <w:lang w:val="en-AU"/>
        </w:rPr>
        <w:t>except for</w:t>
      </w:r>
      <w:r w:rsidRPr="004C5271">
        <w:rPr>
          <w:rFonts w:asciiTheme="majorBidi" w:hAnsiTheme="majorBidi" w:cstheme="majorBidi"/>
          <w:lang w:val="en-AU"/>
        </w:rPr>
        <w:t xml:space="preserve"> use of notional estate to fund provisions </w:t>
      </w:r>
      <w:r w:rsidR="00A8770E" w:rsidRPr="004C5271">
        <w:rPr>
          <w:rFonts w:asciiTheme="majorBidi" w:hAnsiTheme="majorBidi" w:cstheme="majorBidi"/>
          <w:lang w:val="en-AU"/>
        </w:rPr>
        <w:t>for</w:t>
      </w:r>
      <w:r w:rsidRPr="004C5271">
        <w:rPr>
          <w:rFonts w:asciiTheme="majorBidi" w:hAnsiTheme="majorBidi" w:cstheme="majorBidi"/>
          <w:lang w:val="en-AU"/>
        </w:rPr>
        <w:t xml:space="preserve"> claims </w:t>
      </w:r>
      <w:proofErr w:type="gramStart"/>
      <w:r w:rsidRPr="004C5271">
        <w:rPr>
          <w:rFonts w:asciiTheme="majorBidi" w:hAnsiTheme="majorBidi" w:cstheme="majorBidi"/>
          <w:lang w:val="en-AU"/>
        </w:rPr>
        <w:t>made out of</w:t>
      </w:r>
      <w:proofErr w:type="gramEnd"/>
      <w:r w:rsidRPr="004C5271">
        <w:rPr>
          <w:rFonts w:asciiTheme="majorBidi" w:hAnsiTheme="majorBidi" w:cstheme="majorBidi"/>
          <w:lang w:val="en-AU"/>
        </w:rPr>
        <w:t xml:space="preserve"> time. This view was expressed on the basis that it would seem to create unfairness for third parties affected by a notional estate order.</w:t>
      </w:r>
      <w:r w:rsidRPr="004C5271">
        <w:rPr>
          <w:rStyle w:val="FootnoteReference"/>
          <w:rFonts w:asciiTheme="majorBidi" w:hAnsiTheme="majorBidi" w:cstheme="majorBidi"/>
          <w:lang w:val="en-AU"/>
        </w:rPr>
        <w:footnoteReference w:id="185"/>
      </w:r>
      <w:r w:rsidRPr="004C5271">
        <w:rPr>
          <w:rFonts w:asciiTheme="majorBidi" w:hAnsiTheme="majorBidi" w:cstheme="majorBidi"/>
          <w:lang w:val="en-AU"/>
        </w:rPr>
        <w:t xml:space="preserve"> </w:t>
      </w:r>
    </w:p>
    <w:p w14:paraId="4E0F0611" w14:textId="3908BBA5" w:rsidR="00E1695B" w:rsidRPr="004C5271" w:rsidRDefault="00D64C0D" w:rsidP="00E1695B">
      <w:pPr>
        <w:pStyle w:val="NormalNumberedTextTLRI"/>
        <w:rPr>
          <w:rFonts w:asciiTheme="majorBidi" w:hAnsiTheme="majorBidi" w:cstheme="majorBidi"/>
          <w:lang w:val="en-AU"/>
        </w:rPr>
      </w:pPr>
      <w:r w:rsidRPr="004C5271">
        <w:rPr>
          <w:rFonts w:asciiTheme="majorBidi" w:hAnsiTheme="majorBidi" w:cstheme="majorBidi"/>
          <w:lang w:val="en-AU"/>
        </w:rPr>
        <w:t>Despite the recommendations of the National Committee, notional estate legislation</w:t>
      </w:r>
      <w:r w:rsidR="00FE5F39" w:rsidRPr="004C5271">
        <w:rPr>
          <w:rFonts w:asciiTheme="majorBidi" w:hAnsiTheme="majorBidi" w:cstheme="majorBidi"/>
          <w:lang w:val="en-AU"/>
        </w:rPr>
        <w:t xml:space="preserve"> has not been implemented in any </w:t>
      </w:r>
      <w:r w:rsidR="00F77867" w:rsidRPr="004C5271">
        <w:rPr>
          <w:rFonts w:asciiTheme="majorBidi" w:hAnsiTheme="majorBidi" w:cstheme="majorBidi"/>
          <w:lang w:val="en-AU"/>
        </w:rPr>
        <w:t xml:space="preserve">other </w:t>
      </w:r>
      <w:r w:rsidR="00FE5F39" w:rsidRPr="004C5271">
        <w:rPr>
          <w:rFonts w:asciiTheme="majorBidi" w:hAnsiTheme="majorBidi" w:cstheme="majorBidi"/>
          <w:lang w:val="en-AU"/>
        </w:rPr>
        <w:t>Australian jurisdiction.</w:t>
      </w:r>
      <w:r w:rsidR="00E1695B" w:rsidRPr="004C5271">
        <w:rPr>
          <w:rFonts w:asciiTheme="majorBidi" w:hAnsiTheme="majorBidi" w:cstheme="majorBidi"/>
          <w:lang w:val="en-AU"/>
        </w:rPr>
        <w:t xml:space="preserve"> Senior Counsel, Lindsay Ellison SC</w:t>
      </w:r>
      <w:r w:rsidR="00ED463B" w:rsidRPr="004C5271">
        <w:rPr>
          <w:rFonts w:asciiTheme="majorBidi" w:hAnsiTheme="majorBidi" w:cstheme="majorBidi"/>
          <w:lang w:val="en-AU"/>
        </w:rPr>
        <w:t>,</w:t>
      </w:r>
      <w:r w:rsidR="00E1695B" w:rsidRPr="004C5271">
        <w:rPr>
          <w:rFonts w:asciiTheme="majorBidi" w:hAnsiTheme="majorBidi" w:cstheme="majorBidi"/>
          <w:lang w:val="en-AU"/>
        </w:rPr>
        <w:t xml:space="preserve"> has commented</w:t>
      </w:r>
      <w:r w:rsidR="00ED463B" w:rsidRPr="004C5271">
        <w:rPr>
          <w:rFonts w:asciiTheme="majorBidi" w:hAnsiTheme="majorBidi" w:cstheme="majorBidi"/>
          <w:lang w:val="en-AU"/>
        </w:rPr>
        <w:t xml:space="preserve"> in relation to this </w:t>
      </w:r>
      <w:r w:rsidR="001B065B" w:rsidRPr="004C5271">
        <w:rPr>
          <w:rFonts w:asciiTheme="majorBidi" w:hAnsiTheme="majorBidi" w:cstheme="majorBidi"/>
          <w:lang w:val="en-AU"/>
        </w:rPr>
        <w:t>inaction</w:t>
      </w:r>
      <w:r w:rsidR="00E1695B" w:rsidRPr="004C5271">
        <w:rPr>
          <w:rFonts w:asciiTheme="majorBidi" w:hAnsiTheme="majorBidi" w:cstheme="majorBidi"/>
          <w:lang w:val="en-AU"/>
        </w:rPr>
        <w:t xml:space="preserve">: </w:t>
      </w:r>
    </w:p>
    <w:p w14:paraId="5526D6E6" w14:textId="29485C9B" w:rsidR="00E1695B" w:rsidRPr="004C5271" w:rsidRDefault="00E1695B" w:rsidP="005669F7">
      <w:pPr>
        <w:pStyle w:val="QuoteTLRI"/>
        <w:rPr>
          <w:rFonts w:asciiTheme="majorBidi" w:hAnsiTheme="majorBidi" w:cstheme="majorBidi"/>
        </w:rPr>
      </w:pPr>
      <w:r w:rsidRPr="004C5271">
        <w:rPr>
          <w:rFonts w:asciiTheme="majorBidi" w:hAnsiTheme="majorBidi" w:cstheme="majorBidi"/>
        </w:rPr>
        <w:t xml:space="preserve">It would be adventurous to say in this regard New South Wales </w:t>
      </w:r>
      <w:r w:rsidR="005669F7" w:rsidRPr="004C5271">
        <w:rPr>
          <w:rFonts w:asciiTheme="majorBidi" w:hAnsiTheme="majorBidi" w:cstheme="majorBidi"/>
        </w:rPr>
        <w:t>‘</w:t>
      </w:r>
      <w:r w:rsidRPr="004C5271">
        <w:rPr>
          <w:rFonts w:asciiTheme="majorBidi" w:hAnsiTheme="majorBidi" w:cstheme="majorBidi"/>
        </w:rPr>
        <w:t>leads the way</w:t>
      </w:r>
      <w:r w:rsidR="005669F7" w:rsidRPr="004C5271">
        <w:rPr>
          <w:rFonts w:asciiTheme="majorBidi" w:hAnsiTheme="majorBidi" w:cstheme="majorBidi"/>
        </w:rPr>
        <w:t>’</w:t>
      </w:r>
      <w:r w:rsidRPr="004C5271">
        <w:rPr>
          <w:rFonts w:asciiTheme="majorBidi" w:hAnsiTheme="majorBidi" w:cstheme="majorBidi"/>
        </w:rPr>
        <w:t xml:space="preserve"> since in the 35 years since the </w:t>
      </w:r>
      <w:r w:rsidRPr="004C5271">
        <w:rPr>
          <w:rFonts w:asciiTheme="majorBidi" w:hAnsiTheme="majorBidi" w:cstheme="majorBidi"/>
          <w:i/>
          <w:iCs/>
        </w:rPr>
        <w:t>Family Provision Act</w:t>
      </w:r>
      <w:r w:rsidRPr="004C5271">
        <w:rPr>
          <w:rFonts w:asciiTheme="majorBidi" w:hAnsiTheme="majorBidi" w:cstheme="majorBidi"/>
        </w:rPr>
        <w:t>, 1982 came into force, no other State has followed.</w:t>
      </w:r>
      <w:r w:rsidRPr="004C5271">
        <w:rPr>
          <w:rStyle w:val="FootnoteReference"/>
          <w:rFonts w:asciiTheme="majorBidi" w:hAnsiTheme="majorBidi" w:cstheme="majorBidi"/>
        </w:rPr>
        <w:footnoteReference w:id="186"/>
      </w:r>
    </w:p>
    <w:p w14:paraId="4B38EF52" w14:textId="398D03F1" w:rsidR="005602B7" w:rsidRPr="004C5271" w:rsidRDefault="005602B7" w:rsidP="00AE2B8C">
      <w:pPr>
        <w:pStyle w:val="Sub-HeadingTLRI"/>
      </w:pPr>
      <w:r w:rsidRPr="004C5271">
        <w:t>The Law Commission of Western Australia</w:t>
      </w:r>
    </w:p>
    <w:p w14:paraId="1CCCCBFD" w14:textId="59B1E5FA" w:rsidR="005602B7" w:rsidRPr="004C5271" w:rsidRDefault="005602B7" w:rsidP="005602B7">
      <w:pPr>
        <w:pStyle w:val="NormalNumberedTextTLRI"/>
        <w:rPr>
          <w:rFonts w:asciiTheme="majorBidi" w:hAnsiTheme="majorBidi" w:cstheme="majorBidi"/>
          <w:lang w:val="en-AU"/>
        </w:rPr>
      </w:pPr>
      <w:r w:rsidRPr="004C5271">
        <w:rPr>
          <w:rFonts w:asciiTheme="majorBidi" w:hAnsiTheme="majorBidi" w:cstheme="majorBidi"/>
          <w:lang w:val="en-AU"/>
        </w:rPr>
        <w:t>The Law Reform Commission of Western Australia (‘</w:t>
      </w:r>
      <w:r w:rsidR="006909F4" w:rsidRPr="004C5271">
        <w:rPr>
          <w:rFonts w:asciiTheme="majorBidi" w:hAnsiTheme="majorBidi" w:cstheme="majorBidi"/>
          <w:lang w:val="en-AU"/>
        </w:rPr>
        <w:t>WA</w:t>
      </w:r>
      <w:r w:rsidRPr="004C5271">
        <w:rPr>
          <w:rFonts w:asciiTheme="majorBidi" w:hAnsiTheme="majorBidi" w:cstheme="majorBidi"/>
          <w:lang w:val="en-AU"/>
        </w:rPr>
        <w:t xml:space="preserve">LRC’) was engaged to conduct a review of Western Australian law applying to joint </w:t>
      </w:r>
      <w:r w:rsidRPr="004C5271">
        <w:rPr>
          <w:rFonts w:asciiTheme="majorBidi" w:hAnsiTheme="majorBidi" w:cstheme="majorBidi"/>
          <w:lang w:val="en-AU"/>
        </w:rPr>
        <w:lastRenderedPageBreak/>
        <w:t>tenancy and tenancy in common properties, releasing its report and recommendations in 1994.</w:t>
      </w:r>
      <w:bookmarkStart w:id="92" w:name="_Ref13343870"/>
      <w:r w:rsidRPr="004C5271">
        <w:rPr>
          <w:rStyle w:val="FootnoteReference"/>
          <w:rFonts w:asciiTheme="majorBidi" w:hAnsiTheme="majorBidi" w:cstheme="majorBidi"/>
          <w:lang w:val="en-AU"/>
        </w:rPr>
        <w:footnoteReference w:id="187"/>
      </w:r>
      <w:bookmarkEnd w:id="92"/>
      <w:r w:rsidRPr="004C5271">
        <w:rPr>
          <w:rFonts w:asciiTheme="majorBidi" w:hAnsiTheme="majorBidi" w:cstheme="majorBidi"/>
          <w:lang w:val="en-AU"/>
        </w:rPr>
        <w:t xml:space="preserve"> </w:t>
      </w:r>
    </w:p>
    <w:p w14:paraId="4820DF13" w14:textId="5B1E9AD8" w:rsidR="005602B7" w:rsidRPr="004C5271" w:rsidRDefault="005602B7" w:rsidP="005602B7">
      <w:pPr>
        <w:pStyle w:val="NormalNumberedTextTLRI"/>
        <w:rPr>
          <w:rFonts w:asciiTheme="majorBidi" w:hAnsiTheme="majorBidi" w:cstheme="majorBidi"/>
          <w:lang w:val="en-AU"/>
        </w:rPr>
      </w:pPr>
      <w:r w:rsidRPr="004C5271">
        <w:rPr>
          <w:rFonts w:asciiTheme="majorBidi" w:hAnsiTheme="majorBidi" w:cstheme="majorBidi"/>
          <w:lang w:val="en-AU"/>
        </w:rPr>
        <w:t xml:space="preserve">The review noted developments internationally and the notional estate provisions operating in New South Wales as they apply specifically to joint tenancy properties. The </w:t>
      </w:r>
      <w:r w:rsidR="006909F4" w:rsidRPr="004C5271">
        <w:rPr>
          <w:rFonts w:asciiTheme="majorBidi" w:hAnsiTheme="majorBidi" w:cstheme="majorBidi"/>
          <w:lang w:val="en-AU"/>
        </w:rPr>
        <w:t>WA</w:t>
      </w:r>
      <w:r w:rsidRPr="004C5271">
        <w:rPr>
          <w:rFonts w:asciiTheme="majorBidi" w:hAnsiTheme="majorBidi" w:cstheme="majorBidi"/>
          <w:lang w:val="en-AU"/>
        </w:rPr>
        <w:t xml:space="preserve">LRC identified arguments both for and against reforms enabling the court to utilise joint tenancy properties to fund provision for successful family provision claimants. It tentatively favoured a more limited approach to the New South Wales </w:t>
      </w:r>
      <w:r w:rsidRPr="004C5271">
        <w:rPr>
          <w:rFonts w:asciiTheme="majorBidi" w:hAnsiTheme="majorBidi" w:cstheme="majorBidi"/>
          <w:i/>
          <w:iCs/>
          <w:lang w:val="en-AU"/>
        </w:rPr>
        <w:t>Succession Act</w:t>
      </w:r>
      <w:r w:rsidR="00120AF6" w:rsidRPr="004C5271">
        <w:rPr>
          <w:rFonts w:asciiTheme="majorBidi" w:hAnsiTheme="majorBidi" w:cstheme="majorBidi"/>
          <w:lang w:val="en-AU"/>
        </w:rPr>
        <w:t xml:space="preserve">. It suggested </w:t>
      </w:r>
      <w:r w:rsidR="00102F82" w:rsidRPr="004C5271">
        <w:rPr>
          <w:rFonts w:asciiTheme="majorBidi" w:hAnsiTheme="majorBidi" w:cstheme="majorBidi"/>
          <w:lang w:val="en-AU"/>
        </w:rPr>
        <w:t xml:space="preserve">that </w:t>
      </w:r>
      <w:r w:rsidR="00120AF6" w:rsidRPr="004C5271">
        <w:rPr>
          <w:rFonts w:asciiTheme="majorBidi" w:hAnsiTheme="majorBidi" w:cstheme="majorBidi"/>
          <w:lang w:val="en-AU"/>
        </w:rPr>
        <w:t xml:space="preserve">provisions </w:t>
      </w:r>
      <w:r w:rsidR="00102F82" w:rsidRPr="004C5271">
        <w:rPr>
          <w:rFonts w:asciiTheme="majorBidi" w:hAnsiTheme="majorBidi" w:cstheme="majorBidi"/>
          <w:lang w:val="en-AU"/>
        </w:rPr>
        <w:t>should</w:t>
      </w:r>
      <w:r w:rsidR="00120AF6" w:rsidRPr="004C5271">
        <w:rPr>
          <w:rFonts w:asciiTheme="majorBidi" w:hAnsiTheme="majorBidi" w:cstheme="majorBidi"/>
          <w:lang w:val="en-AU"/>
        </w:rPr>
        <w:t xml:space="preserve"> cover</w:t>
      </w:r>
      <w:r w:rsidRPr="004C5271">
        <w:rPr>
          <w:rFonts w:asciiTheme="majorBidi" w:hAnsiTheme="majorBidi" w:cstheme="majorBidi"/>
          <w:lang w:val="en-AU"/>
        </w:rPr>
        <w:t>:</w:t>
      </w:r>
    </w:p>
    <w:p w14:paraId="0318DE26" w14:textId="57E89114" w:rsidR="005602B7" w:rsidRPr="004C5271" w:rsidRDefault="005602B7" w:rsidP="005602B7">
      <w:pPr>
        <w:pStyle w:val="DotPointTLRI"/>
        <w:rPr>
          <w:rFonts w:asciiTheme="majorBidi" w:hAnsiTheme="majorBidi" w:cstheme="majorBidi"/>
          <w:lang w:val="en-AU"/>
        </w:rPr>
      </w:pPr>
      <w:r w:rsidRPr="004C5271">
        <w:rPr>
          <w:rFonts w:asciiTheme="majorBidi" w:hAnsiTheme="majorBidi" w:cstheme="majorBidi"/>
          <w:lang w:val="en-AU"/>
        </w:rPr>
        <w:t xml:space="preserve">acts (rather than omissions) </w:t>
      </w:r>
      <w:r w:rsidR="005669F7" w:rsidRPr="004C5271">
        <w:rPr>
          <w:rFonts w:asciiTheme="majorBidi" w:hAnsiTheme="majorBidi" w:cstheme="majorBidi"/>
          <w:lang w:val="en-AU"/>
        </w:rPr>
        <w:t>—</w:t>
      </w:r>
      <w:r w:rsidRPr="004C5271">
        <w:rPr>
          <w:rFonts w:asciiTheme="majorBidi" w:hAnsiTheme="majorBidi" w:cstheme="majorBidi"/>
          <w:lang w:val="en-AU"/>
        </w:rPr>
        <w:t xml:space="preserve"> for example, </w:t>
      </w:r>
      <w:r w:rsidR="00C873A6" w:rsidRPr="004C5271">
        <w:rPr>
          <w:rFonts w:asciiTheme="majorBidi" w:hAnsiTheme="majorBidi" w:cstheme="majorBidi"/>
          <w:lang w:val="en-AU"/>
        </w:rPr>
        <w:t>where assets are transferred to joint tenancy rather than the failure to sever a joint tenancy prior to death</w:t>
      </w:r>
      <w:r w:rsidRPr="004C5271">
        <w:rPr>
          <w:rFonts w:asciiTheme="majorBidi" w:hAnsiTheme="majorBidi" w:cstheme="majorBidi"/>
          <w:lang w:val="en-AU"/>
        </w:rPr>
        <w:t>;</w:t>
      </w:r>
    </w:p>
    <w:p w14:paraId="2C4CAC3B" w14:textId="007BACF4" w:rsidR="005602B7" w:rsidRPr="004C5271" w:rsidRDefault="005602B7" w:rsidP="005602B7">
      <w:pPr>
        <w:pStyle w:val="DotPointTLRI"/>
        <w:rPr>
          <w:rFonts w:asciiTheme="majorBidi" w:hAnsiTheme="majorBidi" w:cstheme="majorBidi"/>
          <w:lang w:val="en-AU"/>
        </w:rPr>
      </w:pPr>
      <w:r w:rsidRPr="004C5271">
        <w:rPr>
          <w:rFonts w:asciiTheme="majorBidi" w:hAnsiTheme="majorBidi" w:cstheme="majorBidi"/>
          <w:lang w:val="en-AU"/>
        </w:rPr>
        <w:t>transactions occurring within a limited period of one year prior to death where full consideration is not given;</w:t>
      </w:r>
    </w:p>
    <w:p w14:paraId="71DCF4C3" w14:textId="1D74ADD4" w:rsidR="005602B7" w:rsidRPr="004C5271" w:rsidRDefault="00120AF6" w:rsidP="005602B7">
      <w:pPr>
        <w:pStyle w:val="DotPointTLRI"/>
        <w:rPr>
          <w:rFonts w:asciiTheme="majorBidi" w:hAnsiTheme="majorBidi" w:cstheme="majorBidi"/>
          <w:lang w:val="en-AU"/>
        </w:rPr>
      </w:pPr>
      <w:r w:rsidRPr="004C5271">
        <w:rPr>
          <w:rFonts w:asciiTheme="majorBidi" w:hAnsiTheme="majorBidi" w:cstheme="majorBidi"/>
          <w:lang w:val="en-AU"/>
        </w:rPr>
        <w:t xml:space="preserve">transactions </w:t>
      </w:r>
      <w:r w:rsidR="005602B7" w:rsidRPr="004C5271">
        <w:rPr>
          <w:rFonts w:asciiTheme="majorBidi" w:hAnsiTheme="majorBidi" w:cstheme="majorBidi"/>
          <w:lang w:val="en-AU"/>
        </w:rPr>
        <w:t>where there is an intention to defeat a family provision claim;</w:t>
      </w:r>
      <w:r w:rsidR="00C873A6" w:rsidRPr="004C5271">
        <w:rPr>
          <w:rFonts w:asciiTheme="majorBidi" w:hAnsiTheme="majorBidi" w:cstheme="majorBidi"/>
          <w:lang w:val="en-AU"/>
        </w:rPr>
        <w:t xml:space="preserve"> </w:t>
      </w:r>
    </w:p>
    <w:p w14:paraId="5577514E" w14:textId="480921E9" w:rsidR="00C873A6" w:rsidRPr="004C5271" w:rsidRDefault="00C873A6" w:rsidP="005602B7">
      <w:pPr>
        <w:pStyle w:val="DotPointTLRI"/>
        <w:rPr>
          <w:rFonts w:asciiTheme="majorBidi" w:hAnsiTheme="majorBidi" w:cstheme="majorBidi"/>
          <w:lang w:val="en-AU"/>
        </w:rPr>
      </w:pPr>
      <w:r w:rsidRPr="004C5271">
        <w:rPr>
          <w:rFonts w:asciiTheme="majorBidi" w:hAnsiTheme="majorBidi" w:cstheme="majorBidi"/>
          <w:lang w:val="en-AU"/>
        </w:rPr>
        <w:t>claims progressed in a timely manner;</w:t>
      </w:r>
      <w:r w:rsidR="007B36CE" w:rsidRPr="004C5271">
        <w:rPr>
          <w:rStyle w:val="FootnoteReference"/>
          <w:rFonts w:asciiTheme="majorBidi" w:hAnsiTheme="majorBidi" w:cstheme="majorBidi"/>
          <w:lang w:val="en-AU"/>
        </w:rPr>
        <w:footnoteReference w:id="188"/>
      </w:r>
      <w:r w:rsidRPr="004C5271">
        <w:rPr>
          <w:rFonts w:asciiTheme="majorBidi" w:hAnsiTheme="majorBidi" w:cstheme="majorBidi"/>
          <w:lang w:val="en-AU"/>
        </w:rPr>
        <w:t xml:space="preserve"> </w:t>
      </w:r>
    </w:p>
    <w:p w14:paraId="75D31E8F" w14:textId="2166D112" w:rsidR="00C873A6" w:rsidRPr="004C5271" w:rsidRDefault="00C873A6" w:rsidP="005602B7">
      <w:pPr>
        <w:pStyle w:val="DotPointTLRI"/>
        <w:rPr>
          <w:rFonts w:asciiTheme="majorBidi" w:hAnsiTheme="majorBidi" w:cstheme="majorBidi"/>
          <w:lang w:val="en-AU"/>
        </w:rPr>
      </w:pPr>
      <w:r w:rsidRPr="004C5271">
        <w:rPr>
          <w:rFonts w:asciiTheme="majorBidi" w:hAnsiTheme="majorBidi" w:cstheme="majorBidi"/>
          <w:lang w:val="en-AU"/>
        </w:rPr>
        <w:t>protections for third parties, for example financial institutions; and</w:t>
      </w:r>
    </w:p>
    <w:p w14:paraId="19B00552" w14:textId="2DCB92DB" w:rsidR="00C873A6" w:rsidRPr="004C5271" w:rsidRDefault="00120AF6" w:rsidP="005602B7">
      <w:pPr>
        <w:pStyle w:val="DotPointTLRI"/>
        <w:rPr>
          <w:rFonts w:asciiTheme="majorBidi" w:hAnsiTheme="majorBidi" w:cstheme="majorBidi"/>
          <w:lang w:val="en-AU"/>
        </w:rPr>
      </w:pPr>
      <w:r w:rsidRPr="004C5271">
        <w:rPr>
          <w:rFonts w:asciiTheme="majorBidi" w:hAnsiTheme="majorBidi" w:cstheme="majorBidi"/>
          <w:lang w:val="en-AU"/>
        </w:rPr>
        <w:t xml:space="preserve">situations </w:t>
      </w:r>
      <w:r w:rsidR="00C873A6" w:rsidRPr="004C5271">
        <w:rPr>
          <w:rFonts w:asciiTheme="majorBidi" w:hAnsiTheme="majorBidi" w:cstheme="majorBidi"/>
          <w:lang w:val="en-AU"/>
        </w:rPr>
        <w:t xml:space="preserve">where there </w:t>
      </w:r>
      <w:r w:rsidR="001F24F3" w:rsidRPr="004C5271">
        <w:rPr>
          <w:rFonts w:asciiTheme="majorBidi" w:hAnsiTheme="majorBidi" w:cstheme="majorBidi"/>
          <w:lang w:val="en-AU"/>
        </w:rPr>
        <w:t>are</w:t>
      </w:r>
      <w:r w:rsidR="00C873A6" w:rsidRPr="004C5271">
        <w:rPr>
          <w:rFonts w:asciiTheme="majorBidi" w:hAnsiTheme="majorBidi" w:cstheme="majorBidi"/>
          <w:lang w:val="en-AU"/>
        </w:rPr>
        <w:t xml:space="preserve"> otherwise insufficient assets in the estate to fund an award.</w:t>
      </w:r>
      <w:r w:rsidR="00C873A6" w:rsidRPr="004C5271">
        <w:rPr>
          <w:rStyle w:val="FootnoteReference"/>
          <w:rFonts w:asciiTheme="majorBidi" w:hAnsiTheme="majorBidi" w:cstheme="majorBidi"/>
          <w:lang w:val="en-AU"/>
        </w:rPr>
        <w:footnoteReference w:id="189"/>
      </w:r>
    </w:p>
    <w:p w14:paraId="69227415" w14:textId="3E8457CD" w:rsidR="00C873A6" w:rsidRPr="004C5271" w:rsidRDefault="00C873A6" w:rsidP="00076B44">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5669F7" w:rsidRPr="004C5271">
        <w:rPr>
          <w:rFonts w:asciiTheme="majorBidi" w:hAnsiTheme="majorBidi" w:cstheme="majorBidi"/>
          <w:lang w:val="en-AU"/>
        </w:rPr>
        <w:t>WALRC</w:t>
      </w:r>
      <w:r w:rsidRPr="004C5271">
        <w:rPr>
          <w:rFonts w:asciiTheme="majorBidi" w:hAnsiTheme="majorBidi" w:cstheme="majorBidi"/>
          <w:lang w:val="en-AU"/>
        </w:rPr>
        <w:t xml:space="preserve"> concluded, however, that it was inappropriate to propose legislative reform to deal solely with joint tenancy properties and so </w:t>
      </w:r>
      <w:r w:rsidRPr="004C5271">
        <w:rPr>
          <w:rFonts w:asciiTheme="majorBidi" w:hAnsiTheme="majorBidi" w:cstheme="majorBidi"/>
          <w:lang w:val="en-AU"/>
        </w:rPr>
        <w:lastRenderedPageBreak/>
        <w:t>recommended against legislative reform.</w:t>
      </w:r>
      <w:r w:rsidRPr="004C5271">
        <w:rPr>
          <w:rStyle w:val="FootnoteReference"/>
          <w:rFonts w:asciiTheme="majorBidi" w:hAnsiTheme="majorBidi" w:cstheme="majorBidi"/>
          <w:lang w:val="en-AU"/>
        </w:rPr>
        <w:footnoteReference w:id="190"/>
      </w:r>
      <w:r w:rsidRPr="004C5271">
        <w:rPr>
          <w:rFonts w:asciiTheme="majorBidi" w:hAnsiTheme="majorBidi" w:cstheme="majorBidi"/>
          <w:lang w:val="en-AU"/>
        </w:rPr>
        <w:t xml:space="preserve"> It recommended that it was instead desirable for Western Australian family provision legislation to be reviewed more broadly in relation to</w:t>
      </w:r>
      <w:r w:rsidR="00950FE4" w:rsidRPr="004C5271">
        <w:rPr>
          <w:rFonts w:asciiTheme="majorBidi" w:hAnsiTheme="majorBidi" w:cstheme="majorBidi"/>
          <w:lang w:val="en-AU"/>
        </w:rPr>
        <w:t xml:space="preserve"> the</w:t>
      </w:r>
      <w:r w:rsidRPr="004C5271">
        <w:rPr>
          <w:rFonts w:asciiTheme="majorBidi" w:hAnsiTheme="majorBidi" w:cstheme="majorBidi"/>
          <w:lang w:val="en-AU"/>
        </w:rPr>
        <w:t xml:space="preserve"> potential use of non-estate assets to fund awards of provision.</w:t>
      </w:r>
      <w:r w:rsidRPr="004C5271">
        <w:rPr>
          <w:rStyle w:val="FootnoteReference"/>
          <w:rFonts w:asciiTheme="majorBidi" w:hAnsiTheme="majorBidi" w:cstheme="majorBidi"/>
          <w:lang w:val="en-AU"/>
        </w:rPr>
        <w:footnoteReference w:id="191"/>
      </w:r>
      <w:r w:rsidR="00950FE4" w:rsidRPr="004C5271">
        <w:rPr>
          <w:rFonts w:asciiTheme="majorBidi" w:hAnsiTheme="majorBidi" w:cstheme="majorBidi"/>
          <w:lang w:val="en-AU"/>
        </w:rPr>
        <w:t xml:space="preserve"> This recommendation has not been progressed.</w:t>
      </w:r>
      <w:r w:rsidR="00950FE4" w:rsidRPr="004C5271">
        <w:rPr>
          <w:rStyle w:val="FootnoteReference"/>
          <w:rFonts w:asciiTheme="majorBidi" w:hAnsiTheme="majorBidi" w:cstheme="majorBidi"/>
          <w:lang w:val="en-AU"/>
        </w:rPr>
        <w:footnoteReference w:id="192"/>
      </w:r>
    </w:p>
    <w:p w14:paraId="292EF2A6" w14:textId="0CD01512" w:rsidR="00343BFF" w:rsidRPr="004C5271" w:rsidRDefault="00343BFF" w:rsidP="00AE2B8C">
      <w:pPr>
        <w:pStyle w:val="Sub-HeadingTLRI"/>
      </w:pPr>
      <w:r w:rsidRPr="004C5271">
        <w:t>Victoria</w:t>
      </w:r>
      <w:r w:rsidR="00980EE3" w:rsidRPr="004C5271">
        <w:t xml:space="preserve">n Law Reform Commission </w:t>
      </w:r>
      <w:r w:rsidR="002216AD" w:rsidRPr="004C5271">
        <w:t xml:space="preserve">Review </w:t>
      </w:r>
    </w:p>
    <w:p w14:paraId="091F9B3B" w14:textId="2B22FB60" w:rsidR="00343BFF" w:rsidRPr="004C5271" w:rsidRDefault="00343BFF" w:rsidP="00CE2AEE">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0B0A73" w:rsidRPr="004C5271">
        <w:rPr>
          <w:rFonts w:asciiTheme="majorBidi" w:hAnsiTheme="majorBidi" w:cstheme="majorBidi"/>
          <w:lang w:val="en-AU"/>
        </w:rPr>
        <w:t>Victorian Law Reform Commission (‘</w:t>
      </w:r>
      <w:r w:rsidRPr="004C5271">
        <w:rPr>
          <w:rFonts w:asciiTheme="majorBidi" w:hAnsiTheme="majorBidi" w:cstheme="majorBidi"/>
          <w:lang w:val="en-AU"/>
        </w:rPr>
        <w:t>VLRC</w:t>
      </w:r>
      <w:r w:rsidR="000B0A73" w:rsidRPr="004C5271">
        <w:rPr>
          <w:rFonts w:asciiTheme="majorBidi" w:hAnsiTheme="majorBidi" w:cstheme="majorBidi"/>
          <w:lang w:val="en-AU"/>
        </w:rPr>
        <w:t>’)</w:t>
      </w:r>
      <w:r w:rsidRPr="004C5271">
        <w:rPr>
          <w:rFonts w:asciiTheme="majorBidi" w:hAnsiTheme="majorBidi" w:cstheme="majorBidi"/>
          <w:lang w:val="en-AU"/>
        </w:rPr>
        <w:t xml:space="preserve"> released a </w:t>
      </w:r>
      <w:r w:rsidR="009E1493" w:rsidRPr="004C5271">
        <w:rPr>
          <w:rFonts w:asciiTheme="majorBidi" w:hAnsiTheme="majorBidi" w:cstheme="majorBidi"/>
          <w:lang w:val="en-AU"/>
        </w:rPr>
        <w:t xml:space="preserve">Consultation </w:t>
      </w:r>
      <w:r w:rsidRPr="004C5271">
        <w:rPr>
          <w:rFonts w:asciiTheme="majorBidi" w:hAnsiTheme="majorBidi" w:cstheme="majorBidi"/>
          <w:lang w:val="en-AU"/>
        </w:rPr>
        <w:t xml:space="preserve">Paper in 2012 as part of its review of </w:t>
      </w:r>
      <w:r w:rsidR="00C76B47" w:rsidRPr="004C5271">
        <w:rPr>
          <w:rFonts w:asciiTheme="majorBidi" w:hAnsiTheme="majorBidi" w:cstheme="majorBidi"/>
          <w:lang w:val="en-AU"/>
        </w:rPr>
        <w:t>s</w:t>
      </w:r>
      <w:r w:rsidRPr="004C5271">
        <w:rPr>
          <w:rFonts w:asciiTheme="majorBidi" w:hAnsiTheme="majorBidi" w:cstheme="majorBidi"/>
          <w:lang w:val="en-AU"/>
        </w:rPr>
        <w:t xml:space="preserve">uccession </w:t>
      </w:r>
      <w:r w:rsidR="00C76B47" w:rsidRPr="004C5271">
        <w:rPr>
          <w:rFonts w:asciiTheme="majorBidi" w:hAnsiTheme="majorBidi" w:cstheme="majorBidi"/>
          <w:lang w:val="en-AU"/>
        </w:rPr>
        <w:t>l</w:t>
      </w:r>
      <w:r w:rsidRPr="004C5271">
        <w:rPr>
          <w:rFonts w:asciiTheme="majorBidi" w:hAnsiTheme="majorBidi" w:cstheme="majorBidi"/>
          <w:lang w:val="en-AU"/>
        </w:rPr>
        <w:t>aw in Victoria.</w:t>
      </w:r>
      <w:bookmarkStart w:id="93" w:name="_Ref1938910"/>
      <w:r w:rsidRPr="004C5271">
        <w:rPr>
          <w:rStyle w:val="FootnoteReference"/>
          <w:rFonts w:asciiTheme="majorBidi" w:hAnsiTheme="majorBidi" w:cstheme="majorBidi"/>
          <w:lang w:val="en-AU"/>
        </w:rPr>
        <w:footnoteReference w:id="193"/>
      </w:r>
      <w:bookmarkEnd w:id="93"/>
      <w:r w:rsidRPr="004C5271">
        <w:rPr>
          <w:rFonts w:asciiTheme="majorBidi" w:hAnsiTheme="majorBidi" w:cstheme="majorBidi"/>
          <w:lang w:val="en-AU"/>
        </w:rPr>
        <w:t xml:space="preserve"> Amongst other matters, it dealt with the possibility of introducing notional estate provisions in Victoria.</w:t>
      </w:r>
      <w:r w:rsidRPr="004C5271">
        <w:rPr>
          <w:rStyle w:val="FootnoteReference"/>
          <w:rFonts w:asciiTheme="majorBidi" w:hAnsiTheme="majorBidi" w:cstheme="majorBidi"/>
          <w:lang w:val="en-AU"/>
        </w:rPr>
        <w:footnoteReference w:id="194"/>
      </w:r>
    </w:p>
    <w:p w14:paraId="54E37DEA" w14:textId="3BD4225E" w:rsidR="00EE4DD6" w:rsidRPr="004C5271" w:rsidRDefault="00314BF6" w:rsidP="00CE2AEE">
      <w:pPr>
        <w:pStyle w:val="NormalNumberedTextTLRI"/>
        <w:rPr>
          <w:rFonts w:asciiTheme="majorBidi" w:hAnsiTheme="majorBidi" w:cstheme="majorBidi"/>
          <w:lang w:val="en-AU"/>
        </w:rPr>
      </w:pPr>
      <w:r w:rsidRPr="004C5271">
        <w:rPr>
          <w:rFonts w:asciiTheme="majorBidi" w:hAnsiTheme="majorBidi" w:cstheme="majorBidi"/>
          <w:lang w:val="en-AU"/>
        </w:rPr>
        <w:t>In its Final Report, t</w:t>
      </w:r>
      <w:r w:rsidR="00343BFF" w:rsidRPr="004C5271">
        <w:rPr>
          <w:rFonts w:asciiTheme="majorBidi" w:hAnsiTheme="majorBidi" w:cstheme="majorBidi"/>
          <w:lang w:val="en-AU"/>
        </w:rPr>
        <w:t xml:space="preserve">he </w:t>
      </w:r>
      <w:r w:rsidR="00EE4DD6" w:rsidRPr="004C5271">
        <w:rPr>
          <w:rFonts w:asciiTheme="majorBidi" w:hAnsiTheme="majorBidi" w:cstheme="majorBidi"/>
          <w:lang w:val="en-AU"/>
        </w:rPr>
        <w:t>VLRC</w:t>
      </w:r>
      <w:r w:rsidR="00343BFF" w:rsidRPr="004C5271">
        <w:rPr>
          <w:rFonts w:asciiTheme="majorBidi" w:hAnsiTheme="majorBidi" w:cstheme="majorBidi"/>
          <w:lang w:val="en-AU"/>
        </w:rPr>
        <w:t xml:space="preserve"> </w:t>
      </w:r>
      <w:r w:rsidR="00F32934" w:rsidRPr="004C5271">
        <w:rPr>
          <w:rFonts w:asciiTheme="majorBidi" w:hAnsiTheme="majorBidi" w:cstheme="majorBidi"/>
          <w:lang w:val="en-AU"/>
        </w:rPr>
        <w:t>observed that several respondents</w:t>
      </w:r>
      <w:r w:rsidR="00CE2AEE" w:rsidRPr="004C5271">
        <w:rPr>
          <w:rFonts w:asciiTheme="majorBidi" w:hAnsiTheme="majorBidi" w:cstheme="majorBidi"/>
          <w:lang w:val="en-AU"/>
        </w:rPr>
        <w:t>’</w:t>
      </w:r>
      <w:r w:rsidR="00F32934" w:rsidRPr="004C5271">
        <w:rPr>
          <w:rFonts w:asciiTheme="majorBidi" w:hAnsiTheme="majorBidi" w:cstheme="majorBidi"/>
          <w:lang w:val="en-AU"/>
        </w:rPr>
        <w:t xml:space="preserve"> </w:t>
      </w:r>
      <w:r w:rsidR="00200ED8" w:rsidRPr="004C5271">
        <w:rPr>
          <w:rFonts w:asciiTheme="majorBidi" w:hAnsiTheme="majorBidi" w:cstheme="majorBidi"/>
          <w:lang w:val="en-AU"/>
        </w:rPr>
        <w:t xml:space="preserve">submissions </w:t>
      </w:r>
      <w:r w:rsidR="00F32934" w:rsidRPr="004C5271">
        <w:rPr>
          <w:rFonts w:asciiTheme="majorBidi" w:hAnsiTheme="majorBidi" w:cstheme="majorBidi"/>
          <w:lang w:val="en-AU"/>
        </w:rPr>
        <w:t>were not in favour of introduc</w:t>
      </w:r>
      <w:r w:rsidR="00CE2AEE" w:rsidRPr="004C5271">
        <w:rPr>
          <w:rFonts w:asciiTheme="majorBidi" w:hAnsiTheme="majorBidi" w:cstheme="majorBidi"/>
          <w:lang w:val="en-AU"/>
        </w:rPr>
        <w:t>ing</w:t>
      </w:r>
      <w:r w:rsidR="00F32934" w:rsidRPr="004C5271">
        <w:rPr>
          <w:rFonts w:asciiTheme="majorBidi" w:hAnsiTheme="majorBidi" w:cstheme="majorBidi"/>
          <w:lang w:val="en-AU"/>
        </w:rPr>
        <w:t xml:space="preserve"> notional estate laws in </w:t>
      </w:r>
      <w:r w:rsidR="00EE4DD6" w:rsidRPr="004C5271">
        <w:rPr>
          <w:rFonts w:asciiTheme="majorBidi" w:hAnsiTheme="majorBidi" w:cstheme="majorBidi"/>
          <w:lang w:val="en-AU"/>
        </w:rPr>
        <w:t xml:space="preserve">Victoria on the basis that </w:t>
      </w:r>
      <w:r w:rsidR="00343BFF" w:rsidRPr="004C5271">
        <w:rPr>
          <w:rFonts w:asciiTheme="majorBidi" w:hAnsiTheme="majorBidi" w:cstheme="majorBidi"/>
          <w:lang w:val="en-AU"/>
        </w:rPr>
        <w:t>the law ought not detract from the general proposition that persons are able to deal with their property as they wish during their lifetime</w:t>
      </w:r>
      <w:r w:rsidR="00EE4DD6" w:rsidRPr="004C5271">
        <w:rPr>
          <w:rFonts w:asciiTheme="majorBidi" w:hAnsiTheme="majorBidi" w:cstheme="majorBidi"/>
          <w:lang w:val="en-AU"/>
        </w:rPr>
        <w:t>.</w:t>
      </w:r>
      <w:bookmarkStart w:id="94" w:name="_Ref1905366"/>
      <w:r w:rsidR="00F32934" w:rsidRPr="004C5271">
        <w:rPr>
          <w:rStyle w:val="FootnoteReference"/>
          <w:rFonts w:asciiTheme="majorBidi" w:hAnsiTheme="majorBidi" w:cstheme="majorBidi"/>
          <w:lang w:val="en-AU"/>
        </w:rPr>
        <w:footnoteReference w:id="195"/>
      </w:r>
      <w:bookmarkEnd w:id="94"/>
      <w:r w:rsidR="00EE4DD6" w:rsidRPr="004C5271">
        <w:rPr>
          <w:rStyle w:val="FootnoteReference"/>
          <w:rFonts w:asciiTheme="majorBidi" w:hAnsiTheme="majorBidi" w:cstheme="majorBidi"/>
          <w:lang w:val="en-AU"/>
        </w:rPr>
        <w:t xml:space="preserve"> </w:t>
      </w:r>
    </w:p>
    <w:p w14:paraId="2B16EA29" w14:textId="6723F129" w:rsidR="00343BFF" w:rsidRPr="004C5271" w:rsidRDefault="00200ED8" w:rsidP="00CD3321">
      <w:pPr>
        <w:pStyle w:val="NormalNumberedTextTLRI"/>
        <w:rPr>
          <w:rFonts w:asciiTheme="majorBidi" w:hAnsiTheme="majorBidi" w:cstheme="majorBidi"/>
          <w:lang w:val="en-AU"/>
        </w:rPr>
      </w:pPr>
      <w:r w:rsidRPr="004C5271">
        <w:rPr>
          <w:rFonts w:asciiTheme="majorBidi" w:hAnsiTheme="majorBidi" w:cstheme="majorBidi"/>
          <w:lang w:val="en-AU"/>
        </w:rPr>
        <w:t>S</w:t>
      </w:r>
      <w:r w:rsidR="00EE4DD6" w:rsidRPr="004C5271">
        <w:rPr>
          <w:rFonts w:asciiTheme="majorBidi" w:hAnsiTheme="majorBidi" w:cstheme="majorBidi"/>
          <w:lang w:val="en-AU"/>
        </w:rPr>
        <w:t>ome respondents</w:t>
      </w:r>
      <w:r w:rsidRPr="004C5271">
        <w:rPr>
          <w:rFonts w:asciiTheme="majorBidi" w:hAnsiTheme="majorBidi" w:cstheme="majorBidi"/>
          <w:lang w:val="en-AU"/>
        </w:rPr>
        <w:t xml:space="preserve"> expressed the view</w:t>
      </w:r>
      <w:r w:rsidR="00EE4DD6" w:rsidRPr="004C5271">
        <w:rPr>
          <w:rFonts w:asciiTheme="majorBidi" w:hAnsiTheme="majorBidi" w:cstheme="majorBidi"/>
          <w:lang w:val="en-AU"/>
        </w:rPr>
        <w:t xml:space="preserve"> that, </w:t>
      </w:r>
      <w:r w:rsidR="00F32934" w:rsidRPr="004C5271">
        <w:rPr>
          <w:rFonts w:asciiTheme="majorBidi" w:hAnsiTheme="majorBidi" w:cstheme="majorBidi"/>
          <w:lang w:val="en-AU"/>
        </w:rPr>
        <w:t xml:space="preserve">if </w:t>
      </w:r>
      <w:r w:rsidR="00343BFF" w:rsidRPr="004C5271">
        <w:rPr>
          <w:rFonts w:asciiTheme="majorBidi" w:hAnsiTheme="majorBidi" w:cstheme="majorBidi"/>
          <w:lang w:val="en-AU"/>
        </w:rPr>
        <w:t xml:space="preserve">notional estate provisions were introduced, they should only apply to transactions </w:t>
      </w:r>
      <w:proofErr w:type="gramStart"/>
      <w:r w:rsidR="00343BFF" w:rsidRPr="004C5271">
        <w:rPr>
          <w:rFonts w:asciiTheme="majorBidi" w:hAnsiTheme="majorBidi" w:cstheme="majorBidi"/>
          <w:lang w:val="en-AU"/>
        </w:rPr>
        <w:t>entered into</w:t>
      </w:r>
      <w:proofErr w:type="gramEnd"/>
      <w:r w:rsidR="00343BFF" w:rsidRPr="004C5271">
        <w:rPr>
          <w:rFonts w:asciiTheme="majorBidi" w:hAnsiTheme="majorBidi" w:cstheme="majorBidi"/>
          <w:lang w:val="en-AU"/>
        </w:rPr>
        <w:t xml:space="preserve"> with the specific intention of defeating a claim for family provision</w:t>
      </w:r>
      <w:r w:rsidR="00EE4DD6" w:rsidRPr="004C5271">
        <w:rPr>
          <w:rFonts w:asciiTheme="majorBidi" w:hAnsiTheme="majorBidi" w:cstheme="majorBidi"/>
          <w:lang w:val="en-AU"/>
        </w:rPr>
        <w:t>.</w:t>
      </w:r>
      <w:r w:rsidR="00F32934" w:rsidRPr="004C5271">
        <w:rPr>
          <w:rStyle w:val="FootnoteReference"/>
          <w:rFonts w:asciiTheme="majorBidi" w:hAnsiTheme="majorBidi" w:cstheme="majorBidi"/>
          <w:lang w:val="en-AU"/>
        </w:rPr>
        <w:footnoteReference w:id="196"/>
      </w:r>
      <w:r w:rsidR="00343BFF" w:rsidRPr="004C5271">
        <w:rPr>
          <w:rFonts w:asciiTheme="majorBidi" w:hAnsiTheme="majorBidi" w:cstheme="majorBidi"/>
          <w:lang w:val="en-AU"/>
        </w:rPr>
        <w:t xml:space="preserve"> </w:t>
      </w:r>
      <w:r w:rsidR="00EE4DD6" w:rsidRPr="004C5271">
        <w:rPr>
          <w:rFonts w:asciiTheme="majorBidi" w:hAnsiTheme="majorBidi" w:cstheme="majorBidi"/>
          <w:lang w:val="en-AU"/>
        </w:rPr>
        <w:t>In relation to the relevance of intention, however, the VLRC concluded:</w:t>
      </w:r>
    </w:p>
    <w:p w14:paraId="5D833BB7" w14:textId="7CB2A3FF" w:rsidR="00343BFF" w:rsidRPr="004C5271" w:rsidRDefault="00343BFF" w:rsidP="00B942A9">
      <w:pPr>
        <w:pStyle w:val="QuoteTLRI"/>
        <w:rPr>
          <w:rFonts w:asciiTheme="majorBidi" w:hAnsiTheme="majorBidi" w:cstheme="majorBidi"/>
        </w:rPr>
      </w:pPr>
      <w:r w:rsidRPr="004C5271">
        <w:rPr>
          <w:rFonts w:asciiTheme="majorBidi" w:hAnsiTheme="majorBidi" w:cstheme="majorBidi"/>
        </w:rPr>
        <w:t xml:space="preserve">The Commission considers that a notional estate scheme that only applied to transactions </w:t>
      </w:r>
      <w:proofErr w:type="gramStart"/>
      <w:r w:rsidRPr="004C5271">
        <w:rPr>
          <w:rFonts w:asciiTheme="majorBidi" w:hAnsiTheme="majorBidi" w:cstheme="majorBidi"/>
        </w:rPr>
        <w:t>entered into</w:t>
      </w:r>
      <w:proofErr w:type="gramEnd"/>
      <w:r w:rsidRPr="004C5271">
        <w:rPr>
          <w:rFonts w:asciiTheme="majorBidi" w:hAnsiTheme="majorBidi" w:cstheme="majorBidi"/>
        </w:rPr>
        <w:t xml:space="preserve"> with the intention of avoiding family provision obligations could be easily circumvented. Further, intention is difficult to prove, as evidenced by the clear preference for the notional estate provisions in New South Wales </w:t>
      </w:r>
      <w:r w:rsidRPr="004C5271">
        <w:rPr>
          <w:rFonts w:asciiTheme="majorBidi" w:hAnsiTheme="majorBidi" w:cstheme="majorBidi"/>
        </w:rPr>
        <w:lastRenderedPageBreak/>
        <w:t>which do not require proof of intention to defeat a possible family provision claim.</w:t>
      </w:r>
      <w:r w:rsidR="00314BF6" w:rsidRPr="004C5271">
        <w:rPr>
          <w:rFonts w:asciiTheme="majorBidi" w:hAnsiTheme="majorBidi" w:cstheme="majorBidi"/>
        </w:rPr>
        <w:t xml:space="preserve"> </w:t>
      </w:r>
      <w:r w:rsidRPr="004C5271">
        <w:rPr>
          <w:rFonts w:asciiTheme="majorBidi" w:hAnsiTheme="majorBidi" w:cstheme="majorBidi"/>
        </w:rPr>
        <w:t>The Commission also agrees that any notional estate scheme that does not require some intention on the part of the deceased person risks being too far-reaching and unduly limiting of a person’s right to dispose of their property during their life</w:t>
      </w:r>
      <w:r w:rsidR="00EE4DD6" w:rsidRPr="004C5271">
        <w:rPr>
          <w:rFonts w:asciiTheme="majorBidi" w:hAnsiTheme="majorBidi" w:cstheme="majorBidi"/>
        </w:rPr>
        <w:t>…</w:t>
      </w:r>
      <w:r w:rsidR="00EE4DD6" w:rsidRPr="004C5271">
        <w:rPr>
          <w:rStyle w:val="FootnoteReference"/>
          <w:rFonts w:asciiTheme="majorBidi" w:hAnsiTheme="majorBidi" w:cstheme="majorBidi"/>
        </w:rPr>
        <w:footnoteReference w:id="197"/>
      </w:r>
    </w:p>
    <w:p w14:paraId="303B95E3" w14:textId="3D168B87" w:rsidR="00EE4DD6" w:rsidRPr="004C5271" w:rsidRDefault="0022788E" w:rsidP="004017F0">
      <w:pPr>
        <w:pStyle w:val="NormalNumberedTextTLRI"/>
        <w:rPr>
          <w:rFonts w:asciiTheme="majorBidi" w:hAnsiTheme="majorBidi" w:cstheme="majorBidi"/>
          <w:lang w:val="en-AU"/>
        </w:rPr>
      </w:pPr>
      <w:r w:rsidRPr="004C5271">
        <w:rPr>
          <w:rFonts w:asciiTheme="majorBidi" w:hAnsiTheme="majorBidi" w:cstheme="majorBidi"/>
          <w:lang w:val="en-AU"/>
        </w:rPr>
        <w:t>Further, it</w:t>
      </w:r>
      <w:r w:rsidR="00EE4DD6" w:rsidRPr="004C5271">
        <w:rPr>
          <w:rFonts w:asciiTheme="majorBidi" w:hAnsiTheme="majorBidi" w:cstheme="majorBidi"/>
          <w:lang w:val="en-AU"/>
        </w:rPr>
        <w:t xml:space="preserve"> commented:</w:t>
      </w:r>
    </w:p>
    <w:p w14:paraId="49771CC7" w14:textId="788B9A7F" w:rsidR="00343BFF" w:rsidRPr="004C5271" w:rsidRDefault="00343BFF" w:rsidP="00C47D98">
      <w:pPr>
        <w:pStyle w:val="QuoteTLRI"/>
        <w:rPr>
          <w:rFonts w:asciiTheme="majorBidi" w:hAnsiTheme="majorBidi" w:cstheme="majorBidi"/>
        </w:rPr>
      </w:pPr>
      <w:r w:rsidRPr="004C5271">
        <w:rPr>
          <w:rFonts w:asciiTheme="majorBidi" w:hAnsiTheme="majorBidi" w:cstheme="majorBidi"/>
        </w:rPr>
        <w:t xml:space="preserve">The Commission also considers that any transaction </w:t>
      </w:r>
      <w:proofErr w:type="gramStart"/>
      <w:r w:rsidRPr="004C5271">
        <w:rPr>
          <w:rFonts w:asciiTheme="majorBidi" w:hAnsiTheme="majorBidi" w:cstheme="majorBidi"/>
        </w:rPr>
        <w:t>entered into</w:t>
      </w:r>
      <w:proofErr w:type="gramEnd"/>
      <w:r w:rsidRPr="004C5271">
        <w:rPr>
          <w:rFonts w:asciiTheme="majorBidi" w:hAnsiTheme="majorBidi" w:cstheme="majorBidi"/>
        </w:rPr>
        <w:t xml:space="preserve"> before death may have the effect of benefitting the same people who could later be family provision claimants. The gift during life may give effect to the person’s responsibility to </w:t>
      </w:r>
      <w:proofErr w:type="gramStart"/>
      <w:r w:rsidRPr="004C5271">
        <w:rPr>
          <w:rFonts w:asciiTheme="majorBidi" w:hAnsiTheme="majorBidi" w:cstheme="majorBidi"/>
        </w:rPr>
        <w:t>provide, but</w:t>
      </w:r>
      <w:proofErr w:type="gramEnd"/>
      <w:r w:rsidRPr="004C5271">
        <w:rPr>
          <w:rFonts w:asciiTheme="majorBidi" w:hAnsiTheme="majorBidi" w:cstheme="majorBidi"/>
        </w:rPr>
        <w:t xml:space="preserve"> does this before death rather than after.</w:t>
      </w:r>
      <w:r w:rsidR="00A91DD7" w:rsidRPr="004C5271">
        <w:rPr>
          <w:rStyle w:val="FootnoteReference"/>
          <w:rFonts w:asciiTheme="majorBidi" w:hAnsiTheme="majorBidi" w:cstheme="majorBidi"/>
        </w:rPr>
        <w:footnoteReference w:id="198"/>
      </w:r>
    </w:p>
    <w:p w14:paraId="6A433D61" w14:textId="35587A27" w:rsidR="00EE4DD6" w:rsidRPr="004C5271" w:rsidRDefault="00EE4DD6" w:rsidP="00314BF6">
      <w:pPr>
        <w:pStyle w:val="NormalNumberedTextTLRI"/>
        <w:rPr>
          <w:rFonts w:asciiTheme="majorBidi" w:hAnsiTheme="majorBidi" w:cstheme="majorBidi"/>
          <w:lang w:val="en-AU"/>
        </w:rPr>
      </w:pPr>
      <w:r w:rsidRPr="004C5271">
        <w:rPr>
          <w:rFonts w:asciiTheme="majorBidi" w:hAnsiTheme="majorBidi" w:cstheme="majorBidi"/>
          <w:lang w:val="en-AU"/>
        </w:rPr>
        <w:t xml:space="preserve">It </w:t>
      </w:r>
      <w:r w:rsidR="00B6396C" w:rsidRPr="004C5271">
        <w:rPr>
          <w:rFonts w:asciiTheme="majorBidi" w:hAnsiTheme="majorBidi" w:cstheme="majorBidi"/>
          <w:lang w:val="en-AU"/>
        </w:rPr>
        <w:t>c</w:t>
      </w:r>
      <w:r w:rsidR="00A0186B" w:rsidRPr="004C5271">
        <w:rPr>
          <w:rFonts w:asciiTheme="majorBidi" w:hAnsiTheme="majorBidi" w:cstheme="majorBidi"/>
          <w:lang w:val="en-AU"/>
        </w:rPr>
        <w:t>o</w:t>
      </w:r>
      <w:r w:rsidR="00B6396C" w:rsidRPr="004C5271">
        <w:rPr>
          <w:rFonts w:asciiTheme="majorBidi" w:hAnsiTheme="majorBidi" w:cstheme="majorBidi"/>
          <w:lang w:val="en-AU"/>
        </w:rPr>
        <w:t xml:space="preserve">ncluded </w:t>
      </w:r>
      <w:r w:rsidRPr="004C5271">
        <w:rPr>
          <w:rFonts w:asciiTheme="majorBidi" w:hAnsiTheme="majorBidi" w:cstheme="majorBidi"/>
          <w:lang w:val="en-AU"/>
        </w:rPr>
        <w:t xml:space="preserve">that the need for notional estate laws and the effectiveness of the </w:t>
      </w:r>
      <w:r w:rsidR="009B004F" w:rsidRPr="004C5271">
        <w:rPr>
          <w:rFonts w:asciiTheme="majorBidi" w:hAnsiTheme="majorBidi" w:cstheme="majorBidi"/>
          <w:lang w:val="en-AU"/>
        </w:rPr>
        <w:t xml:space="preserve">New South Wales </w:t>
      </w:r>
      <w:r w:rsidRPr="004C5271">
        <w:rPr>
          <w:rFonts w:asciiTheme="majorBidi" w:hAnsiTheme="majorBidi" w:cstheme="majorBidi"/>
          <w:lang w:val="en-AU"/>
        </w:rPr>
        <w:t>provisions in meeting that need (if any) had not been demonstrated. It noted that:</w:t>
      </w:r>
      <w:r w:rsidRPr="004C5271">
        <w:rPr>
          <w:rStyle w:val="FootnoteReference"/>
          <w:rFonts w:asciiTheme="majorBidi" w:hAnsiTheme="majorBidi" w:cstheme="majorBidi"/>
          <w:lang w:val="en-AU" w:eastAsia="ja-JP"/>
        </w:rPr>
        <w:footnoteReference w:id="199"/>
      </w:r>
    </w:p>
    <w:p w14:paraId="3096B178" w14:textId="77777777" w:rsidR="00EE4DD6" w:rsidRPr="004C5271" w:rsidRDefault="00EE4DD6" w:rsidP="00C47D98">
      <w:pPr>
        <w:pStyle w:val="QuoteTLRI"/>
        <w:rPr>
          <w:rFonts w:asciiTheme="majorBidi" w:hAnsiTheme="majorBidi" w:cstheme="majorBidi"/>
        </w:rPr>
      </w:pPr>
      <w:r w:rsidRPr="004C5271">
        <w:rPr>
          <w:rFonts w:asciiTheme="majorBidi" w:hAnsiTheme="majorBidi" w:cstheme="majorBidi"/>
        </w:rPr>
        <w:t>The National Committee’s recommendation to adopt the New South Wales provisions was not based on empirical research demonstrating the need for such provisions, but rather because the provisions existed and had been in operation for some time, and there was ‘nothing hugely wrong with them’.</w:t>
      </w:r>
      <w:r w:rsidRPr="004C5271">
        <w:rPr>
          <w:rStyle w:val="FootnoteReference"/>
          <w:rFonts w:asciiTheme="majorBidi" w:hAnsiTheme="majorBidi" w:cstheme="majorBidi"/>
        </w:rPr>
        <w:footnoteReference w:id="200"/>
      </w:r>
    </w:p>
    <w:p w14:paraId="7997CB77" w14:textId="24CF1874" w:rsidR="00343BFF" w:rsidRPr="004C5271" w:rsidRDefault="00EE4DD6" w:rsidP="00314BF6">
      <w:pPr>
        <w:pStyle w:val="NormalNumberedTextTLRI"/>
        <w:rPr>
          <w:rFonts w:asciiTheme="majorBidi" w:hAnsiTheme="majorBidi" w:cstheme="majorBidi"/>
          <w:lang w:val="en-AU"/>
        </w:rPr>
      </w:pPr>
      <w:r w:rsidRPr="004C5271">
        <w:rPr>
          <w:rFonts w:asciiTheme="majorBidi" w:hAnsiTheme="majorBidi" w:cstheme="majorBidi"/>
          <w:lang w:val="en-AU"/>
        </w:rPr>
        <w:t xml:space="preserve">The VLRC did not recommend introduction of notional estate provisions in Victoria due to </w:t>
      </w:r>
      <w:r w:rsidR="00314BF6" w:rsidRPr="004C5271">
        <w:rPr>
          <w:rFonts w:asciiTheme="majorBidi" w:hAnsiTheme="majorBidi" w:cstheme="majorBidi"/>
          <w:lang w:val="en-AU"/>
        </w:rPr>
        <w:t>‘</w:t>
      </w:r>
      <w:r w:rsidRPr="004C5271">
        <w:rPr>
          <w:rFonts w:asciiTheme="majorBidi" w:hAnsiTheme="majorBidi" w:cstheme="majorBidi"/>
          <w:lang w:val="en-AU"/>
        </w:rPr>
        <w:t>t</w:t>
      </w:r>
      <w:r w:rsidR="00343BFF" w:rsidRPr="004C5271">
        <w:rPr>
          <w:rFonts w:asciiTheme="majorBidi" w:hAnsiTheme="majorBidi" w:cstheme="majorBidi"/>
          <w:lang w:val="en-AU"/>
        </w:rPr>
        <w:t>he absence of clear evidence demonstrating the need for such provisions in Victoria, or the effectiveness of such provisions in New South Wales.</w:t>
      </w:r>
      <w:r w:rsidR="00314BF6" w:rsidRPr="004C5271">
        <w:rPr>
          <w:rFonts w:asciiTheme="majorBidi" w:hAnsiTheme="majorBidi" w:cstheme="majorBidi"/>
          <w:lang w:val="en-AU"/>
        </w:rPr>
        <w:t>’</w:t>
      </w:r>
      <w:r w:rsidR="00343BFF" w:rsidRPr="004C5271">
        <w:rPr>
          <w:rStyle w:val="FootnoteReference"/>
          <w:rFonts w:asciiTheme="majorBidi" w:hAnsiTheme="majorBidi" w:cstheme="majorBidi"/>
          <w:lang w:val="en-AU" w:eastAsia="ja-JP"/>
        </w:rPr>
        <w:footnoteReference w:id="201"/>
      </w:r>
    </w:p>
    <w:p w14:paraId="37E9E1B3" w14:textId="40E09141" w:rsidR="007F4950" w:rsidRPr="004C5271" w:rsidRDefault="007F4950" w:rsidP="00DE3307">
      <w:pPr>
        <w:pStyle w:val="NormalNumberedTextTLRI"/>
        <w:rPr>
          <w:rFonts w:asciiTheme="majorBidi" w:hAnsiTheme="majorBidi" w:cstheme="majorBidi"/>
          <w:lang w:val="en-AU"/>
        </w:rPr>
      </w:pPr>
      <w:r w:rsidRPr="004C5271">
        <w:rPr>
          <w:rFonts w:asciiTheme="majorBidi" w:hAnsiTheme="majorBidi" w:cstheme="majorBidi"/>
          <w:lang w:val="en-AU"/>
        </w:rPr>
        <w:t xml:space="preserve">In 2014, the Victorian </w:t>
      </w:r>
      <w:r w:rsidR="004B5671" w:rsidRPr="004C5271">
        <w:rPr>
          <w:rFonts w:asciiTheme="majorBidi" w:hAnsiTheme="majorBidi" w:cstheme="majorBidi"/>
          <w:lang w:val="en-AU"/>
        </w:rPr>
        <w:t>P</w:t>
      </w:r>
      <w:r w:rsidRPr="004C5271">
        <w:rPr>
          <w:rFonts w:asciiTheme="majorBidi" w:hAnsiTheme="majorBidi" w:cstheme="majorBidi"/>
          <w:lang w:val="en-AU"/>
        </w:rPr>
        <w:t xml:space="preserve">arliament considered reforms to their family provision legislation to, amongst other things, narrow the class of eligible </w:t>
      </w:r>
      <w:r w:rsidRPr="004C5271">
        <w:rPr>
          <w:rFonts w:asciiTheme="majorBidi" w:hAnsiTheme="majorBidi" w:cstheme="majorBidi"/>
          <w:lang w:val="en-AU"/>
        </w:rPr>
        <w:lastRenderedPageBreak/>
        <w:t xml:space="preserve">applicants, and deal with costs provisions. The Second Reading speech when the Justice Legislation Amendment (Succession and Surrogacy) Bill 2014 was tabled stated: </w:t>
      </w:r>
      <w:r w:rsidR="00E34281" w:rsidRPr="004C5271">
        <w:rPr>
          <w:rFonts w:asciiTheme="majorBidi" w:hAnsiTheme="majorBidi" w:cstheme="majorBidi"/>
          <w:lang w:val="en-AU"/>
        </w:rPr>
        <w:t>‘</w:t>
      </w:r>
      <w:r w:rsidRPr="004C5271">
        <w:rPr>
          <w:rFonts w:asciiTheme="majorBidi" w:hAnsiTheme="majorBidi" w:cstheme="majorBidi"/>
          <w:lang w:val="en-AU"/>
        </w:rPr>
        <w:t>The starting point is that a deceased is entitled to dispose of their estate as they see fit, and this should only be departed from where they had a moral duty to provide for the needs of the claimant and yet failed to do so.</w:t>
      </w:r>
      <w:r w:rsidR="00E34281" w:rsidRPr="004C5271">
        <w:rPr>
          <w:rFonts w:asciiTheme="majorBidi" w:hAnsiTheme="majorBidi" w:cstheme="majorBidi"/>
          <w:lang w:val="en-AU"/>
        </w:rPr>
        <w:t>’</w:t>
      </w:r>
      <w:r w:rsidRPr="004C5271">
        <w:rPr>
          <w:rStyle w:val="FootnoteReference"/>
          <w:rFonts w:asciiTheme="majorBidi" w:hAnsiTheme="majorBidi" w:cstheme="majorBidi"/>
        </w:rPr>
        <w:footnoteReference w:id="202"/>
      </w:r>
      <w:r w:rsidR="00731FD5" w:rsidRPr="004C5271">
        <w:rPr>
          <w:rFonts w:asciiTheme="majorBidi" w:hAnsiTheme="majorBidi" w:cstheme="majorBidi"/>
          <w:lang w:val="en-AU"/>
        </w:rPr>
        <w:t xml:space="preserve"> Notional estate legislation has not been progressed in </w:t>
      </w:r>
      <w:r w:rsidR="006909F4" w:rsidRPr="004C5271">
        <w:rPr>
          <w:rFonts w:asciiTheme="majorBidi" w:hAnsiTheme="majorBidi" w:cstheme="majorBidi"/>
          <w:lang w:val="en-AU"/>
        </w:rPr>
        <w:t>Victoria</w:t>
      </w:r>
      <w:r w:rsidR="00731FD5" w:rsidRPr="004C5271">
        <w:rPr>
          <w:rFonts w:asciiTheme="majorBidi" w:hAnsiTheme="majorBidi" w:cstheme="majorBidi"/>
          <w:lang w:val="en-AU"/>
        </w:rPr>
        <w:t>, consistent with the recommendations of the VLRC.</w:t>
      </w:r>
    </w:p>
    <w:p w14:paraId="4F6597E1" w14:textId="14E768D7" w:rsidR="00343BFF" w:rsidRPr="004C5271" w:rsidRDefault="00343BFF" w:rsidP="00AE2B8C">
      <w:pPr>
        <w:pStyle w:val="Sub-HeadingTLRI"/>
      </w:pPr>
      <w:r w:rsidRPr="004C5271">
        <w:t>South Australia</w:t>
      </w:r>
      <w:r w:rsidR="00272AB4" w:rsidRPr="004C5271">
        <w:t>n Law Reform Institute</w:t>
      </w:r>
    </w:p>
    <w:p w14:paraId="07807220" w14:textId="3548A4A0" w:rsidR="00343BFF" w:rsidRPr="004C5271" w:rsidRDefault="00272AB4" w:rsidP="00314BF6">
      <w:pPr>
        <w:pStyle w:val="NormalNumberedTextTLRI"/>
        <w:rPr>
          <w:rFonts w:asciiTheme="majorBidi" w:hAnsiTheme="majorBidi" w:cstheme="majorBidi"/>
          <w:lang w:val="en-AU"/>
        </w:rPr>
      </w:pPr>
      <w:r w:rsidRPr="004C5271">
        <w:rPr>
          <w:rFonts w:asciiTheme="majorBidi" w:hAnsiTheme="majorBidi" w:cstheme="majorBidi"/>
          <w:lang w:val="en-AU"/>
        </w:rPr>
        <w:t xml:space="preserve">SALRI </w:t>
      </w:r>
      <w:r w:rsidR="00343BFF" w:rsidRPr="004C5271">
        <w:rPr>
          <w:rFonts w:asciiTheme="majorBidi" w:hAnsiTheme="majorBidi" w:cstheme="majorBidi"/>
          <w:lang w:val="en-AU"/>
        </w:rPr>
        <w:t xml:space="preserve">released a </w:t>
      </w:r>
      <w:r w:rsidR="00F451B8" w:rsidRPr="004C5271">
        <w:rPr>
          <w:rFonts w:asciiTheme="majorBidi" w:hAnsiTheme="majorBidi" w:cstheme="majorBidi"/>
          <w:lang w:val="en-AU"/>
        </w:rPr>
        <w:t>r</w:t>
      </w:r>
      <w:r w:rsidR="00343BFF" w:rsidRPr="004C5271">
        <w:rPr>
          <w:rFonts w:asciiTheme="majorBidi" w:hAnsiTheme="majorBidi" w:cstheme="majorBidi"/>
          <w:lang w:val="en-AU"/>
        </w:rPr>
        <w:t>eport in 2017</w:t>
      </w:r>
      <w:r w:rsidR="00CC23FF" w:rsidRPr="004C5271">
        <w:rPr>
          <w:rFonts w:asciiTheme="majorBidi" w:hAnsiTheme="majorBidi" w:cstheme="majorBidi"/>
          <w:lang w:val="en-AU"/>
        </w:rPr>
        <w:t xml:space="preserve"> that considered a range of issues related to family provision</w:t>
      </w:r>
      <w:r w:rsidR="00491805" w:rsidRPr="004C5271">
        <w:rPr>
          <w:rFonts w:asciiTheme="majorBidi" w:hAnsiTheme="majorBidi" w:cstheme="majorBidi"/>
          <w:lang w:val="en-AU"/>
        </w:rPr>
        <w:t>,</w:t>
      </w:r>
      <w:r w:rsidR="00CC23FF" w:rsidRPr="004C5271">
        <w:rPr>
          <w:rFonts w:asciiTheme="majorBidi" w:hAnsiTheme="majorBidi" w:cstheme="majorBidi"/>
          <w:lang w:val="en-AU"/>
        </w:rPr>
        <w:t xml:space="preserve"> including the possibility of introducing notional estate legislation in South Australia.</w:t>
      </w:r>
      <w:bookmarkStart w:id="95" w:name="_Ref2255831"/>
      <w:r w:rsidR="00703CDE" w:rsidRPr="004C5271">
        <w:rPr>
          <w:rStyle w:val="FootnoteReference"/>
          <w:rFonts w:asciiTheme="majorBidi" w:hAnsiTheme="majorBidi" w:cstheme="majorBidi"/>
          <w:lang w:val="en-AU"/>
        </w:rPr>
        <w:footnoteReference w:id="203"/>
      </w:r>
      <w:bookmarkEnd w:id="95"/>
    </w:p>
    <w:p w14:paraId="2C796E21" w14:textId="308047EB" w:rsidR="00343BFF" w:rsidRPr="004C5271" w:rsidRDefault="00343BFF" w:rsidP="007A5267">
      <w:pPr>
        <w:pStyle w:val="NormalNumberedTextTLRI"/>
        <w:rPr>
          <w:rFonts w:asciiTheme="majorBidi" w:hAnsiTheme="majorBidi" w:cstheme="majorBidi"/>
          <w:lang w:val="en-AU"/>
        </w:rPr>
      </w:pPr>
      <w:proofErr w:type="gramStart"/>
      <w:r w:rsidRPr="004C5271">
        <w:rPr>
          <w:rFonts w:asciiTheme="majorBidi" w:hAnsiTheme="majorBidi" w:cstheme="majorBidi"/>
          <w:lang w:val="en-AU"/>
        </w:rPr>
        <w:t xml:space="preserve">The majority </w:t>
      </w:r>
      <w:r w:rsidR="00703CDE" w:rsidRPr="004C5271">
        <w:rPr>
          <w:rFonts w:asciiTheme="majorBidi" w:hAnsiTheme="majorBidi" w:cstheme="majorBidi"/>
          <w:lang w:val="en-AU"/>
        </w:rPr>
        <w:t>of</w:t>
      </w:r>
      <w:proofErr w:type="gramEnd"/>
      <w:r w:rsidR="00703CDE" w:rsidRPr="004C5271">
        <w:rPr>
          <w:rFonts w:asciiTheme="majorBidi" w:hAnsiTheme="majorBidi" w:cstheme="majorBidi"/>
          <w:lang w:val="en-AU"/>
        </w:rPr>
        <w:t xml:space="preserve"> respondents to SALRI’s Background Paper</w:t>
      </w:r>
      <w:r w:rsidR="00703CDE" w:rsidRPr="004C5271">
        <w:rPr>
          <w:rStyle w:val="FootnoteReference"/>
          <w:rFonts w:asciiTheme="majorBidi" w:hAnsiTheme="majorBidi" w:cstheme="majorBidi"/>
          <w:lang w:val="en-AU" w:eastAsia="ja-JP"/>
        </w:rPr>
        <w:footnoteReference w:id="204"/>
      </w:r>
      <w:r w:rsidRPr="004C5271">
        <w:rPr>
          <w:rFonts w:asciiTheme="majorBidi" w:hAnsiTheme="majorBidi" w:cstheme="majorBidi"/>
          <w:lang w:val="en-AU"/>
        </w:rPr>
        <w:t xml:space="preserve"> expressed opposition to </w:t>
      </w:r>
      <w:r w:rsidR="0051710A" w:rsidRPr="004C5271">
        <w:rPr>
          <w:rFonts w:asciiTheme="majorBidi" w:hAnsiTheme="majorBidi" w:cstheme="majorBidi"/>
          <w:lang w:val="en-AU"/>
        </w:rPr>
        <w:t xml:space="preserve">the </w:t>
      </w:r>
      <w:r w:rsidRPr="004C5271">
        <w:rPr>
          <w:rFonts w:asciiTheme="majorBidi" w:hAnsiTheme="majorBidi" w:cstheme="majorBidi"/>
          <w:lang w:val="en-AU"/>
        </w:rPr>
        <w:t xml:space="preserve">introduction of notional estate </w:t>
      </w:r>
      <w:r w:rsidR="0051710A" w:rsidRPr="004C5271">
        <w:rPr>
          <w:rFonts w:asciiTheme="majorBidi" w:hAnsiTheme="majorBidi" w:cstheme="majorBidi"/>
          <w:lang w:val="en-AU"/>
        </w:rPr>
        <w:t>legislation</w:t>
      </w:r>
      <w:r w:rsidR="00703CDE" w:rsidRPr="004C5271">
        <w:rPr>
          <w:rFonts w:asciiTheme="majorBidi" w:hAnsiTheme="majorBidi" w:cstheme="majorBidi"/>
          <w:lang w:val="en-AU"/>
        </w:rPr>
        <w:t xml:space="preserve">. Reasons given included </w:t>
      </w:r>
      <w:r w:rsidRPr="004C5271">
        <w:rPr>
          <w:rFonts w:asciiTheme="majorBidi" w:hAnsiTheme="majorBidi" w:cstheme="majorBidi"/>
          <w:lang w:val="en-AU"/>
        </w:rPr>
        <w:t xml:space="preserve">that </w:t>
      </w:r>
      <w:r w:rsidR="00703CDE" w:rsidRPr="004C5271">
        <w:rPr>
          <w:rFonts w:asciiTheme="majorBidi" w:hAnsiTheme="majorBidi" w:cstheme="majorBidi"/>
          <w:lang w:val="en-AU"/>
        </w:rPr>
        <w:t>notional estate</w:t>
      </w:r>
      <w:r w:rsidRPr="004C5271">
        <w:rPr>
          <w:rFonts w:asciiTheme="majorBidi" w:hAnsiTheme="majorBidi" w:cstheme="majorBidi"/>
          <w:lang w:val="en-AU"/>
        </w:rPr>
        <w:t xml:space="preserve"> laws intrude upon testamentary freedom and that there may be a host of valid reasons for </w:t>
      </w:r>
      <w:r w:rsidR="00703CDE" w:rsidRPr="004C5271">
        <w:rPr>
          <w:rFonts w:asciiTheme="majorBidi" w:hAnsiTheme="majorBidi" w:cstheme="majorBidi"/>
          <w:lang w:val="en-AU"/>
        </w:rPr>
        <w:t>a</w:t>
      </w:r>
      <w:r w:rsidRPr="004C5271">
        <w:rPr>
          <w:rFonts w:asciiTheme="majorBidi" w:hAnsiTheme="majorBidi" w:cstheme="majorBidi"/>
          <w:lang w:val="en-AU"/>
        </w:rPr>
        <w:t xml:space="preserve"> </w:t>
      </w:r>
      <w:r w:rsidR="001D7B05" w:rsidRPr="004C5271">
        <w:rPr>
          <w:rFonts w:asciiTheme="majorBidi" w:hAnsiTheme="majorBidi" w:cstheme="majorBidi"/>
          <w:lang w:val="en-AU"/>
        </w:rPr>
        <w:t>will</w:t>
      </w:r>
      <w:r w:rsidR="000B7F3C" w:rsidRPr="004C5271">
        <w:rPr>
          <w:rFonts w:asciiTheme="majorBidi" w:hAnsiTheme="majorBidi" w:cstheme="majorBidi"/>
          <w:lang w:val="en-AU"/>
        </w:rPr>
        <w:t>-</w:t>
      </w:r>
      <w:r w:rsidR="001D7B05" w:rsidRPr="004C5271">
        <w:rPr>
          <w:rFonts w:asciiTheme="majorBidi" w:hAnsiTheme="majorBidi" w:cstheme="majorBidi"/>
          <w:lang w:val="en-AU"/>
        </w:rPr>
        <w:t>maker</w:t>
      </w:r>
      <w:r w:rsidRPr="004C5271">
        <w:rPr>
          <w:rFonts w:asciiTheme="majorBidi" w:hAnsiTheme="majorBidi" w:cstheme="majorBidi"/>
          <w:lang w:val="en-AU"/>
        </w:rPr>
        <w:t xml:space="preserve"> entering into arrangements during his or her lifetime other than seeking to defeat a future family provision claim.</w:t>
      </w:r>
    </w:p>
    <w:p w14:paraId="7176BE03" w14:textId="41CD82BB" w:rsidR="00343BFF" w:rsidRPr="004C5271" w:rsidRDefault="00F451B8" w:rsidP="007A5267">
      <w:pPr>
        <w:pStyle w:val="NormalNumberedTextTLRI"/>
        <w:rPr>
          <w:rFonts w:asciiTheme="majorBidi" w:hAnsiTheme="majorBidi" w:cstheme="majorBidi"/>
          <w:lang w:val="en-AU"/>
        </w:rPr>
      </w:pPr>
      <w:r w:rsidRPr="004C5271">
        <w:rPr>
          <w:rFonts w:asciiTheme="majorBidi" w:hAnsiTheme="majorBidi" w:cstheme="majorBidi"/>
          <w:lang w:val="en-AU"/>
        </w:rPr>
        <w:t>SALRI</w:t>
      </w:r>
      <w:r w:rsidR="00343BFF" w:rsidRPr="004C5271">
        <w:rPr>
          <w:rFonts w:asciiTheme="majorBidi" w:hAnsiTheme="majorBidi" w:cstheme="majorBidi"/>
          <w:lang w:val="en-AU"/>
        </w:rPr>
        <w:t xml:space="preserve"> sought </w:t>
      </w:r>
      <w:r w:rsidR="00CC23FF" w:rsidRPr="004C5271">
        <w:rPr>
          <w:rFonts w:asciiTheme="majorBidi" w:hAnsiTheme="majorBidi" w:cstheme="majorBidi"/>
          <w:lang w:val="en-AU"/>
        </w:rPr>
        <w:t xml:space="preserve">feedback </w:t>
      </w:r>
      <w:r w:rsidR="00343BFF" w:rsidRPr="004C5271">
        <w:rPr>
          <w:rFonts w:asciiTheme="majorBidi" w:hAnsiTheme="majorBidi" w:cstheme="majorBidi"/>
          <w:lang w:val="en-AU"/>
        </w:rPr>
        <w:t>a</w:t>
      </w:r>
      <w:r w:rsidR="00914F81" w:rsidRPr="004C5271">
        <w:rPr>
          <w:rFonts w:asciiTheme="majorBidi" w:hAnsiTheme="majorBidi" w:cstheme="majorBidi"/>
          <w:lang w:val="en-AU"/>
        </w:rPr>
        <w:t xml:space="preserve">bout </w:t>
      </w:r>
      <w:r w:rsidR="00343BFF" w:rsidRPr="004C5271">
        <w:rPr>
          <w:rFonts w:asciiTheme="majorBidi" w:hAnsiTheme="majorBidi" w:cstheme="majorBidi"/>
          <w:lang w:val="en-AU"/>
        </w:rPr>
        <w:t xml:space="preserve">the operation of superannuation and trusts, but there was little support for notional estate provisions in </w:t>
      </w:r>
      <w:r w:rsidR="00CC23FF" w:rsidRPr="004C5271">
        <w:rPr>
          <w:rFonts w:asciiTheme="majorBidi" w:hAnsiTheme="majorBidi" w:cstheme="majorBidi"/>
          <w:lang w:val="en-AU"/>
        </w:rPr>
        <w:t>these areas</w:t>
      </w:r>
      <w:r w:rsidR="00343BFF" w:rsidRPr="004C5271">
        <w:rPr>
          <w:rFonts w:asciiTheme="majorBidi" w:hAnsiTheme="majorBidi" w:cstheme="majorBidi"/>
          <w:lang w:val="en-AU"/>
        </w:rPr>
        <w:t xml:space="preserve">. </w:t>
      </w:r>
      <w:r w:rsidR="00914F81" w:rsidRPr="004C5271">
        <w:rPr>
          <w:rFonts w:asciiTheme="majorBidi" w:hAnsiTheme="majorBidi" w:cstheme="majorBidi"/>
          <w:lang w:val="en-AU"/>
        </w:rPr>
        <w:t>T</w:t>
      </w:r>
      <w:r w:rsidR="00343BFF" w:rsidRPr="004C5271">
        <w:rPr>
          <w:rFonts w:asciiTheme="majorBidi" w:hAnsiTheme="majorBidi" w:cstheme="majorBidi"/>
          <w:lang w:val="en-AU"/>
        </w:rPr>
        <w:t>here was some support</w:t>
      </w:r>
      <w:r w:rsidR="00914F81" w:rsidRPr="004C5271">
        <w:rPr>
          <w:rFonts w:asciiTheme="majorBidi" w:hAnsiTheme="majorBidi" w:cstheme="majorBidi"/>
          <w:lang w:val="en-AU"/>
        </w:rPr>
        <w:t>, however,</w:t>
      </w:r>
      <w:r w:rsidR="00343BFF" w:rsidRPr="004C5271">
        <w:rPr>
          <w:rFonts w:asciiTheme="majorBidi" w:hAnsiTheme="majorBidi" w:cstheme="majorBidi"/>
          <w:lang w:val="en-AU"/>
        </w:rPr>
        <w:t xml:space="preserve"> for using notional estate provisions to equalise benefit</w:t>
      </w:r>
      <w:r w:rsidR="0051710A" w:rsidRPr="004C5271">
        <w:rPr>
          <w:rFonts w:asciiTheme="majorBidi" w:hAnsiTheme="majorBidi" w:cstheme="majorBidi"/>
          <w:lang w:val="en-AU"/>
        </w:rPr>
        <w:t>s</w:t>
      </w:r>
      <w:r w:rsidR="00343BFF" w:rsidRPr="004C5271">
        <w:rPr>
          <w:rFonts w:asciiTheme="majorBidi" w:hAnsiTheme="majorBidi" w:cstheme="majorBidi"/>
          <w:lang w:val="en-AU"/>
        </w:rPr>
        <w:t xml:space="preserve"> given where beneficiaries received </w:t>
      </w:r>
      <w:r w:rsidR="002E1AC8" w:rsidRPr="004C5271">
        <w:rPr>
          <w:rFonts w:asciiTheme="majorBidi" w:hAnsiTheme="majorBidi" w:cstheme="majorBidi"/>
          <w:lang w:val="en-AU"/>
        </w:rPr>
        <w:t>pre-death</w:t>
      </w:r>
      <w:r w:rsidR="00343BFF" w:rsidRPr="004C5271">
        <w:rPr>
          <w:rFonts w:asciiTheme="majorBidi" w:hAnsiTheme="majorBidi" w:cstheme="majorBidi"/>
          <w:lang w:val="en-AU"/>
        </w:rPr>
        <w:t xml:space="preserve"> gifts.</w:t>
      </w:r>
      <w:r w:rsidR="00343BFF" w:rsidRPr="004C5271">
        <w:rPr>
          <w:rStyle w:val="FootnoteReference"/>
          <w:rFonts w:asciiTheme="majorBidi" w:hAnsiTheme="majorBidi" w:cstheme="majorBidi"/>
          <w:lang w:val="en-AU" w:eastAsia="ja-JP"/>
        </w:rPr>
        <w:footnoteReference w:id="205"/>
      </w:r>
      <w:r w:rsidR="00343BFF" w:rsidRPr="004C5271">
        <w:rPr>
          <w:rFonts w:asciiTheme="majorBidi" w:hAnsiTheme="majorBidi" w:cstheme="majorBidi"/>
          <w:lang w:val="en-AU"/>
        </w:rPr>
        <w:t xml:space="preserve"> </w:t>
      </w:r>
    </w:p>
    <w:p w14:paraId="73645A32" w14:textId="041D16C8" w:rsidR="00343BFF" w:rsidRPr="004C5271" w:rsidRDefault="00F451B8" w:rsidP="00D14F7C">
      <w:pPr>
        <w:pStyle w:val="NormalNumberedTextTLRI"/>
        <w:tabs>
          <w:tab w:val="left" w:pos="4395"/>
        </w:tabs>
        <w:rPr>
          <w:rFonts w:asciiTheme="majorBidi" w:hAnsiTheme="majorBidi" w:cstheme="majorBidi"/>
          <w:lang w:val="en-AU"/>
        </w:rPr>
      </w:pPr>
      <w:r w:rsidRPr="004C5271">
        <w:rPr>
          <w:rFonts w:asciiTheme="majorBidi" w:hAnsiTheme="majorBidi" w:cstheme="majorBidi"/>
          <w:lang w:val="en-AU"/>
        </w:rPr>
        <w:lastRenderedPageBreak/>
        <w:t>SALRI’s</w:t>
      </w:r>
      <w:r w:rsidR="00343BFF" w:rsidRPr="004C5271">
        <w:rPr>
          <w:rFonts w:asciiTheme="majorBidi" w:hAnsiTheme="majorBidi" w:cstheme="majorBidi"/>
          <w:lang w:val="en-AU"/>
        </w:rPr>
        <w:t xml:space="preserve"> conclusion was as follows:</w:t>
      </w:r>
    </w:p>
    <w:p w14:paraId="6BE51996" w14:textId="0ABB0E94" w:rsidR="00343BFF" w:rsidRPr="004C5271" w:rsidRDefault="00343BFF" w:rsidP="00B64CC4">
      <w:pPr>
        <w:pStyle w:val="QuoteTLRI"/>
        <w:rPr>
          <w:rFonts w:asciiTheme="majorBidi" w:hAnsiTheme="majorBidi" w:cstheme="majorBidi"/>
        </w:rPr>
      </w:pPr>
      <w:r w:rsidRPr="004C5271">
        <w:rPr>
          <w:rFonts w:asciiTheme="majorBidi" w:hAnsiTheme="majorBidi" w:cstheme="majorBidi"/>
        </w:rPr>
        <w:t>SALRI is not persuaded of the case for introducing NSW style notional estate and clawback laws in South Australia. The relevant laws are complicated. SALRI finds the reasoning of the VLRC convincing. It also accepts the views presented in consultation that NSW style notional estate or clawback laws are very problematic in terms of both policy and practice and would especially undermine the concept of testamentary freedom. SALRI notes that when a strong theme of both its consultation and wider research is the importance of enhancing testamentary freedom and reducing a court’s ability to intervene, it would be inconsistent to introduce NSW style notional estate or clawback laws in South Australia.</w:t>
      </w:r>
      <w:r w:rsidRPr="004C5271">
        <w:rPr>
          <w:rStyle w:val="FootnoteReference"/>
          <w:rFonts w:asciiTheme="majorBidi" w:hAnsiTheme="majorBidi" w:cstheme="majorBidi"/>
        </w:rPr>
        <w:footnoteReference w:id="206"/>
      </w:r>
    </w:p>
    <w:p w14:paraId="6D3362E1" w14:textId="1E5301FC" w:rsidR="0051710A" w:rsidRPr="004C5271" w:rsidRDefault="00A64A9D" w:rsidP="002908DC">
      <w:pPr>
        <w:pStyle w:val="NormalNumberedTextTLRI"/>
        <w:rPr>
          <w:rFonts w:asciiTheme="majorBidi" w:hAnsiTheme="majorBidi" w:cstheme="majorBidi"/>
          <w:b/>
          <w:i/>
          <w:lang w:val="en-AU"/>
        </w:rPr>
      </w:pPr>
      <w:r w:rsidRPr="004C5271">
        <w:rPr>
          <w:rFonts w:asciiTheme="majorBidi" w:hAnsiTheme="majorBidi" w:cstheme="majorBidi"/>
          <w:lang w:val="en-AU"/>
        </w:rPr>
        <w:t>It</w:t>
      </w:r>
      <w:r w:rsidR="007A5267" w:rsidRPr="004C5271">
        <w:rPr>
          <w:rFonts w:asciiTheme="majorBidi" w:hAnsiTheme="majorBidi" w:cstheme="majorBidi"/>
          <w:lang w:val="en-AU"/>
        </w:rPr>
        <w:t xml:space="preserve"> </w:t>
      </w:r>
      <w:r w:rsidR="00343BFF" w:rsidRPr="004C5271">
        <w:rPr>
          <w:rFonts w:asciiTheme="majorBidi" w:hAnsiTheme="majorBidi" w:cstheme="majorBidi"/>
          <w:lang w:val="en-AU"/>
        </w:rPr>
        <w:t>recommended that notional estate</w:t>
      </w:r>
      <w:r w:rsidR="0051710A" w:rsidRPr="004C5271">
        <w:rPr>
          <w:rFonts w:asciiTheme="majorBidi" w:hAnsiTheme="majorBidi" w:cstheme="majorBidi"/>
          <w:lang w:val="en-AU"/>
        </w:rPr>
        <w:t xml:space="preserve"> </w:t>
      </w:r>
      <w:r w:rsidR="00343BFF" w:rsidRPr="004C5271">
        <w:rPr>
          <w:rFonts w:asciiTheme="majorBidi" w:hAnsiTheme="majorBidi" w:cstheme="majorBidi"/>
          <w:lang w:val="en-AU"/>
        </w:rPr>
        <w:t>laws not be introduced in South Australia</w:t>
      </w:r>
      <w:r w:rsidR="00343BFF" w:rsidRPr="004C5271">
        <w:rPr>
          <w:rStyle w:val="FootnoteReference"/>
          <w:rFonts w:asciiTheme="majorBidi" w:hAnsiTheme="majorBidi" w:cstheme="majorBidi"/>
          <w:lang w:val="en-AU" w:eastAsia="ja-JP"/>
        </w:rPr>
        <w:footnoteReference w:id="207"/>
      </w:r>
      <w:r w:rsidR="000B1678" w:rsidRPr="004C5271">
        <w:rPr>
          <w:rFonts w:asciiTheme="majorBidi" w:hAnsiTheme="majorBidi" w:cstheme="majorBidi"/>
          <w:lang w:val="en-AU"/>
        </w:rPr>
        <w:t xml:space="preserve"> and to date no such laws have been implemented there.</w:t>
      </w:r>
      <w:r w:rsidR="00343BFF" w:rsidRPr="004C5271">
        <w:rPr>
          <w:rFonts w:asciiTheme="majorBidi" w:hAnsiTheme="majorBidi" w:cstheme="majorBidi"/>
          <w:lang w:val="en-AU"/>
        </w:rPr>
        <w:t xml:space="preserve"> </w:t>
      </w:r>
    </w:p>
    <w:p w14:paraId="3C8CD38F" w14:textId="1B057AA0" w:rsidR="00633A71" w:rsidRPr="004C5271" w:rsidRDefault="00633A71" w:rsidP="00076B44">
      <w:pPr>
        <w:pStyle w:val="QuoteTLRI"/>
        <w:ind w:left="0"/>
        <w:rPr>
          <w:rFonts w:asciiTheme="majorBidi" w:hAnsiTheme="majorBidi" w:cstheme="majorBidi"/>
        </w:rPr>
        <w:sectPr w:rsidR="00633A71" w:rsidRPr="004C5271" w:rsidSect="004C5271">
          <w:headerReference w:type="even" r:id="rId38"/>
          <w:headerReference w:type="default" r:id="rId39"/>
          <w:headerReference w:type="first" r:id="rId40"/>
          <w:pgSz w:w="9979" w:h="14232" w:code="9"/>
          <w:pgMar w:top="1440" w:right="1440" w:bottom="1440" w:left="1440" w:header="709" w:footer="709" w:gutter="0"/>
          <w:cols w:space="708"/>
          <w:titlePg/>
          <w:docGrid w:linePitch="360"/>
        </w:sectPr>
      </w:pPr>
    </w:p>
    <w:p w14:paraId="5CF59587" w14:textId="77777777" w:rsidR="00343BFF" w:rsidRPr="004C5271" w:rsidRDefault="00343BFF" w:rsidP="00DB4099">
      <w:pPr>
        <w:pStyle w:val="PartNoTLRI"/>
        <w:ind w:left="0" w:firstLine="0"/>
        <w:rPr>
          <w:rFonts w:asciiTheme="majorBidi" w:hAnsiTheme="majorBidi" w:cstheme="majorBidi"/>
        </w:rPr>
      </w:pPr>
      <w:bookmarkStart w:id="96" w:name="_Toc2256865"/>
      <w:bookmarkStart w:id="97" w:name="_Toc12268953"/>
      <w:bookmarkEnd w:id="96"/>
      <w:bookmarkEnd w:id="97"/>
    </w:p>
    <w:p w14:paraId="7468C37E" w14:textId="14818E4A" w:rsidR="00343BFF" w:rsidRPr="004C5271" w:rsidRDefault="00B25FB7" w:rsidP="00343BFF">
      <w:pPr>
        <w:pStyle w:val="PartHeadingTLRI"/>
        <w:rPr>
          <w:rFonts w:asciiTheme="majorBidi" w:hAnsiTheme="majorBidi" w:cstheme="majorBidi"/>
          <w:lang w:val="en-AU"/>
        </w:rPr>
      </w:pPr>
      <w:bookmarkStart w:id="98" w:name="_Toc12268954"/>
      <w:r w:rsidRPr="004C5271">
        <w:rPr>
          <w:rFonts w:asciiTheme="majorBidi" w:hAnsiTheme="majorBidi" w:cstheme="majorBidi"/>
          <w:lang w:val="en-AU"/>
        </w:rPr>
        <w:t>New South Wales</w:t>
      </w:r>
      <w:r w:rsidR="003B7AB2" w:rsidRPr="004C5271">
        <w:rPr>
          <w:rFonts w:asciiTheme="majorBidi" w:hAnsiTheme="majorBidi" w:cstheme="majorBidi"/>
          <w:lang w:val="en-AU"/>
        </w:rPr>
        <w:t xml:space="preserve"> Notional Estate</w:t>
      </w:r>
      <w:r w:rsidR="00343BFF" w:rsidRPr="004C5271">
        <w:rPr>
          <w:rFonts w:asciiTheme="majorBidi" w:hAnsiTheme="majorBidi" w:cstheme="majorBidi"/>
          <w:lang w:val="en-AU"/>
        </w:rPr>
        <w:t xml:space="preserve"> </w:t>
      </w:r>
      <w:r w:rsidR="00507756" w:rsidRPr="004C5271">
        <w:rPr>
          <w:rFonts w:asciiTheme="majorBidi" w:hAnsiTheme="majorBidi" w:cstheme="majorBidi"/>
          <w:lang w:val="en-AU"/>
        </w:rPr>
        <w:t>Laws</w:t>
      </w:r>
      <w:bookmarkEnd w:id="98"/>
    </w:p>
    <w:p w14:paraId="0F6E6C67" w14:textId="6193FA41" w:rsidR="00852F10" w:rsidRPr="004C5271" w:rsidRDefault="00343BFF" w:rsidP="00027875">
      <w:pPr>
        <w:pStyle w:val="NumberedHeadingTLRI"/>
        <w:rPr>
          <w:rFonts w:asciiTheme="majorBidi" w:hAnsiTheme="majorBidi" w:cstheme="majorBidi"/>
          <w:i/>
          <w:iCs/>
          <w:lang w:val="en-AU"/>
        </w:rPr>
      </w:pPr>
      <w:bookmarkStart w:id="99" w:name="_Toc12268955"/>
      <w:r w:rsidRPr="004C5271">
        <w:rPr>
          <w:rFonts w:asciiTheme="majorBidi" w:hAnsiTheme="majorBidi" w:cstheme="majorBidi"/>
          <w:lang w:val="en-AU"/>
        </w:rPr>
        <w:t>Introduction</w:t>
      </w:r>
      <w:bookmarkEnd w:id="99"/>
    </w:p>
    <w:p w14:paraId="7812E739" w14:textId="2D8CFBC8" w:rsidR="00D15881" w:rsidRPr="004C5271" w:rsidRDefault="000B1678" w:rsidP="00507756">
      <w:pPr>
        <w:pStyle w:val="NormalNumberedTextTLRI"/>
        <w:rPr>
          <w:rFonts w:asciiTheme="majorBidi" w:hAnsiTheme="majorBidi" w:cstheme="majorBidi"/>
          <w:lang w:val="en-AU"/>
        </w:rPr>
      </w:pPr>
      <w:r w:rsidRPr="004C5271">
        <w:rPr>
          <w:rFonts w:asciiTheme="majorBidi" w:hAnsiTheme="majorBidi" w:cstheme="majorBidi"/>
          <w:lang w:val="en-AU"/>
        </w:rPr>
        <w:t xml:space="preserve">New South Wales is the only jurisdiction in Australia to </w:t>
      </w:r>
      <w:r w:rsidR="000B0A73" w:rsidRPr="004C5271">
        <w:rPr>
          <w:rFonts w:asciiTheme="majorBidi" w:hAnsiTheme="majorBidi" w:cstheme="majorBidi"/>
          <w:lang w:val="en-AU"/>
        </w:rPr>
        <w:t xml:space="preserve">have </w:t>
      </w:r>
      <w:r w:rsidRPr="004C5271">
        <w:rPr>
          <w:rFonts w:asciiTheme="majorBidi" w:hAnsiTheme="majorBidi" w:cstheme="majorBidi"/>
          <w:lang w:val="en-AU"/>
        </w:rPr>
        <w:t>introduce</w:t>
      </w:r>
      <w:r w:rsidR="000B0A73" w:rsidRPr="004C5271">
        <w:rPr>
          <w:rFonts w:asciiTheme="majorBidi" w:hAnsiTheme="majorBidi" w:cstheme="majorBidi"/>
          <w:lang w:val="en-AU"/>
        </w:rPr>
        <w:t>d</w:t>
      </w:r>
      <w:r w:rsidRPr="004C5271">
        <w:rPr>
          <w:rFonts w:asciiTheme="majorBidi" w:hAnsiTheme="majorBidi" w:cstheme="majorBidi"/>
          <w:lang w:val="en-AU"/>
        </w:rPr>
        <w:t xml:space="preserve"> notional estate legislation. For that reason, </w:t>
      </w:r>
      <w:r w:rsidR="000B0A73" w:rsidRPr="004C5271">
        <w:rPr>
          <w:rFonts w:asciiTheme="majorBidi" w:hAnsiTheme="majorBidi" w:cstheme="majorBidi"/>
          <w:lang w:val="en-AU"/>
        </w:rPr>
        <w:t xml:space="preserve">these provisions are considered in </w:t>
      </w:r>
      <w:r w:rsidRPr="004C5271">
        <w:rPr>
          <w:rFonts w:asciiTheme="majorBidi" w:hAnsiTheme="majorBidi" w:cstheme="majorBidi"/>
          <w:lang w:val="en-AU"/>
        </w:rPr>
        <w:t>detail</w:t>
      </w:r>
      <w:r w:rsidR="000B0A73" w:rsidRPr="004C5271">
        <w:rPr>
          <w:rFonts w:asciiTheme="majorBidi" w:hAnsiTheme="majorBidi" w:cstheme="majorBidi"/>
          <w:lang w:val="en-AU"/>
        </w:rPr>
        <w:t xml:space="preserve"> below</w:t>
      </w:r>
      <w:r w:rsidR="00A822D6" w:rsidRPr="004C5271">
        <w:rPr>
          <w:rFonts w:asciiTheme="majorBidi" w:hAnsiTheme="majorBidi" w:cstheme="majorBidi"/>
          <w:lang w:val="en-AU"/>
        </w:rPr>
        <w:t>.</w:t>
      </w:r>
      <w:r w:rsidRPr="004C5271">
        <w:rPr>
          <w:rFonts w:asciiTheme="majorBidi" w:hAnsiTheme="majorBidi" w:cstheme="majorBidi"/>
          <w:lang w:val="en-AU"/>
        </w:rPr>
        <w:t xml:space="preserve"> </w:t>
      </w:r>
    </w:p>
    <w:p w14:paraId="4252442F" w14:textId="77777777" w:rsidR="00D15881" w:rsidRPr="004C5271" w:rsidRDefault="00D15881" w:rsidP="00D15881">
      <w:pPr>
        <w:pStyle w:val="NumberedHeadingTLRI"/>
        <w:rPr>
          <w:rFonts w:asciiTheme="majorBidi" w:hAnsiTheme="majorBidi" w:cstheme="majorBidi"/>
          <w:lang w:val="en-AU"/>
        </w:rPr>
      </w:pPr>
      <w:bookmarkStart w:id="100" w:name="_Toc12268956"/>
      <w:r w:rsidRPr="004C5271">
        <w:rPr>
          <w:rFonts w:asciiTheme="majorBidi" w:hAnsiTheme="majorBidi" w:cstheme="majorBidi"/>
          <w:lang w:val="en-AU"/>
        </w:rPr>
        <w:t>Background</w:t>
      </w:r>
      <w:bookmarkEnd w:id="100"/>
    </w:p>
    <w:p w14:paraId="399BF770" w14:textId="4C367130" w:rsidR="00DA362D" w:rsidRPr="004C5271" w:rsidRDefault="00D15881" w:rsidP="00D15881">
      <w:pPr>
        <w:pStyle w:val="NormalNumberedTextTLRI"/>
        <w:rPr>
          <w:rFonts w:asciiTheme="majorBidi" w:hAnsiTheme="majorBidi" w:cstheme="majorBidi"/>
          <w:lang w:val="en-AU"/>
        </w:rPr>
      </w:pPr>
      <w:r w:rsidRPr="004C5271">
        <w:rPr>
          <w:rFonts w:asciiTheme="majorBidi" w:hAnsiTheme="majorBidi" w:cstheme="majorBidi"/>
          <w:lang w:val="en-AU"/>
        </w:rPr>
        <w:t xml:space="preserve">In 1977, the NSWLRC was the first Australian law reform commission to </w:t>
      </w:r>
      <w:r w:rsidR="00C560F2" w:rsidRPr="004C5271">
        <w:rPr>
          <w:rFonts w:asciiTheme="majorBidi" w:hAnsiTheme="majorBidi" w:cstheme="majorBidi"/>
          <w:lang w:val="en-AU"/>
        </w:rPr>
        <w:t>consider</w:t>
      </w:r>
      <w:r w:rsidRPr="004C5271">
        <w:rPr>
          <w:rFonts w:asciiTheme="majorBidi" w:hAnsiTheme="majorBidi" w:cstheme="majorBidi"/>
          <w:lang w:val="en-AU"/>
        </w:rPr>
        <w:t xml:space="preserve"> and recommend adoption of notional estate laws</w:t>
      </w:r>
      <w:r w:rsidR="00DA362D" w:rsidRPr="004C5271">
        <w:rPr>
          <w:rFonts w:asciiTheme="majorBidi" w:hAnsiTheme="majorBidi" w:cstheme="majorBidi"/>
          <w:lang w:val="en-AU"/>
        </w:rPr>
        <w:t xml:space="preserve"> as part of its broad review of family provision legislation operating in New South Wales at the time</w:t>
      </w:r>
      <w:r w:rsidRPr="004C5271">
        <w:rPr>
          <w:rFonts w:asciiTheme="majorBidi" w:hAnsiTheme="majorBidi" w:cstheme="majorBidi"/>
          <w:lang w:val="en-AU"/>
        </w:rPr>
        <w:t>.</w:t>
      </w:r>
      <w:bookmarkStart w:id="101" w:name="_Ref1938999"/>
      <w:r w:rsidRPr="004C5271">
        <w:rPr>
          <w:rStyle w:val="FootnoteReference"/>
          <w:rFonts w:asciiTheme="majorBidi" w:hAnsiTheme="majorBidi" w:cstheme="majorBidi"/>
          <w:lang w:val="en-AU"/>
        </w:rPr>
        <w:footnoteReference w:id="208"/>
      </w:r>
      <w:bookmarkEnd w:id="101"/>
      <w:r w:rsidRPr="004C5271">
        <w:rPr>
          <w:rFonts w:asciiTheme="majorBidi" w:hAnsiTheme="majorBidi" w:cstheme="majorBidi"/>
          <w:lang w:val="en-AU"/>
        </w:rPr>
        <w:t xml:space="preserve"> </w:t>
      </w:r>
    </w:p>
    <w:p w14:paraId="690E868E" w14:textId="3B5DE201" w:rsidR="00D15881" w:rsidRPr="004C5271" w:rsidRDefault="00D15881" w:rsidP="00D15881">
      <w:pPr>
        <w:pStyle w:val="NormalNumberedTextTLRI"/>
        <w:rPr>
          <w:rFonts w:asciiTheme="majorBidi" w:hAnsiTheme="majorBidi" w:cstheme="majorBidi"/>
          <w:lang w:val="en-AU"/>
        </w:rPr>
      </w:pPr>
      <w:r w:rsidRPr="004C5271">
        <w:rPr>
          <w:rFonts w:asciiTheme="majorBidi" w:hAnsiTheme="majorBidi" w:cstheme="majorBidi"/>
          <w:lang w:val="en-AU"/>
        </w:rPr>
        <w:t xml:space="preserve">It summarised the competing issues </w:t>
      </w:r>
      <w:r w:rsidR="00DA362D" w:rsidRPr="004C5271">
        <w:rPr>
          <w:rFonts w:asciiTheme="majorBidi" w:hAnsiTheme="majorBidi" w:cstheme="majorBidi"/>
          <w:lang w:val="en-AU"/>
        </w:rPr>
        <w:t xml:space="preserve">arising in relation to the utility of inclusion of notional estate legislation within family provision legislation </w:t>
      </w:r>
      <w:r w:rsidRPr="004C5271">
        <w:rPr>
          <w:rFonts w:asciiTheme="majorBidi" w:hAnsiTheme="majorBidi" w:cstheme="majorBidi"/>
          <w:lang w:val="en-AU"/>
        </w:rPr>
        <w:t>as follows:</w:t>
      </w:r>
    </w:p>
    <w:p w14:paraId="6D4CDA5D" w14:textId="77777777" w:rsidR="00D15881" w:rsidRPr="004C5271" w:rsidRDefault="00D15881" w:rsidP="004026A8">
      <w:pPr>
        <w:pStyle w:val="QuoteTLRI"/>
        <w:rPr>
          <w:rFonts w:asciiTheme="majorBidi" w:hAnsiTheme="majorBidi" w:cstheme="majorBidi"/>
        </w:rPr>
      </w:pPr>
      <w:r w:rsidRPr="004C5271">
        <w:rPr>
          <w:rFonts w:asciiTheme="majorBidi" w:hAnsiTheme="majorBidi" w:cstheme="majorBidi"/>
        </w:rPr>
        <w:t xml:space="preserve">The interests involved are fundamental: on the one hand, the interest of a person in arranging his affairs in his way and the interest of a transferee of property in securing his title and, on the other hand, the interest of a family in not being disinherited. In trying to answer these questions, any reformer faces a dilemma. If all dispositions of property made by a person in his lifetime are </w:t>
      </w:r>
      <w:r w:rsidRPr="004C5271">
        <w:rPr>
          <w:rFonts w:asciiTheme="majorBidi" w:hAnsiTheme="majorBidi" w:cstheme="majorBidi"/>
        </w:rPr>
        <w:lastRenderedPageBreak/>
        <w:t>valid against the surviving members of his family, the new Act will give incomplete protection to the family. And if the surviving members can claim against property disposed of by, say, their deceased father, the new Act will be recognizing a potential interest in that property which must clog its alienability and adversely affect ifs utility and value.</w:t>
      </w:r>
      <w:r w:rsidRPr="004C5271">
        <w:rPr>
          <w:rStyle w:val="FootnoteReference"/>
          <w:rFonts w:asciiTheme="majorBidi" w:hAnsiTheme="majorBidi" w:cstheme="majorBidi"/>
        </w:rPr>
        <w:footnoteReference w:id="209"/>
      </w:r>
    </w:p>
    <w:p w14:paraId="38620764" w14:textId="77777777" w:rsidR="00D15881" w:rsidRPr="004C5271" w:rsidRDefault="00D15881" w:rsidP="00D15881">
      <w:pPr>
        <w:pStyle w:val="NormalNumberedTextTLRI"/>
        <w:rPr>
          <w:rFonts w:asciiTheme="majorBidi" w:hAnsiTheme="majorBidi" w:cstheme="majorBidi"/>
          <w:lang w:val="en-AU"/>
        </w:rPr>
      </w:pPr>
      <w:bookmarkStart w:id="102" w:name="_Ref13420469"/>
      <w:r w:rsidRPr="004C5271">
        <w:rPr>
          <w:rFonts w:asciiTheme="majorBidi" w:hAnsiTheme="majorBidi" w:cstheme="majorBidi"/>
          <w:lang w:val="en-AU"/>
        </w:rPr>
        <w:t>After weighing up these competing issues and submissions it received, the NSWLRC concluded that there was a need for notional estate laws, commenting that:</w:t>
      </w:r>
      <w:bookmarkEnd w:id="102"/>
    </w:p>
    <w:p w14:paraId="23C2467F" w14:textId="228F8A33" w:rsidR="00D15881" w:rsidRPr="004C5271" w:rsidRDefault="00D15881" w:rsidP="003D6A84">
      <w:pPr>
        <w:pStyle w:val="QuoteTLRI"/>
        <w:rPr>
          <w:rFonts w:asciiTheme="majorBidi" w:hAnsiTheme="majorBidi" w:cstheme="majorBidi"/>
        </w:rPr>
      </w:pPr>
      <w:r w:rsidRPr="004C5271">
        <w:rPr>
          <w:rFonts w:asciiTheme="majorBidi" w:hAnsiTheme="majorBidi" w:cstheme="majorBidi"/>
        </w:rPr>
        <w:t xml:space="preserve">If the new Act can be evaded, its effectiveness will be limited. If it does not contain provisions directed at some common arrangements of property, it will not concern those with the means and the determination to attain and follow expert advice; only the poor or the inert will be affected by it. The Act can be evaded. Property can be put outside its application in a variety of ways and often without difficulty. In some circumstances, opening a joint bank account or taking out a policy of life assurance is </w:t>
      </w:r>
      <w:proofErr w:type="gramStart"/>
      <w:r w:rsidRPr="004C5271">
        <w:rPr>
          <w:rFonts w:asciiTheme="majorBidi" w:hAnsiTheme="majorBidi" w:cstheme="majorBidi"/>
        </w:rPr>
        <w:t>sufficient</w:t>
      </w:r>
      <w:proofErr w:type="gramEnd"/>
      <w:r w:rsidRPr="004C5271">
        <w:rPr>
          <w:rFonts w:asciiTheme="majorBidi" w:hAnsiTheme="majorBidi" w:cstheme="majorBidi"/>
        </w:rPr>
        <w:t xml:space="preserve">. </w:t>
      </w:r>
      <w:proofErr w:type="gramStart"/>
      <w:r w:rsidRPr="004C5271">
        <w:rPr>
          <w:rFonts w:asciiTheme="majorBidi" w:hAnsiTheme="majorBidi" w:cstheme="majorBidi"/>
        </w:rPr>
        <w:t>Indeed</w:t>
      </w:r>
      <w:proofErr w:type="gramEnd"/>
      <w:r w:rsidRPr="004C5271">
        <w:rPr>
          <w:rFonts w:asciiTheme="majorBidi" w:hAnsiTheme="majorBidi" w:cstheme="majorBidi"/>
        </w:rPr>
        <w:t xml:space="preserve"> one volume of English precedents contains a form for a </w:t>
      </w:r>
      <w:r w:rsidRPr="004C5271">
        <w:rPr>
          <w:rFonts w:asciiTheme="majorBidi" w:hAnsiTheme="majorBidi" w:cstheme="majorBidi"/>
          <w:i/>
          <w:iCs/>
        </w:rPr>
        <w:t>Settlement upon Mistress and Illegitimate Child for Purpose of Evading the Inheritance (Family Provision) Act 1938</w:t>
      </w:r>
      <w:r w:rsidRPr="004C5271">
        <w:rPr>
          <w:rFonts w:asciiTheme="majorBidi" w:hAnsiTheme="majorBidi" w:cstheme="majorBidi"/>
        </w:rPr>
        <w:t>.</w:t>
      </w:r>
      <w:bookmarkStart w:id="103" w:name="_Ref13151169"/>
      <w:r w:rsidRPr="004C5271">
        <w:rPr>
          <w:rStyle w:val="FootnoteReference"/>
          <w:rFonts w:asciiTheme="majorBidi" w:hAnsiTheme="majorBidi" w:cstheme="majorBidi"/>
        </w:rPr>
        <w:footnoteReference w:id="210"/>
      </w:r>
      <w:bookmarkEnd w:id="103"/>
    </w:p>
    <w:p w14:paraId="6F172E55" w14:textId="4087E155" w:rsidR="00D15881" w:rsidRPr="004C5271" w:rsidRDefault="00D15881" w:rsidP="00D15881">
      <w:pPr>
        <w:pStyle w:val="NormalNumberedTextTLRI"/>
        <w:rPr>
          <w:rFonts w:asciiTheme="majorBidi" w:hAnsiTheme="majorBidi" w:cstheme="majorBidi"/>
          <w:lang w:val="en-AU"/>
        </w:rPr>
      </w:pPr>
      <w:r w:rsidRPr="004C5271">
        <w:rPr>
          <w:rFonts w:asciiTheme="majorBidi" w:hAnsiTheme="majorBidi" w:cstheme="majorBidi"/>
          <w:lang w:val="en-AU"/>
        </w:rPr>
        <w:t xml:space="preserve">The NSWLRC recommended that the court be empowered to deal with certain gifts a deceased made during life and, secondly, to utilise property </w:t>
      </w:r>
      <w:r w:rsidRPr="004C5271">
        <w:rPr>
          <w:rFonts w:asciiTheme="majorBidi" w:hAnsiTheme="majorBidi" w:cstheme="majorBidi"/>
          <w:lang w:val="en-AU"/>
        </w:rPr>
        <w:lastRenderedPageBreak/>
        <w:t xml:space="preserve">distributed via </w:t>
      </w:r>
      <w:r w:rsidR="00C9277F" w:rsidRPr="004C5271">
        <w:rPr>
          <w:rFonts w:asciiTheme="majorBidi" w:hAnsiTheme="majorBidi" w:cstheme="majorBidi"/>
          <w:lang w:val="en-AU"/>
        </w:rPr>
        <w:t>‘</w:t>
      </w:r>
      <w:r w:rsidRPr="004C5271">
        <w:rPr>
          <w:rFonts w:asciiTheme="majorBidi" w:hAnsiTheme="majorBidi" w:cstheme="majorBidi"/>
          <w:lang w:val="en-AU"/>
        </w:rPr>
        <w:t xml:space="preserve">will </w:t>
      </w:r>
      <w:proofErr w:type="gramStart"/>
      <w:r w:rsidRPr="004C5271">
        <w:rPr>
          <w:rFonts w:asciiTheme="majorBidi" w:hAnsiTheme="majorBidi" w:cstheme="majorBidi"/>
          <w:lang w:val="en-AU"/>
        </w:rPr>
        <w:t>substitutes</w:t>
      </w:r>
      <w:r w:rsidR="00C9277F" w:rsidRPr="004C5271">
        <w:rPr>
          <w:rFonts w:asciiTheme="majorBidi" w:hAnsiTheme="majorBidi" w:cstheme="majorBidi"/>
          <w:lang w:val="en-AU"/>
        </w:rPr>
        <w:t>’</w:t>
      </w:r>
      <w:proofErr w:type="gramEnd"/>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211"/>
      </w:r>
      <w:r w:rsidRPr="004C5271">
        <w:rPr>
          <w:rFonts w:asciiTheme="majorBidi" w:hAnsiTheme="majorBidi" w:cstheme="majorBidi"/>
          <w:lang w:val="en-AU"/>
        </w:rPr>
        <w:t xml:space="preserve"> It stated that, if the reforms proposed were enacted, they would </w:t>
      </w:r>
      <w:r w:rsidR="00C9277F" w:rsidRPr="004C5271">
        <w:rPr>
          <w:rFonts w:asciiTheme="majorBidi" w:hAnsiTheme="majorBidi" w:cstheme="majorBidi"/>
          <w:lang w:val="en-AU"/>
        </w:rPr>
        <w:t>‘</w:t>
      </w:r>
      <w:r w:rsidRPr="004C5271">
        <w:rPr>
          <w:rFonts w:asciiTheme="majorBidi" w:hAnsiTheme="majorBidi" w:cstheme="majorBidi"/>
          <w:lang w:val="en-AU"/>
        </w:rPr>
        <w:t>introduce new and far-reaching rules into the law of succession.</w:t>
      </w:r>
      <w:r w:rsidR="00C9277F"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212"/>
      </w:r>
    </w:p>
    <w:p w14:paraId="6759558F" w14:textId="77777777" w:rsidR="00D15881" w:rsidRPr="004C5271" w:rsidRDefault="00D15881" w:rsidP="00D15881">
      <w:pPr>
        <w:pStyle w:val="NormalNumberedTextTLRI"/>
        <w:rPr>
          <w:rFonts w:asciiTheme="majorBidi" w:hAnsiTheme="majorBidi" w:cstheme="majorBidi"/>
          <w:lang w:val="en-AU"/>
        </w:rPr>
      </w:pPr>
      <w:r w:rsidRPr="004C5271">
        <w:rPr>
          <w:rFonts w:asciiTheme="majorBidi" w:hAnsiTheme="majorBidi" w:cstheme="majorBidi"/>
          <w:lang w:val="en-AU"/>
        </w:rPr>
        <w:t>The NSWLRC proposed that NSW’s notional estate provisions cover:</w:t>
      </w:r>
    </w:p>
    <w:p w14:paraId="69343154" w14:textId="77777777" w:rsidR="00D15881" w:rsidRPr="004C5271" w:rsidRDefault="00D15881" w:rsidP="00D15881">
      <w:pPr>
        <w:pStyle w:val="DotPointTLRI"/>
        <w:rPr>
          <w:rFonts w:asciiTheme="majorBidi" w:hAnsiTheme="majorBidi" w:cstheme="majorBidi"/>
          <w:lang w:val="en-AU"/>
        </w:rPr>
      </w:pPr>
      <w:r w:rsidRPr="004C5271">
        <w:rPr>
          <w:rFonts w:asciiTheme="majorBidi" w:hAnsiTheme="majorBidi" w:cstheme="majorBidi"/>
          <w:lang w:val="en-AU"/>
        </w:rPr>
        <w:t>property gifted by the deceased within three years of death, if made with the intention of defeating an application for provision;</w:t>
      </w:r>
    </w:p>
    <w:p w14:paraId="12555051" w14:textId="77777777" w:rsidR="00D15881" w:rsidRPr="004C5271" w:rsidRDefault="00D15881" w:rsidP="00D15881">
      <w:pPr>
        <w:pStyle w:val="DotPointTLRI"/>
        <w:rPr>
          <w:rFonts w:asciiTheme="majorBidi" w:hAnsiTheme="majorBidi" w:cstheme="majorBidi"/>
          <w:lang w:val="en-AU"/>
        </w:rPr>
      </w:pPr>
      <w:r w:rsidRPr="004C5271">
        <w:rPr>
          <w:rFonts w:asciiTheme="majorBidi" w:hAnsiTheme="majorBidi" w:cstheme="majorBidi"/>
          <w:lang w:val="en-AU"/>
        </w:rPr>
        <w:t>gifts made within one year of death, regardless of intention;</w:t>
      </w:r>
    </w:p>
    <w:p w14:paraId="6DF6DD02" w14:textId="77777777" w:rsidR="00D15881" w:rsidRPr="004C5271" w:rsidRDefault="00D15881" w:rsidP="00F5728E">
      <w:pPr>
        <w:pStyle w:val="DotPointTLRI"/>
        <w:rPr>
          <w:rFonts w:asciiTheme="majorBidi" w:hAnsiTheme="majorBidi" w:cstheme="majorBidi"/>
          <w:lang w:val="en-AU"/>
        </w:rPr>
      </w:pPr>
      <w:r w:rsidRPr="004C5271">
        <w:rPr>
          <w:rFonts w:asciiTheme="majorBidi" w:hAnsiTheme="majorBidi" w:cstheme="majorBidi"/>
          <w:lang w:val="en-AU"/>
        </w:rPr>
        <w:t>property subject to a power of disposal by the deceased;</w:t>
      </w:r>
    </w:p>
    <w:p w14:paraId="32898EA9" w14:textId="77777777" w:rsidR="00D15881" w:rsidRPr="004C5271" w:rsidRDefault="00D15881" w:rsidP="00D15881">
      <w:pPr>
        <w:pStyle w:val="DotPointTLRI"/>
        <w:rPr>
          <w:rFonts w:asciiTheme="majorBidi" w:hAnsiTheme="majorBidi" w:cstheme="majorBidi"/>
          <w:lang w:val="en-AU"/>
        </w:rPr>
      </w:pPr>
      <w:r w:rsidRPr="004C5271">
        <w:rPr>
          <w:rFonts w:asciiTheme="majorBidi" w:hAnsiTheme="majorBidi" w:cstheme="majorBidi"/>
          <w:lang w:val="en-AU"/>
        </w:rPr>
        <w:t xml:space="preserve">property comprised in certain settlements; </w:t>
      </w:r>
    </w:p>
    <w:p w14:paraId="6232C9D3" w14:textId="77777777" w:rsidR="00D15881" w:rsidRPr="004C5271" w:rsidRDefault="00D15881" w:rsidP="00D15881">
      <w:pPr>
        <w:pStyle w:val="DotPointTLRI"/>
        <w:rPr>
          <w:rFonts w:asciiTheme="majorBidi" w:hAnsiTheme="majorBidi" w:cstheme="majorBidi"/>
          <w:lang w:val="en-AU"/>
        </w:rPr>
      </w:pPr>
      <w:r w:rsidRPr="004C5271">
        <w:rPr>
          <w:rFonts w:asciiTheme="majorBidi" w:hAnsiTheme="majorBidi" w:cstheme="majorBidi"/>
          <w:lang w:val="en-AU"/>
        </w:rPr>
        <w:t xml:space="preserve">property held on a joint tenancy; </w:t>
      </w:r>
    </w:p>
    <w:p w14:paraId="51759B16" w14:textId="77777777" w:rsidR="00D15881" w:rsidRPr="004C5271" w:rsidRDefault="00D15881" w:rsidP="00D15881">
      <w:pPr>
        <w:pStyle w:val="DotPointTLRI"/>
        <w:rPr>
          <w:rFonts w:asciiTheme="majorBidi" w:hAnsiTheme="majorBidi" w:cstheme="majorBidi"/>
          <w:lang w:val="en-AU"/>
        </w:rPr>
      </w:pPr>
      <w:r w:rsidRPr="004C5271">
        <w:rPr>
          <w:rFonts w:asciiTheme="majorBidi" w:hAnsiTheme="majorBidi" w:cstheme="majorBidi"/>
          <w:lang w:val="en-AU"/>
        </w:rPr>
        <w:t>property held in certain life assurance schemes; and</w:t>
      </w:r>
    </w:p>
    <w:p w14:paraId="27CB895D" w14:textId="77777777" w:rsidR="00D15881" w:rsidRPr="004C5271" w:rsidRDefault="00D15881" w:rsidP="00D15881">
      <w:pPr>
        <w:pStyle w:val="DotPointTLRI"/>
        <w:rPr>
          <w:rFonts w:asciiTheme="majorBidi" w:hAnsiTheme="majorBidi" w:cstheme="majorBidi"/>
          <w:lang w:val="en-AU"/>
        </w:rPr>
      </w:pPr>
      <w:r w:rsidRPr="004C5271">
        <w:rPr>
          <w:rFonts w:asciiTheme="majorBidi" w:hAnsiTheme="majorBidi" w:cstheme="majorBidi"/>
          <w:lang w:val="en-AU"/>
        </w:rPr>
        <w:t>property in certain superannuation schemes.</w:t>
      </w:r>
      <w:r w:rsidRPr="004C5271">
        <w:rPr>
          <w:rStyle w:val="FootnoteReference"/>
          <w:rFonts w:asciiTheme="majorBidi" w:hAnsiTheme="majorBidi" w:cstheme="majorBidi"/>
          <w:lang w:val="en-AU"/>
        </w:rPr>
        <w:footnoteReference w:id="213"/>
      </w:r>
    </w:p>
    <w:p w14:paraId="55164A78" w14:textId="1477F7A4" w:rsidR="00F60BEE" w:rsidRPr="004C5271" w:rsidRDefault="00D15881" w:rsidP="00D15881">
      <w:pPr>
        <w:pStyle w:val="NormalNumberedTextTLRI"/>
        <w:rPr>
          <w:rFonts w:asciiTheme="majorBidi" w:hAnsiTheme="majorBidi" w:cstheme="majorBidi"/>
          <w:lang w:val="en-AU"/>
        </w:rPr>
      </w:pPr>
      <w:r w:rsidRPr="004C5271">
        <w:rPr>
          <w:rFonts w:asciiTheme="majorBidi" w:hAnsiTheme="majorBidi" w:cstheme="majorBidi"/>
          <w:lang w:val="en-AU"/>
        </w:rPr>
        <w:tab/>
        <w:t xml:space="preserve">The NSWLRC’s recommendations, not all in their original form, were put into effect by the </w:t>
      </w:r>
      <w:r w:rsidRPr="004C5271">
        <w:rPr>
          <w:rFonts w:asciiTheme="majorBidi" w:hAnsiTheme="majorBidi" w:cstheme="majorBidi"/>
          <w:i/>
          <w:lang w:val="en-AU"/>
        </w:rPr>
        <w:t>Family Provision Act 1982</w:t>
      </w:r>
      <w:r w:rsidRPr="004C5271">
        <w:rPr>
          <w:rFonts w:asciiTheme="majorBidi" w:hAnsiTheme="majorBidi" w:cstheme="majorBidi"/>
          <w:lang w:val="en-AU"/>
        </w:rPr>
        <w:t xml:space="preserve"> (NSW). </w:t>
      </w:r>
      <w:r w:rsidR="00F60BEE" w:rsidRPr="004C5271">
        <w:rPr>
          <w:rFonts w:asciiTheme="majorBidi" w:hAnsiTheme="majorBidi" w:cstheme="majorBidi"/>
          <w:lang w:val="en-AU"/>
        </w:rPr>
        <w:t xml:space="preserve">It has been noted that the passing of notional estate laws in New South Wales was not without controversy and there was significant debate about their inclusion: </w:t>
      </w:r>
    </w:p>
    <w:p w14:paraId="49B95F91" w14:textId="37DC3F0A" w:rsidR="00F60BEE" w:rsidRPr="004C5271" w:rsidRDefault="00F60BEE" w:rsidP="00C9277F">
      <w:pPr>
        <w:pStyle w:val="QuoteTLRI"/>
        <w:rPr>
          <w:rFonts w:asciiTheme="majorBidi" w:hAnsiTheme="majorBidi" w:cstheme="majorBidi"/>
        </w:rPr>
      </w:pPr>
      <w:r w:rsidRPr="004C5271">
        <w:rPr>
          <w:rFonts w:asciiTheme="majorBidi" w:hAnsiTheme="majorBidi" w:cstheme="majorBidi"/>
        </w:rPr>
        <w:t>Parliamentary Counsel and the Commissioner, Gressier, disagreed on several fundamental issues concerning the Bill, eventually narrowing down to two, but major, issues: the definition of ‘eligible person’ and the notional estate provisions, but it dragged the process of implementation out over several years. It was like a game of ‘ping pong’. The disagreement was eventually resolved by a compromise, the Commission giving way on notional estate and Parliamentary Counsel giving way on eligibility</w:t>
      </w:r>
      <w:r w:rsidR="00C9277F" w:rsidRPr="004C5271">
        <w:rPr>
          <w:rFonts w:asciiTheme="majorBidi" w:hAnsiTheme="majorBidi" w:cstheme="majorBidi"/>
        </w:rPr>
        <w:t xml:space="preserve"> </w:t>
      </w:r>
      <w:r w:rsidRPr="004C5271">
        <w:rPr>
          <w:rFonts w:asciiTheme="majorBidi" w:hAnsiTheme="majorBidi" w:cstheme="majorBidi"/>
        </w:rPr>
        <w:t>…</w:t>
      </w:r>
      <w:r w:rsidRPr="004C5271">
        <w:rPr>
          <w:rStyle w:val="FootnoteReference"/>
          <w:rFonts w:asciiTheme="majorBidi" w:hAnsiTheme="majorBidi" w:cstheme="majorBidi"/>
        </w:rPr>
        <w:footnoteReference w:id="214"/>
      </w:r>
    </w:p>
    <w:p w14:paraId="1644C33D" w14:textId="4616414B" w:rsidR="005F5528" w:rsidRPr="004C5271" w:rsidRDefault="005F5528" w:rsidP="00D15881">
      <w:pPr>
        <w:pStyle w:val="NormalNumberedTextTLRI"/>
        <w:rPr>
          <w:rFonts w:asciiTheme="majorBidi" w:hAnsiTheme="majorBidi" w:cstheme="majorBidi"/>
          <w:lang w:val="en-AU"/>
        </w:rPr>
      </w:pPr>
      <w:r w:rsidRPr="004C5271">
        <w:rPr>
          <w:rFonts w:asciiTheme="majorBidi" w:hAnsiTheme="majorBidi" w:cstheme="majorBidi"/>
          <w:lang w:val="en-AU"/>
        </w:rPr>
        <w:lastRenderedPageBreak/>
        <w:t>Similar observations have made about the strong opposing views that experts expressed in response to the recommendations of the NSWLRC relating to notional estate.</w:t>
      </w:r>
      <w:r w:rsidRPr="004C5271">
        <w:rPr>
          <w:rStyle w:val="FootnoteReference"/>
          <w:rFonts w:asciiTheme="majorBidi" w:hAnsiTheme="majorBidi" w:cstheme="majorBidi"/>
          <w:lang w:val="en-AU"/>
        </w:rPr>
        <w:footnoteReference w:id="215"/>
      </w:r>
    </w:p>
    <w:p w14:paraId="46617D9E" w14:textId="0D87B0C3" w:rsidR="00D15881" w:rsidRPr="004C5271" w:rsidRDefault="00D15881" w:rsidP="00D15881">
      <w:pPr>
        <w:pStyle w:val="NormalNumberedTextTLRI"/>
        <w:rPr>
          <w:rFonts w:asciiTheme="majorBidi" w:hAnsiTheme="majorBidi" w:cstheme="majorBidi"/>
          <w:lang w:val="en-AU"/>
        </w:rPr>
      </w:pPr>
      <w:r w:rsidRPr="004C5271">
        <w:rPr>
          <w:rFonts w:asciiTheme="majorBidi" w:hAnsiTheme="majorBidi" w:cstheme="majorBidi"/>
          <w:lang w:val="en-AU"/>
        </w:rPr>
        <w:t>Th</w:t>
      </w:r>
      <w:r w:rsidR="00F60BEE" w:rsidRPr="004C5271">
        <w:rPr>
          <w:rFonts w:asciiTheme="majorBidi" w:hAnsiTheme="majorBidi" w:cstheme="majorBidi"/>
          <w:lang w:val="en-AU"/>
        </w:rPr>
        <w:t xml:space="preserve">e </w:t>
      </w:r>
      <w:r w:rsidR="00F60BEE" w:rsidRPr="004C5271">
        <w:rPr>
          <w:rFonts w:asciiTheme="majorBidi" w:hAnsiTheme="majorBidi" w:cstheme="majorBidi"/>
          <w:i/>
          <w:iCs/>
          <w:lang w:val="en-AU"/>
        </w:rPr>
        <w:t>Family Provision</w:t>
      </w:r>
      <w:r w:rsidRPr="004C5271">
        <w:rPr>
          <w:rFonts w:asciiTheme="majorBidi" w:hAnsiTheme="majorBidi" w:cstheme="majorBidi"/>
          <w:i/>
          <w:iCs/>
          <w:lang w:val="en-AU"/>
        </w:rPr>
        <w:t xml:space="preserve"> Act</w:t>
      </w:r>
      <w:r w:rsidRPr="004C5271">
        <w:rPr>
          <w:rFonts w:asciiTheme="majorBidi" w:hAnsiTheme="majorBidi" w:cstheme="majorBidi"/>
          <w:lang w:val="en-AU"/>
        </w:rPr>
        <w:t xml:space="preserve"> was subsequently repealed, and family provision laws incorporated into the NSW </w:t>
      </w:r>
      <w:r w:rsidRPr="004C5271">
        <w:rPr>
          <w:rFonts w:asciiTheme="majorBidi" w:hAnsiTheme="majorBidi" w:cstheme="majorBidi"/>
          <w:i/>
          <w:lang w:val="en-AU"/>
        </w:rPr>
        <w:t>Succession Act</w:t>
      </w:r>
      <w:r w:rsidRPr="004C5271">
        <w:rPr>
          <w:rFonts w:asciiTheme="majorBidi" w:hAnsiTheme="majorBidi" w:cstheme="majorBidi"/>
          <w:lang w:val="en-AU"/>
        </w:rPr>
        <w:t xml:space="preserve"> with the provisions relating to notional estate </w:t>
      </w:r>
      <w:r w:rsidR="006909F4" w:rsidRPr="004C5271">
        <w:rPr>
          <w:rFonts w:asciiTheme="majorBidi" w:hAnsiTheme="majorBidi" w:cstheme="majorBidi"/>
          <w:lang w:val="en-AU"/>
        </w:rPr>
        <w:t>retained and included</w:t>
      </w:r>
      <w:r w:rsidRPr="004C5271">
        <w:rPr>
          <w:rFonts w:asciiTheme="majorBidi" w:hAnsiTheme="majorBidi" w:cstheme="majorBidi"/>
          <w:lang w:val="en-AU"/>
        </w:rPr>
        <w:t xml:space="preserve"> in </w:t>
      </w:r>
      <w:r w:rsidR="00DD293F">
        <w:rPr>
          <w:rFonts w:asciiTheme="majorBidi" w:hAnsiTheme="majorBidi" w:cstheme="majorBidi"/>
          <w:lang w:val="en-AU"/>
        </w:rPr>
        <w:t>c</w:t>
      </w:r>
      <w:r w:rsidRPr="004C5271">
        <w:rPr>
          <w:rFonts w:asciiTheme="majorBidi" w:hAnsiTheme="majorBidi" w:cstheme="majorBidi"/>
          <w:lang w:val="en-AU"/>
        </w:rPr>
        <w:t xml:space="preserve">h 3, </w:t>
      </w:r>
      <w:r w:rsidR="00DD293F">
        <w:rPr>
          <w:rFonts w:asciiTheme="majorBidi" w:hAnsiTheme="majorBidi" w:cstheme="majorBidi"/>
          <w:lang w:val="en-AU"/>
        </w:rPr>
        <w:t>p</w:t>
      </w:r>
      <w:r w:rsidRPr="004C5271">
        <w:rPr>
          <w:rFonts w:asciiTheme="majorBidi" w:hAnsiTheme="majorBidi" w:cstheme="majorBidi"/>
          <w:lang w:val="en-AU"/>
        </w:rPr>
        <w:t xml:space="preserve">t 3.3. The current provisions are explained </w:t>
      </w:r>
      <w:r w:rsidR="00F60BEE" w:rsidRPr="004C5271">
        <w:rPr>
          <w:rFonts w:asciiTheme="majorBidi" w:hAnsiTheme="majorBidi" w:cstheme="majorBidi"/>
          <w:lang w:val="en-AU"/>
        </w:rPr>
        <w:t>in the following paragraphs</w:t>
      </w:r>
      <w:r w:rsidRPr="004C5271">
        <w:rPr>
          <w:rFonts w:asciiTheme="majorBidi" w:hAnsiTheme="majorBidi" w:cstheme="majorBidi"/>
          <w:lang w:val="en-AU"/>
        </w:rPr>
        <w:t xml:space="preserve">. </w:t>
      </w:r>
    </w:p>
    <w:p w14:paraId="44BC6695" w14:textId="1FDE335C" w:rsidR="000B1678" w:rsidRPr="004C5271" w:rsidRDefault="00D15881" w:rsidP="003D4FF4">
      <w:pPr>
        <w:pStyle w:val="NumberedHeadingTLRI"/>
        <w:spacing w:before="360" w:after="120"/>
        <w:rPr>
          <w:rFonts w:asciiTheme="majorBidi" w:hAnsiTheme="majorBidi" w:cstheme="majorBidi"/>
          <w:lang w:val="en-AU"/>
        </w:rPr>
      </w:pPr>
      <w:bookmarkStart w:id="104" w:name="_Toc12268957"/>
      <w:r w:rsidRPr="004C5271">
        <w:rPr>
          <w:rFonts w:asciiTheme="majorBidi" w:hAnsiTheme="majorBidi" w:cstheme="majorBidi"/>
          <w:lang w:val="en-AU"/>
        </w:rPr>
        <w:t xml:space="preserve">Part 3.3 of the NSW </w:t>
      </w:r>
      <w:r w:rsidRPr="004C5271">
        <w:rPr>
          <w:rFonts w:asciiTheme="majorBidi" w:hAnsiTheme="majorBidi" w:cstheme="majorBidi"/>
          <w:i/>
          <w:iCs/>
          <w:lang w:val="en-AU"/>
        </w:rPr>
        <w:t>Succession Act</w:t>
      </w:r>
      <w:bookmarkEnd w:id="104"/>
    </w:p>
    <w:p w14:paraId="43B9EF3A" w14:textId="02F3842D" w:rsidR="00507756" w:rsidRPr="004C5271" w:rsidRDefault="00507756" w:rsidP="003D4FF4">
      <w:pPr>
        <w:pStyle w:val="NormalNumberedTextTLRI"/>
        <w:spacing w:after="120"/>
        <w:rPr>
          <w:rFonts w:asciiTheme="majorBidi" w:hAnsiTheme="majorBidi" w:cstheme="majorBidi"/>
          <w:lang w:val="en-AU"/>
        </w:rPr>
      </w:pPr>
      <w:r w:rsidRPr="004C5271">
        <w:rPr>
          <w:rFonts w:asciiTheme="majorBidi" w:hAnsiTheme="majorBidi" w:cstheme="majorBidi"/>
          <w:lang w:val="en-AU"/>
        </w:rPr>
        <w:t xml:space="preserve">Part 3.3 of the NSW </w:t>
      </w:r>
      <w:r w:rsidRPr="004C5271">
        <w:rPr>
          <w:rFonts w:asciiTheme="majorBidi" w:hAnsiTheme="majorBidi" w:cstheme="majorBidi"/>
          <w:i/>
          <w:lang w:val="en-AU"/>
        </w:rPr>
        <w:t>Succession Act</w:t>
      </w:r>
      <w:r w:rsidRPr="004C5271">
        <w:rPr>
          <w:rFonts w:asciiTheme="majorBidi" w:hAnsiTheme="majorBidi" w:cstheme="majorBidi"/>
          <w:lang w:val="en-AU"/>
        </w:rPr>
        <w:t xml:space="preserve"> allows the court to make orders designating property not within a person’s estate as comprising the ‘notional estate’ of the deceased. Any property designated as ‘notional estate’ becomes available to make provision for a successful family provision applicat</w:t>
      </w:r>
      <w:r w:rsidR="000B1678" w:rsidRPr="004C5271">
        <w:rPr>
          <w:rFonts w:asciiTheme="majorBidi" w:hAnsiTheme="majorBidi" w:cstheme="majorBidi"/>
          <w:lang w:val="en-AU"/>
        </w:rPr>
        <w:t>ion</w:t>
      </w:r>
      <w:r w:rsidRPr="004C5271">
        <w:rPr>
          <w:rFonts w:asciiTheme="majorBidi" w:hAnsiTheme="majorBidi" w:cstheme="majorBidi"/>
          <w:lang w:val="en-AU"/>
        </w:rPr>
        <w:t xml:space="preserve"> as though it were part of the estate.</w:t>
      </w:r>
      <w:r w:rsidRPr="004C5271">
        <w:rPr>
          <w:rStyle w:val="FootnoteReference"/>
          <w:rFonts w:asciiTheme="majorBidi" w:hAnsiTheme="majorBidi" w:cstheme="majorBidi"/>
          <w:lang w:val="en-AU"/>
        </w:rPr>
        <w:footnoteReference w:id="216"/>
      </w:r>
      <w:r w:rsidRPr="004C5271">
        <w:rPr>
          <w:rFonts w:asciiTheme="majorBidi" w:hAnsiTheme="majorBidi" w:cstheme="majorBidi"/>
          <w:lang w:val="en-AU"/>
        </w:rPr>
        <w:t xml:space="preserve"> The New South Wales legislation explains the effect of the provisions as follows:</w:t>
      </w:r>
    </w:p>
    <w:p w14:paraId="4F1B5D16" w14:textId="0D45BEC0" w:rsidR="00507756" w:rsidRPr="004C5271" w:rsidRDefault="00507756" w:rsidP="003D4FF4">
      <w:pPr>
        <w:pStyle w:val="QuoteTLRI"/>
        <w:spacing w:after="120"/>
        <w:rPr>
          <w:rFonts w:asciiTheme="majorBidi" w:hAnsiTheme="majorBidi" w:cstheme="majorBidi"/>
        </w:rPr>
      </w:pPr>
      <w:r w:rsidRPr="004C5271">
        <w:rPr>
          <w:rFonts w:asciiTheme="majorBidi" w:hAnsiTheme="majorBidi" w:cstheme="majorBidi"/>
        </w:rPr>
        <w:t>This Part applies where, as a result of certain property transactions, property is not included in the estate of a deceased person or where property has been distributed from the estate of a deceased person. This Part enables the Court in limited circumstances to make an order designating property that is not included in the estate, or has been distributed from the estate, as ‘notional estate’ of the deceased person for the purpose of making a family provision order under Part 3.2 in respect of the estate of the deceased person (or for the purpose of ordering that costs in the proceedings be paid from the notional estate).</w:t>
      </w:r>
      <w:r w:rsidRPr="004C5271">
        <w:rPr>
          <w:rStyle w:val="FootnoteReference"/>
          <w:rFonts w:asciiTheme="majorBidi" w:hAnsiTheme="majorBidi" w:cstheme="majorBidi"/>
          <w:lang w:eastAsia="en-US"/>
        </w:rPr>
        <w:footnoteReference w:id="217"/>
      </w:r>
    </w:p>
    <w:p w14:paraId="102B28D8" w14:textId="77777777" w:rsidR="008F0157" w:rsidRPr="004C5271" w:rsidRDefault="008F0157" w:rsidP="003D4FF4">
      <w:pPr>
        <w:pStyle w:val="NormalNumberedTextTLRI"/>
        <w:spacing w:before="120" w:after="120"/>
        <w:rPr>
          <w:rFonts w:asciiTheme="majorBidi" w:hAnsiTheme="majorBidi" w:cstheme="majorBidi"/>
          <w:lang w:val="en-AU"/>
        </w:rPr>
      </w:pPr>
      <w:r w:rsidRPr="004C5271">
        <w:rPr>
          <w:rFonts w:asciiTheme="majorBidi" w:hAnsiTheme="majorBidi" w:cstheme="majorBidi"/>
          <w:lang w:val="en-AU"/>
        </w:rPr>
        <w:t>Certain classes of transactions may be caught by the New South Wales notional estate provisions:</w:t>
      </w:r>
    </w:p>
    <w:p w14:paraId="62CA8F74" w14:textId="77777777" w:rsidR="008F0157" w:rsidRPr="004C5271" w:rsidRDefault="008F0157" w:rsidP="008F0157">
      <w:pPr>
        <w:pStyle w:val="DotPointTLRI"/>
        <w:rPr>
          <w:rFonts w:asciiTheme="majorBidi" w:hAnsiTheme="majorBidi" w:cstheme="majorBidi"/>
          <w:lang w:val="en-AU"/>
        </w:rPr>
      </w:pPr>
      <w:r w:rsidRPr="004C5271">
        <w:rPr>
          <w:rFonts w:asciiTheme="majorBidi" w:hAnsiTheme="majorBidi" w:cstheme="majorBidi"/>
          <w:lang w:val="en-AU"/>
        </w:rPr>
        <w:lastRenderedPageBreak/>
        <w:t>property that has been distributed from an estate;</w:t>
      </w:r>
      <w:r w:rsidRPr="004C5271">
        <w:rPr>
          <w:rStyle w:val="FootnoteReference"/>
          <w:rFonts w:asciiTheme="majorBidi" w:eastAsia="Times" w:hAnsiTheme="majorBidi" w:cstheme="majorBidi"/>
          <w:szCs w:val="20"/>
          <w:lang w:val="en-AU" w:eastAsia="ja-JP"/>
        </w:rPr>
        <w:footnoteReference w:id="218"/>
      </w:r>
    </w:p>
    <w:p w14:paraId="0FEE3CB2" w14:textId="77777777" w:rsidR="008F0157" w:rsidRPr="004C5271" w:rsidRDefault="008F0157" w:rsidP="008F0157">
      <w:pPr>
        <w:pStyle w:val="DotPointTLRI"/>
        <w:rPr>
          <w:rFonts w:asciiTheme="majorBidi" w:hAnsiTheme="majorBidi" w:cstheme="majorBidi"/>
          <w:lang w:val="en-AU"/>
        </w:rPr>
      </w:pPr>
      <w:r w:rsidRPr="004C5271">
        <w:rPr>
          <w:rFonts w:asciiTheme="majorBidi" w:hAnsiTheme="majorBidi" w:cstheme="majorBidi"/>
          <w:lang w:val="en-AU"/>
        </w:rPr>
        <w:t>property that has been the subject of a ‘relevant property transaction’;</w:t>
      </w:r>
      <w:r w:rsidRPr="004C5271">
        <w:rPr>
          <w:rStyle w:val="FootnoteReference"/>
          <w:rFonts w:asciiTheme="majorBidi" w:eastAsia="Times" w:hAnsiTheme="majorBidi" w:cstheme="majorBidi"/>
          <w:szCs w:val="20"/>
          <w:lang w:val="en-AU" w:eastAsia="ja-JP"/>
        </w:rPr>
        <w:footnoteReference w:id="219"/>
      </w:r>
      <w:r w:rsidRPr="004C5271">
        <w:rPr>
          <w:rFonts w:asciiTheme="majorBidi" w:hAnsiTheme="majorBidi" w:cstheme="majorBidi"/>
          <w:lang w:val="en-AU"/>
        </w:rPr>
        <w:t xml:space="preserve"> and</w:t>
      </w:r>
    </w:p>
    <w:p w14:paraId="6D206E0F" w14:textId="520A8144" w:rsidR="008F0157" w:rsidRPr="004C5271" w:rsidRDefault="008F0157" w:rsidP="008F0157">
      <w:pPr>
        <w:pStyle w:val="DotPointTLRI"/>
        <w:rPr>
          <w:rFonts w:asciiTheme="majorBidi" w:hAnsiTheme="majorBidi" w:cstheme="majorBidi"/>
          <w:lang w:val="en-AU"/>
        </w:rPr>
      </w:pPr>
      <w:r w:rsidRPr="004C5271">
        <w:rPr>
          <w:rFonts w:asciiTheme="majorBidi" w:hAnsiTheme="majorBidi" w:cstheme="majorBidi"/>
          <w:lang w:val="en-AU"/>
        </w:rPr>
        <w:t>property falling within the preceding two scenarios and which has been the subject of a subsequent ‘relevant property transaction’.</w:t>
      </w:r>
      <w:r w:rsidRPr="004C5271">
        <w:rPr>
          <w:rStyle w:val="FootnoteReference"/>
          <w:rFonts w:asciiTheme="majorBidi" w:eastAsia="Times" w:hAnsiTheme="majorBidi" w:cstheme="majorBidi"/>
          <w:szCs w:val="20"/>
          <w:lang w:val="en-AU" w:eastAsia="ja-JP"/>
        </w:rPr>
        <w:footnoteReference w:id="220"/>
      </w:r>
    </w:p>
    <w:p w14:paraId="4CA0402E" w14:textId="14996921" w:rsidR="006A0CE2" w:rsidRPr="004C5271" w:rsidRDefault="000B1678" w:rsidP="006A0CE2">
      <w:pPr>
        <w:pStyle w:val="NormalNumberedTextTLRI"/>
        <w:rPr>
          <w:rFonts w:asciiTheme="majorBidi" w:hAnsiTheme="majorBidi" w:cstheme="majorBidi"/>
          <w:lang w:val="en-AU"/>
        </w:rPr>
      </w:pPr>
      <w:r w:rsidRPr="004C5271">
        <w:rPr>
          <w:rFonts w:asciiTheme="majorBidi" w:hAnsiTheme="majorBidi" w:cstheme="majorBidi"/>
          <w:lang w:val="en-AU"/>
        </w:rPr>
        <w:t>T</w:t>
      </w:r>
      <w:r w:rsidR="006A0CE2" w:rsidRPr="004C5271">
        <w:rPr>
          <w:rFonts w:asciiTheme="majorBidi" w:hAnsiTheme="majorBidi" w:cstheme="majorBidi"/>
          <w:lang w:val="en-AU"/>
        </w:rPr>
        <w:t xml:space="preserve">he notional estate provisions </w:t>
      </w:r>
      <w:r w:rsidR="004273B6" w:rsidRPr="004C5271">
        <w:rPr>
          <w:rFonts w:asciiTheme="majorBidi" w:hAnsiTheme="majorBidi" w:cstheme="majorBidi"/>
          <w:lang w:val="en-AU"/>
        </w:rPr>
        <w:t xml:space="preserve">operating </w:t>
      </w:r>
      <w:r w:rsidR="006A0CE2" w:rsidRPr="004C5271">
        <w:rPr>
          <w:rFonts w:asciiTheme="majorBidi" w:hAnsiTheme="majorBidi" w:cstheme="majorBidi"/>
          <w:lang w:val="en-AU"/>
        </w:rPr>
        <w:t>in New South Wales</w:t>
      </w:r>
      <w:r w:rsidRPr="004C5271">
        <w:rPr>
          <w:rFonts w:asciiTheme="majorBidi" w:hAnsiTheme="majorBidi" w:cstheme="majorBidi"/>
          <w:lang w:val="en-AU"/>
        </w:rPr>
        <w:t xml:space="preserve"> are given detailed analysis below</w:t>
      </w:r>
      <w:r w:rsidR="006A0CE2" w:rsidRPr="004C5271">
        <w:rPr>
          <w:rFonts w:asciiTheme="majorBidi" w:hAnsiTheme="majorBidi" w:cstheme="majorBidi"/>
          <w:lang w:val="en-AU"/>
        </w:rPr>
        <w:t>.</w:t>
      </w:r>
    </w:p>
    <w:p w14:paraId="1A416A36" w14:textId="2ECD504B" w:rsidR="005C09DC" w:rsidRPr="004C5271" w:rsidRDefault="008F0157" w:rsidP="0025301C">
      <w:pPr>
        <w:pStyle w:val="NumberedHeadingTLRI"/>
        <w:spacing w:before="360" w:after="120"/>
        <w:rPr>
          <w:rFonts w:asciiTheme="majorBidi" w:hAnsiTheme="majorBidi" w:cstheme="majorBidi"/>
          <w:lang w:val="en-AU"/>
        </w:rPr>
      </w:pPr>
      <w:bookmarkStart w:id="105" w:name="_Toc12268958"/>
      <w:bookmarkStart w:id="106" w:name="_Ref13493394"/>
      <w:r w:rsidRPr="004C5271">
        <w:rPr>
          <w:rFonts w:asciiTheme="majorBidi" w:hAnsiTheme="majorBidi" w:cstheme="majorBidi"/>
          <w:lang w:val="en-AU"/>
        </w:rPr>
        <w:t>When the court may make a</w:t>
      </w:r>
      <w:r w:rsidR="00351147" w:rsidRPr="004C5271">
        <w:rPr>
          <w:rFonts w:asciiTheme="majorBidi" w:hAnsiTheme="majorBidi" w:cstheme="majorBidi"/>
          <w:lang w:val="en-AU"/>
        </w:rPr>
        <w:t xml:space="preserve"> notional estate</w:t>
      </w:r>
      <w:r w:rsidRPr="004C5271">
        <w:rPr>
          <w:rFonts w:asciiTheme="majorBidi" w:hAnsiTheme="majorBidi" w:cstheme="majorBidi"/>
          <w:lang w:val="en-AU"/>
        </w:rPr>
        <w:t xml:space="preserve"> order</w:t>
      </w:r>
      <w:bookmarkEnd w:id="105"/>
      <w:bookmarkEnd w:id="106"/>
    </w:p>
    <w:p w14:paraId="790570C8" w14:textId="47471C8B" w:rsidR="004273B6" w:rsidRPr="004C5271" w:rsidRDefault="004273B6" w:rsidP="004273B6">
      <w:pPr>
        <w:pStyle w:val="NormalNumberedTextTLRI"/>
        <w:rPr>
          <w:rFonts w:asciiTheme="majorBidi" w:hAnsiTheme="majorBidi" w:cstheme="majorBidi"/>
          <w:lang w:val="en-AU"/>
        </w:rPr>
      </w:pPr>
      <w:r w:rsidRPr="004C5271">
        <w:rPr>
          <w:rFonts w:asciiTheme="majorBidi" w:hAnsiTheme="majorBidi" w:cstheme="majorBidi"/>
          <w:lang w:val="en-AU"/>
        </w:rPr>
        <w:t>This section explains when a notional estate order may be made</w:t>
      </w:r>
      <w:r w:rsidR="006909F4" w:rsidRPr="004C5271">
        <w:rPr>
          <w:rFonts w:asciiTheme="majorBidi" w:hAnsiTheme="majorBidi" w:cstheme="majorBidi"/>
          <w:lang w:val="en-AU"/>
        </w:rPr>
        <w:t xml:space="preserve"> under the NSW </w:t>
      </w:r>
      <w:r w:rsidR="006909F4" w:rsidRPr="004C5271">
        <w:rPr>
          <w:rFonts w:asciiTheme="majorBidi" w:hAnsiTheme="majorBidi" w:cstheme="majorBidi"/>
          <w:i/>
          <w:iCs/>
          <w:lang w:val="en-AU"/>
        </w:rPr>
        <w:t>Succession Act</w:t>
      </w:r>
      <w:r w:rsidRPr="004C5271">
        <w:rPr>
          <w:rFonts w:asciiTheme="majorBidi" w:hAnsiTheme="majorBidi" w:cstheme="majorBidi"/>
          <w:lang w:val="en-AU"/>
        </w:rPr>
        <w:t>.</w:t>
      </w:r>
    </w:p>
    <w:p w14:paraId="6549BE38" w14:textId="4CE49A6F" w:rsidR="00233102" w:rsidRPr="004C5271" w:rsidRDefault="00BF782A" w:rsidP="00AE2B8C">
      <w:pPr>
        <w:pStyle w:val="Sub-HeadingTLRI"/>
      </w:pPr>
      <w:r w:rsidRPr="004C5271">
        <w:t>A</w:t>
      </w:r>
      <w:r w:rsidR="00AD7CF5" w:rsidRPr="004C5271">
        <w:t xml:space="preserve"> </w:t>
      </w:r>
      <w:r w:rsidR="00B63C0A" w:rsidRPr="004C5271">
        <w:t xml:space="preserve">‘relevant property </w:t>
      </w:r>
      <w:r w:rsidR="0079140A" w:rsidRPr="004C5271">
        <w:t>transaction</w:t>
      </w:r>
      <w:r w:rsidR="00027875" w:rsidRPr="004C5271">
        <w:t>’</w:t>
      </w:r>
    </w:p>
    <w:p w14:paraId="6EC10B5C" w14:textId="35B3FC4D" w:rsidR="00BF782A" w:rsidRPr="004C5271" w:rsidRDefault="008F0157" w:rsidP="00F44C3E">
      <w:pPr>
        <w:pStyle w:val="NormalNumberedTextTLRI"/>
        <w:rPr>
          <w:rFonts w:asciiTheme="majorBidi" w:hAnsiTheme="majorBidi" w:cstheme="majorBidi"/>
          <w:lang w:val="en-AU"/>
        </w:rPr>
      </w:pPr>
      <w:r w:rsidRPr="004C5271">
        <w:rPr>
          <w:rFonts w:asciiTheme="majorBidi" w:hAnsiTheme="majorBidi" w:cstheme="majorBidi"/>
          <w:lang w:val="en-AU"/>
        </w:rPr>
        <w:t>To designate property as notional estate, t</w:t>
      </w:r>
      <w:r w:rsidR="00F7672C" w:rsidRPr="004C5271">
        <w:rPr>
          <w:rFonts w:asciiTheme="majorBidi" w:hAnsiTheme="majorBidi" w:cstheme="majorBidi"/>
          <w:lang w:val="en-AU"/>
        </w:rPr>
        <w:t xml:space="preserve">he </w:t>
      </w:r>
      <w:r w:rsidR="00A92FF8" w:rsidRPr="004C5271">
        <w:rPr>
          <w:rFonts w:asciiTheme="majorBidi" w:hAnsiTheme="majorBidi" w:cstheme="majorBidi"/>
          <w:lang w:val="en-AU"/>
        </w:rPr>
        <w:t>c</w:t>
      </w:r>
      <w:r w:rsidR="00F7672C" w:rsidRPr="004C5271">
        <w:rPr>
          <w:rFonts w:asciiTheme="majorBidi" w:hAnsiTheme="majorBidi" w:cstheme="majorBidi"/>
          <w:lang w:val="en-AU"/>
        </w:rPr>
        <w:t xml:space="preserve">ourt must be satisfied that </w:t>
      </w:r>
      <w:r w:rsidR="005F2FFA" w:rsidRPr="004C5271">
        <w:rPr>
          <w:rFonts w:asciiTheme="majorBidi" w:hAnsiTheme="majorBidi" w:cstheme="majorBidi"/>
          <w:lang w:val="en-AU"/>
        </w:rPr>
        <w:t>there has been</w:t>
      </w:r>
      <w:r w:rsidR="00F7672C" w:rsidRPr="004C5271">
        <w:rPr>
          <w:rFonts w:asciiTheme="majorBidi" w:hAnsiTheme="majorBidi" w:cstheme="majorBidi"/>
          <w:lang w:val="en-AU"/>
        </w:rPr>
        <w:t xml:space="preserve"> a ‘relevant property transaction’</w:t>
      </w:r>
      <w:r w:rsidR="00CB618C" w:rsidRPr="004C5271">
        <w:rPr>
          <w:rFonts w:asciiTheme="majorBidi" w:hAnsiTheme="majorBidi" w:cstheme="majorBidi"/>
          <w:lang w:val="en-AU"/>
        </w:rPr>
        <w:t>.</w:t>
      </w:r>
      <w:r w:rsidR="00F7672C" w:rsidRPr="004C5271">
        <w:rPr>
          <w:rFonts w:asciiTheme="majorBidi" w:hAnsiTheme="majorBidi" w:cstheme="majorBidi"/>
          <w:lang w:val="en-AU"/>
        </w:rPr>
        <w:t xml:space="preserve"> </w:t>
      </w:r>
      <w:r w:rsidR="005F2FFA" w:rsidRPr="004C5271">
        <w:rPr>
          <w:rFonts w:asciiTheme="majorBidi" w:hAnsiTheme="majorBidi" w:cstheme="majorBidi"/>
          <w:lang w:val="en-AU"/>
        </w:rPr>
        <w:t xml:space="preserve">A </w:t>
      </w:r>
      <w:r w:rsidR="00CB618C" w:rsidRPr="004C5271">
        <w:rPr>
          <w:rFonts w:asciiTheme="majorBidi" w:hAnsiTheme="majorBidi" w:cstheme="majorBidi"/>
          <w:lang w:val="en-AU"/>
        </w:rPr>
        <w:t>‘</w:t>
      </w:r>
      <w:r w:rsidR="005F2FFA" w:rsidRPr="004C5271">
        <w:rPr>
          <w:rFonts w:asciiTheme="majorBidi" w:hAnsiTheme="majorBidi" w:cstheme="majorBidi"/>
          <w:lang w:val="en-AU"/>
        </w:rPr>
        <w:t>relevant property transaction</w:t>
      </w:r>
      <w:r w:rsidR="00CB618C" w:rsidRPr="004C5271">
        <w:rPr>
          <w:rFonts w:asciiTheme="majorBidi" w:hAnsiTheme="majorBidi" w:cstheme="majorBidi"/>
          <w:lang w:val="en-AU"/>
        </w:rPr>
        <w:t>’</w:t>
      </w:r>
      <w:r w:rsidR="005F2FFA" w:rsidRPr="004C5271">
        <w:rPr>
          <w:rFonts w:asciiTheme="majorBidi" w:hAnsiTheme="majorBidi" w:cstheme="majorBidi"/>
          <w:lang w:val="en-AU"/>
        </w:rPr>
        <w:t xml:space="preserve"> is </w:t>
      </w:r>
      <w:r w:rsidR="006909F4" w:rsidRPr="004C5271">
        <w:rPr>
          <w:rFonts w:asciiTheme="majorBidi" w:hAnsiTheme="majorBidi" w:cstheme="majorBidi"/>
          <w:lang w:val="en-AU"/>
        </w:rPr>
        <w:t>defined</w:t>
      </w:r>
      <w:r w:rsidR="005F2FFA" w:rsidRPr="004C5271">
        <w:rPr>
          <w:rFonts w:asciiTheme="majorBidi" w:hAnsiTheme="majorBidi" w:cstheme="majorBidi"/>
          <w:lang w:val="en-AU"/>
        </w:rPr>
        <w:t xml:space="preserve"> as follows</w:t>
      </w:r>
      <w:r w:rsidR="00AD7CF5" w:rsidRPr="004C5271">
        <w:rPr>
          <w:rFonts w:asciiTheme="majorBidi" w:hAnsiTheme="majorBidi" w:cstheme="majorBidi"/>
          <w:lang w:val="en-AU"/>
        </w:rPr>
        <w:t>:</w:t>
      </w:r>
    </w:p>
    <w:p w14:paraId="07F58F66" w14:textId="32710F57" w:rsidR="00AD7CF5" w:rsidRPr="004C5271" w:rsidRDefault="00AD7CF5" w:rsidP="00C47D98">
      <w:pPr>
        <w:pStyle w:val="QuoteTLRI"/>
        <w:rPr>
          <w:rFonts w:asciiTheme="majorBidi" w:hAnsiTheme="majorBidi" w:cstheme="majorBidi"/>
        </w:rPr>
      </w:pPr>
      <w:r w:rsidRPr="004C5271">
        <w:rPr>
          <w:rFonts w:asciiTheme="majorBidi" w:hAnsiTheme="majorBidi" w:cstheme="majorBidi"/>
        </w:rPr>
        <w:t>A person enters into a relevant property transaction if the person does, directly or indirectly, or does not do, any act that (immediately or at some time later) results in property being:</w:t>
      </w:r>
    </w:p>
    <w:p w14:paraId="5D53CF39" w14:textId="1BCA39D9" w:rsidR="00AD7CF5" w:rsidRPr="004C5271" w:rsidRDefault="00AD7CF5" w:rsidP="00281F03">
      <w:pPr>
        <w:pStyle w:val="QuoteTLRI"/>
        <w:ind w:left="1134" w:hanging="425"/>
        <w:rPr>
          <w:rFonts w:asciiTheme="majorBidi" w:hAnsiTheme="majorBidi" w:cstheme="majorBidi"/>
        </w:rPr>
      </w:pPr>
      <w:r w:rsidRPr="004C5271">
        <w:rPr>
          <w:rFonts w:asciiTheme="majorBidi" w:hAnsiTheme="majorBidi" w:cstheme="majorBidi"/>
        </w:rPr>
        <w:t>(a)</w:t>
      </w:r>
      <w:r w:rsidRPr="004C5271">
        <w:rPr>
          <w:rFonts w:asciiTheme="majorBidi" w:hAnsiTheme="majorBidi" w:cstheme="majorBidi"/>
        </w:rPr>
        <w:tab/>
        <w:t>held by another person (</w:t>
      </w:r>
      <w:proofErr w:type="gramStart"/>
      <w:r w:rsidRPr="004C5271">
        <w:rPr>
          <w:rFonts w:asciiTheme="majorBidi" w:hAnsiTheme="majorBidi" w:cstheme="majorBidi"/>
        </w:rPr>
        <w:t>whether or not</w:t>
      </w:r>
      <w:proofErr w:type="gramEnd"/>
      <w:r w:rsidRPr="004C5271">
        <w:rPr>
          <w:rFonts w:asciiTheme="majorBidi" w:hAnsiTheme="majorBidi" w:cstheme="majorBidi"/>
        </w:rPr>
        <w:t xml:space="preserve"> as trustee); or</w:t>
      </w:r>
    </w:p>
    <w:p w14:paraId="780B8D0B" w14:textId="599D12B6" w:rsidR="00AD7CF5" w:rsidRPr="004C5271" w:rsidRDefault="00AD7CF5" w:rsidP="00281F03">
      <w:pPr>
        <w:pStyle w:val="QuoteTLRI"/>
        <w:ind w:left="1134" w:hanging="425"/>
        <w:rPr>
          <w:rFonts w:asciiTheme="majorBidi" w:hAnsiTheme="majorBidi" w:cstheme="majorBidi"/>
        </w:rPr>
      </w:pPr>
      <w:r w:rsidRPr="004C5271">
        <w:rPr>
          <w:rFonts w:asciiTheme="majorBidi" w:hAnsiTheme="majorBidi" w:cstheme="majorBidi"/>
        </w:rPr>
        <w:t>(b)</w:t>
      </w:r>
      <w:r w:rsidRPr="004C5271">
        <w:rPr>
          <w:rFonts w:asciiTheme="majorBidi" w:hAnsiTheme="majorBidi" w:cstheme="majorBidi"/>
        </w:rPr>
        <w:tab/>
        <w:t>subject to a trust,</w:t>
      </w:r>
    </w:p>
    <w:p w14:paraId="1DAC20BE" w14:textId="3B5F1D1F" w:rsidR="00AD7CF5" w:rsidRPr="004C5271" w:rsidRDefault="00AD7CF5" w:rsidP="00C47D98">
      <w:pPr>
        <w:pStyle w:val="QuoteTLRI"/>
        <w:rPr>
          <w:rFonts w:asciiTheme="majorBidi" w:hAnsiTheme="majorBidi" w:cstheme="majorBidi"/>
        </w:rPr>
      </w:pPr>
      <w:r w:rsidRPr="004C5271">
        <w:rPr>
          <w:rFonts w:asciiTheme="majorBidi" w:hAnsiTheme="majorBidi" w:cstheme="majorBidi"/>
        </w:rPr>
        <w:t xml:space="preserve">and full </w:t>
      </w:r>
      <w:r w:rsidR="002F6978" w:rsidRPr="004C5271">
        <w:rPr>
          <w:rFonts w:asciiTheme="majorBidi" w:hAnsiTheme="majorBidi" w:cstheme="majorBidi"/>
        </w:rPr>
        <w:t>valuable consideration is not given to the person for doing or not doing the act.</w:t>
      </w:r>
      <w:r w:rsidR="005F2FFA" w:rsidRPr="004C5271">
        <w:rPr>
          <w:rStyle w:val="FootnoteReference"/>
          <w:rFonts w:asciiTheme="majorBidi" w:hAnsiTheme="majorBidi" w:cstheme="majorBidi"/>
        </w:rPr>
        <w:footnoteReference w:id="221"/>
      </w:r>
    </w:p>
    <w:p w14:paraId="378FB12E" w14:textId="022FED03" w:rsidR="00B63C0A" w:rsidRPr="004C5271" w:rsidRDefault="00B63C0A" w:rsidP="002C5732">
      <w:pPr>
        <w:pStyle w:val="NormalNumberedTextTLRI"/>
        <w:rPr>
          <w:rFonts w:asciiTheme="majorBidi" w:hAnsiTheme="majorBidi" w:cstheme="majorBidi"/>
          <w:lang w:val="en-AU"/>
        </w:rPr>
      </w:pPr>
      <w:bookmarkStart w:id="107" w:name="_Ref13493451"/>
      <w:r w:rsidRPr="004C5271">
        <w:rPr>
          <w:rFonts w:asciiTheme="majorBidi" w:hAnsiTheme="majorBidi" w:cstheme="majorBidi"/>
          <w:lang w:val="en-AU"/>
        </w:rPr>
        <w:lastRenderedPageBreak/>
        <w:t xml:space="preserve">The legislation specifies a number of examples of ‘relevant property </w:t>
      </w:r>
      <w:proofErr w:type="gramStart"/>
      <w:r w:rsidRPr="004C5271">
        <w:rPr>
          <w:rFonts w:asciiTheme="majorBidi" w:hAnsiTheme="majorBidi" w:cstheme="majorBidi"/>
          <w:lang w:val="en-AU"/>
        </w:rPr>
        <w:t>transactions’</w:t>
      </w:r>
      <w:proofErr w:type="gramEnd"/>
      <w:r w:rsidR="00233102" w:rsidRPr="004C5271">
        <w:rPr>
          <w:rFonts w:asciiTheme="majorBidi" w:hAnsiTheme="majorBidi" w:cstheme="majorBidi"/>
          <w:lang w:val="en-AU"/>
        </w:rPr>
        <w:t>.</w:t>
      </w:r>
      <w:r w:rsidR="008978FA" w:rsidRPr="004C5271">
        <w:rPr>
          <w:rStyle w:val="FootnoteReference"/>
          <w:rFonts w:asciiTheme="majorBidi" w:hAnsiTheme="majorBidi" w:cstheme="majorBidi"/>
          <w:lang w:val="en-AU" w:eastAsia="ja-JP"/>
        </w:rPr>
        <w:footnoteReference w:id="222"/>
      </w:r>
      <w:r w:rsidR="0025424F" w:rsidRPr="004C5271">
        <w:rPr>
          <w:rFonts w:asciiTheme="majorBidi" w:hAnsiTheme="majorBidi" w:cstheme="majorBidi"/>
          <w:lang w:val="en-AU"/>
        </w:rPr>
        <w:t xml:space="preserve"> </w:t>
      </w:r>
      <w:r w:rsidRPr="004C5271">
        <w:rPr>
          <w:rFonts w:asciiTheme="majorBidi" w:hAnsiTheme="majorBidi" w:cstheme="majorBidi"/>
          <w:lang w:val="en-AU"/>
        </w:rPr>
        <w:t>These inclu</w:t>
      </w:r>
      <w:r w:rsidR="008B227D" w:rsidRPr="004C5271">
        <w:rPr>
          <w:rFonts w:asciiTheme="majorBidi" w:hAnsiTheme="majorBidi" w:cstheme="majorBidi"/>
          <w:lang w:val="en-AU"/>
        </w:rPr>
        <w:t>d</w:t>
      </w:r>
      <w:r w:rsidRPr="004C5271">
        <w:rPr>
          <w:rFonts w:asciiTheme="majorBidi" w:hAnsiTheme="majorBidi" w:cstheme="majorBidi"/>
          <w:lang w:val="en-AU"/>
        </w:rPr>
        <w:t>e:</w:t>
      </w:r>
      <w:bookmarkEnd w:id="107"/>
    </w:p>
    <w:p w14:paraId="1E8CF5C0" w14:textId="60A4556F" w:rsidR="00B63C0A" w:rsidRPr="004C5271" w:rsidRDefault="00E003C2" w:rsidP="00CF09A0">
      <w:pPr>
        <w:pStyle w:val="DotPointTLRI"/>
        <w:rPr>
          <w:rFonts w:asciiTheme="majorBidi" w:hAnsiTheme="majorBidi" w:cstheme="majorBidi"/>
          <w:lang w:val="en-AU"/>
        </w:rPr>
      </w:pPr>
      <w:r w:rsidRPr="004C5271">
        <w:rPr>
          <w:rFonts w:asciiTheme="majorBidi" w:hAnsiTheme="majorBidi" w:cstheme="majorBidi"/>
          <w:lang w:val="en-AU"/>
        </w:rPr>
        <w:t>f</w:t>
      </w:r>
      <w:r w:rsidR="00B63C0A" w:rsidRPr="004C5271">
        <w:rPr>
          <w:rFonts w:asciiTheme="majorBidi" w:hAnsiTheme="majorBidi" w:cstheme="majorBidi"/>
          <w:lang w:val="en-AU"/>
        </w:rPr>
        <w:t>ailure to exercise a power of appointment</w:t>
      </w:r>
      <w:r w:rsidR="00166456" w:rsidRPr="004C5271">
        <w:rPr>
          <w:rFonts w:asciiTheme="majorBidi" w:hAnsiTheme="majorBidi" w:cstheme="majorBidi"/>
          <w:lang w:val="en-AU"/>
        </w:rPr>
        <w:t>;</w:t>
      </w:r>
    </w:p>
    <w:p w14:paraId="20BC7788" w14:textId="2CE68319" w:rsidR="00B63C0A" w:rsidRPr="004C5271" w:rsidRDefault="00E003C2" w:rsidP="00CF09A0">
      <w:pPr>
        <w:pStyle w:val="DotPointTLRI"/>
        <w:rPr>
          <w:rFonts w:asciiTheme="majorBidi" w:hAnsiTheme="majorBidi" w:cstheme="majorBidi"/>
          <w:lang w:val="en-AU"/>
        </w:rPr>
      </w:pPr>
      <w:r w:rsidRPr="004C5271">
        <w:rPr>
          <w:rFonts w:asciiTheme="majorBidi" w:hAnsiTheme="majorBidi" w:cstheme="majorBidi"/>
          <w:lang w:val="en-AU"/>
        </w:rPr>
        <w:t>f</w:t>
      </w:r>
      <w:r w:rsidR="00B63C0A" w:rsidRPr="004C5271">
        <w:rPr>
          <w:rFonts w:asciiTheme="majorBidi" w:hAnsiTheme="majorBidi" w:cstheme="majorBidi"/>
          <w:lang w:val="en-AU"/>
        </w:rPr>
        <w:t xml:space="preserve">ailure to prevent </w:t>
      </w:r>
      <w:r w:rsidR="008B227D" w:rsidRPr="004C5271">
        <w:rPr>
          <w:rFonts w:asciiTheme="majorBidi" w:hAnsiTheme="majorBidi" w:cstheme="majorBidi"/>
          <w:lang w:val="en-AU"/>
        </w:rPr>
        <w:t>property passing by survivorship by not severing</w:t>
      </w:r>
      <w:r w:rsidR="0025424F" w:rsidRPr="004C5271">
        <w:rPr>
          <w:rFonts w:asciiTheme="majorBidi" w:hAnsiTheme="majorBidi" w:cstheme="majorBidi"/>
          <w:lang w:val="en-AU"/>
        </w:rPr>
        <w:t xml:space="preserve"> a</w:t>
      </w:r>
      <w:r w:rsidR="008B227D" w:rsidRPr="004C5271">
        <w:rPr>
          <w:rFonts w:asciiTheme="majorBidi" w:hAnsiTheme="majorBidi" w:cstheme="majorBidi"/>
          <w:lang w:val="en-AU"/>
        </w:rPr>
        <w:t xml:space="preserve"> joint tenancy</w:t>
      </w:r>
      <w:r w:rsidR="00166456" w:rsidRPr="004C5271">
        <w:rPr>
          <w:rFonts w:asciiTheme="majorBidi" w:hAnsiTheme="majorBidi" w:cstheme="majorBidi"/>
          <w:lang w:val="en-AU"/>
        </w:rPr>
        <w:t>;</w:t>
      </w:r>
    </w:p>
    <w:p w14:paraId="79425965" w14:textId="7387D5EA" w:rsidR="008B227D" w:rsidRPr="004C5271" w:rsidRDefault="00E003C2" w:rsidP="00CF09A0">
      <w:pPr>
        <w:pStyle w:val="DotPointTLRI"/>
        <w:rPr>
          <w:rFonts w:asciiTheme="majorBidi" w:hAnsiTheme="majorBidi" w:cstheme="majorBidi"/>
          <w:lang w:val="en-AU"/>
        </w:rPr>
      </w:pPr>
      <w:r w:rsidRPr="004C5271">
        <w:rPr>
          <w:rFonts w:asciiTheme="majorBidi" w:hAnsiTheme="majorBidi" w:cstheme="majorBidi"/>
          <w:lang w:val="en-AU"/>
        </w:rPr>
        <w:t>f</w:t>
      </w:r>
      <w:r w:rsidR="008B227D" w:rsidRPr="004C5271">
        <w:rPr>
          <w:rFonts w:asciiTheme="majorBidi" w:hAnsiTheme="majorBidi" w:cstheme="majorBidi"/>
          <w:lang w:val="en-AU"/>
        </w:rPr>
        <w:t>ailure to exercise a power to extinguish a trust or a property interest held by another person over property</w:t>
      </w:r>
      <w:r w:rsidR="00166456" w:rsidRPr="004C5271">
        <w:rPr>
          <w:rFonts w:asciiTheme="majorBidi" w:hAnsiTheme="majorBidi" w:cstheme="majorBidi"/>
          <w:lang w:val="en-AU"/>
        </w:rPr>
        <w:t>;</w:t>
      </w:r>
    </w:p>
    <w:p w14:paraId="016C725A" w14:textId="5E96858D" w:rsidR="008B227D" w:rsidRPr="004C5271" w:rsidRDefault="00E003C2" w:rsidP="00CF09A0">
      <w:pPr>
        <w:pStyle w:val="DotPointTLRI"/>
        <w:rPr>
          <w:rFonts w:asciiTheme="majorBidi" w:hAnsiTheme="majorBidi" w:cstheme="majorBidi"/>
          <w:lang w:val="en-AU"/>
        </w:rPr>
      </w:pPr>
      <w:r w:rsidRPr="004C5271">
        <w:rPr>
          <w:rFonts w:asciiTheme="majorBidi" w:hAnsiTheme="majorBidi" w:cstheme="majorBidi"/>
          <w:lang w:val="en-AU"/>
        </w:rPr>
        <w:t>f</w:t>
      </w:r>
      <w:r w:rsidR="008B227D" w:rsidRPr="004C5271">
        <w:rPr>
          <w:rFonts w:asciiTheme="majorBidi" w:hAnsiTheme="majorBidi" w:cstheme="majorBidi"/>
          <w:lang w:val="en-AU"/>
        </w:rPr>
        <w:t xml:space="preserve">ailure to nominate </w:t>
      </w:r>
      <w:r w:rsidR="0025424F" w:rsidRPr="004C5271">
        <w:rPr>
          <w:rFonts w:asciiTheme="majorBidi" w:hAnsiTheme="majorBidi" w:cstheme="majorBidi"/>
          <w:lang w:val="en-AU"/>
        </w:rPr>
        <w:t xml:space="preserve">a </w:t>
      </w:r>
      <w:r w:rsidR="008B227D" w:rsidRPr="004C5271">
        <w:rPr>
          <w:rFonts w:asciiTheme="majorBidi" w:hAnsiTheme="majorBidi" w:cstheme="majorBidi"/>
          <w:lang w:val="en-AU"/>
        </w:rPr>
        <w:t>beneficiary under a life assurance policy</w:t>
      </w:r>
      <w:r w:rsidR="00166456" w:rsidRPr="004C5271">
        <w:rPr>
          <w:rFonts w:asciiTheme="majorBidi" w:hAnsiTheme="majorBidi" w:cstheme="majorBidi"/>
          <w:lang w:val="en-AU"/>
        </w:rPr>
        <w:t>;</w:t>
      </w:r>
    </w:p>
    <w:p w14:paraId="386BA782" w14:textId="140C2810" w:rsidR="008B227D" w:rsidRPr="004C5271" w:rsidRDefault="00E003C2" w:rsidP="00CF09A0">
      <w:pPr>
        <w:pStyle w:val="DotPointTLRI"/>
        <w:rPr>
          <w:rFonts w:asciiTheme="majorBidi" w:hAnsiTheme="majorBidi" w:cstheme="majorBidi"/>
          <w:lang w:val="en-AU"/>
        </w:rPr>
      </w:pPr>
      <w:r w:rsidRPr="004C5271">
        <w:rPr>
          <w:rFonts w:asciiTheme="majorBidi" w:hAnsiTheme="majorBidi" w:cstheme="majorBidi"/>
          <w:lang w:val="en-AU"/>
        </w:rPr>
        <w:t>f</w:t>
      </w:r>
      <w:r w:rsidR="008B227D" w:rsidRPr="004C5271">
        <w:rPr>
          <w:rFonts w:asciiTheme="majorBidi" w:hAnsiTheme="majorBidi" w:cstheme="majorBidi"/>
          <w:lang w:val="en-AU"/>
        </w:rPr>
        <w:t>ailure to nominate a beneficiary under a superannuation fund</w:t>
      </w:r>
      <w:r w:rsidR="00166456" w:rsidRPr="004C5271">
        <w:rPr>
          <w:rFonts w:asciiTheme="majorBidi" w:hAnsiTheme="majorBidi" w:cstheme="majorBidi"/>
          <w:lang w:val="en-AU"/>
        </w:rPr>
        <w:t>;</w:t>
      </w:r>
      <w:r w:rsidR="0025424F" w:rsidRPr="004C5271">
        <w:rPr>
          <w:rFonts w:asciiTheme="majorBidi" w:hAnsiTheme="majorBidi" w:cstheme="majorBidi"/>
          <w:lang w:val="en-AU"/>
        </w:rPr>
        <w:t xml:space="preserve"> or</w:t>
      </w:r>
    </w:p>
    <w:p w14:paraId="59E88037" w14:textId="26168771" w:rsidR="0025424F" w:rsidRPr="004C5271" w:rsidRDefault="00E003C2" w:rsidP="00CF09A0">
      <w:pPr>
        <w:pStyle w:val="DotPointTLRI"/>
        <w:rPr>
          <w:rFonts w:asciiTheme="majorBidi" w:hAnsiTheme="majorBidi" w:cstheme="majorBidi"/>
          <w:lang w:val="en-AU"/>
        </w:rPr>
      </w:pPr>
      <w:r w:rsidRPr="004C5271">
        <w:rPr>
          <w:rFonts w:asciiTheme="majorBidi" w:hAnsiTheme="majorBidi" w:cstheme="majorBidi"/>
          <w:lang w:val="en-AU"/>
        </w:rPr>
        <w:t>e</w:t>
      </w:r>
      <w:r w:rsidR="008B227D" w:rsidRPr="004C5271">
        <w:rPr>
          <w:rFonts w:asciiTheme="majorBidi" w:hAnsiTheme="majorBidi" w:cstheme="majorBidi"/>
          <w:lang w:val="en-AU"/>
        </w:rPr>
        <w:t xml:space="preserve">ntering into a contract for the disposition of property out of the deceased’s </w:t>
      </w:r>
      <w:r w:rsidR="0025424F" w:rsidRPr="004C5271">
        <w:rPr>
          <w:rFonts w:asciiTheme="majorBidi" w:hAnsiTheme="majorBidi" w:cstheme="majorBidi"/>
          <w:lang w:val="en-AU"/>
        </w:rPr>
        <w:t>estate</w:t>
      </w:r>
      <w:r w:rsidR="004273B6" w:rsidRPr="004C5271">
        <w:rPr>
          <w:rFonts w:asciiTheme="majorBidi" w:hAnsiTheme="majorBidi" w:cstheme="majorBidi"/>
          <w:lang w:val="en-AU"/>
        </w:rPr>
        <w:t>,</w:t>
      </w:r>
    </w:p>
    <w:p w14:paraId="74BBF96D" w14:textId="5531FF8C" w:rsidR="0025424F" w:rsidRPr="004C5271" w:rsidRDefault="0025424F" w:rsidP="004273B6">
      <w:pPr>
        <w:pStyle w:val="DotPointTLRI"/>
        <w:numPr>
          <w:ilvl w:val="0"/>
          <w:numId w:val="0"/>
        </w:numPr>
        <w:rPr>
          <w:rFonts w:asciiTheme="majorBidi" w:hAnsiTheme="majorBidi" w:cstheme="majorBidi"/>
          <w:lang w:val="en-AU"/>
        </w:rPr>
      </w:pPr>
      <w:r w:rsidRPr="004C5271">
        <w:rPr>
          <w:rFonts w:asciiTheme="majorBidi" w:hAnsiTheme="majorBidi" w:cstheme="majorBidi"/>
          <w:lang w:val="en-AU"/>
        </w:rPr>
        <w:t>in situations where valuable consideration was not given.</w:t>
      </w:r>
    </w:p>
    <w:p w14:paraId="6FC52EC3" w14:textId="40867EDE" w:rsidR="008B227D" w:rsidRPr="004C5271" w:rsidRDefault="008F0157" w:rsidP="00076B44">
      <w:pPr>
        <w:pStyle w:val="NormalNumberedTextTLRI"/>
        <w:numPr>
          <w:ilvl w:val="0"/>
          <w:numId w:val="0"/>
        </w:numPr>
        <w:rPr>
          <w:rFonts w:asciiTheme="majorBidi" w:hAnsiTheme="majorBidi" w:cstheme="majorBidi"/>
          <w:lang w:val="en-AU"/>
        </w:rPr>
      </w:pPr>
      <w:r w:rsidRPr="004C5271">
        <w:rPr>
          <w:rFonts w:asciiTheme="majorBidi" w:hAnsiTheme="majorBidi" w:cstheme="majorBidi"/>
          <w:lang w:val="en-AU"/>
        </w:rPr>
        <w:t>T</w:t>
      </w:r>
      <w:r w:rsidR="00235561" w:rsidRPr="004C5271">
        <w:rPr>
          <w:rFonts w:asciiTheme="majorBidi" w:hAnsiTheme="majorBidi" w:cstheme="majorBidi"/>
          <w:lang w:val="en-AU"/>
        </w:rPr>
        <w:t>his</w:t>
      </w:r>
      <w:r w:rsidR="008B227D" w:rsidRPr="004C5271">
        <w:rPr>
          <w:rFonts w:asciiTheme="majorBidi" w:hAnsiTheme="majorBidi" w:cstheme="majorBidi"/>
          <w:lang w:val="en-AU"/>
        </w:rPr>
        <w:t xml:space="preserve"> list is not</w:t>
      </w:r>
      <w:r w:rsidR="00235561" w:rsidRPr="004C5271">
        <w:rPr>
          <w:rFonts w:asciiTheme="majorBidi" w:hAnsiTheme="majorBidi" w:cstheme="majorBidi"/>
          <w:lang w:val="en-AU"/>
        </w:rPr>
        <w:t xml:space="preserve"> </w:t>
      </w:r>
      <w:r w:rsidR="008B227D" w:rsidRPr="004C5271">
        <w:rPr>
          <w:rFonts w:asciiTheme="majorBidi" w:hAnsiTheme="majorBidi" w:cstheme="majorBidi"/>
          <w:lang w:val="en-AU"/>
        </w:rPr>
        <w:t>exhaustive</w:t>
      </w:r>
      <w:r w:rsidR="0025424F" w:rsidRPr="004C5271">
        <w:rPr>
          <w:rFonts w:asciiTheme="majorBidi" w:hAnsiTheme="majorBidi" w:cstheme="majorBidi"/>
          <w:lang w:val="en-AU"/>
        </w:rPr>
        <w:t>.</w:t>
      </w:r>
      <w:r w:rsidR="0010004E" w:rsidRPr="004C5271">
        <w:rPr>
          <w:rStyle w:val="FootnoteReference"/>
          <w:rFonts w:asciiTheme="majorBidi" w:hAnsiTheme="majorBidi" w:cstheme="majorBidi"/>
          <w:lang w:val="en-AU" w:eastAsia="ja-JP"/>
        </w:rPr>
        <w:footnoteReference w:id="223"/>
      </w:r>
    </w:p>
    <w:p w14:paraId="3EF67C6F" w14:textId="1EE9055E" w:rsidR="007650C8" w:rsidRPr="004C5271" w:rsidRDefault="005B500F" w:rsidP="00C048B6">
      <w:pPr>
        <w:pStyle w:val="NormalNumberedTextTLRI"/>
        <w:rPr>
          <w:rFonts w:asciiTheme="majorBidi" w:hAnsiTheme="majorBidi" w:cstheme="majorBidi"/>
          <w:lang w:val="en-AU"/>
        </w:rPr>
      </w:pPr>
      <w:r w:rsidRPr="004C5271">
        <w:rPr>
          <w:rFonts w:asciiTheme="majorBidi" w:hAnsiTheme="majorBidi" w:cstheme="majorBidi"/>
          <w:lang w:val="en-AU"/>
        </w:rPr>
        <w:t xml:space="preserve">Providing full valuable consideration for a </w:t>
      </w:r>
      <w:proofErr w:type="gramStart"/>
      <w:r w:rsidRPr="004C5271">
        <w:rPr>
          <w:rFonts w:asciiTheme="majorBidi" w:hAnsiTheme="majorBidi" w:cstheme="majorBidi"/>
          <w:lang w:val="en-AU"/>
        </w:rPr>
        <w:t>particular act</w:t>
      </w:r>
      <w:proofErr w:type="gramEnd"/>
      <w:r w:rsidRPr="004C5271">
        <w:rPr>
          <w:rFonts w:asciiTheme="majorBidi" w:hAnsiTheme="majorBidi" w:cstheme="majorBidi"/>
          <w:lang w:val="en-AU"/>
        </w:rPr>
        <w:t xml:space="preserve"> or omission </w:t>
      </w:r>
      <w:r w:rsidR="00385B32" w:rsidRPr="004C5271">
        <w:rPr>
          <w:rFonts w:asciiTheme="majorBidi" w:hAnsiTheme="majorBidi" w:cstheme="majorBidi"/>
          <w:lang w:val="en-AU"/>
        </w:rPr>
        <w:t>excludes that</w:t>
      </w:r>
      <w:r w:rsidRPr="004C5271">
        <w:rPr>
          <w:rFonts w:asciiTheme="majorBidi" w:hAnsiTheme="majorBidi" w:cstheme="majorBidi"/>
          <w:lang w:val="en-AU"/>
        </w:rPr>
        <w:t xml:space="preserve"> transaction </w:t>
      </w:r>
      <w:r w:rsidR="00385B32" w:rsidRPr="004C5271">
        <w:rPr>
          <w:rFonts w:asciiTheme="majorBidi" w:hAnsiTheme="majorBidi" w:cstheme="majorBidi"/>
          <w:lang w:val="en-AU"/>
        </w:rPr>
        <w:t>from being</w:t>
      </w:r>
      <w:r w:rsidRPr="004C5271">
        <w:rPr>
          <w:rFonts w:asciiTheme="majorBidi" w:hAnsiTheme="majorBidi" w:cstheme="majorBidi"/>
          <w:lang w:val="en-AU"/>
        </w:rPr>
        <w:t xml:space="preserve"> a </w:t>
      </w:r>
      <w:r w:rsidR="007650C8" w:rsidRPr="004C5271">
        <w:rPr>
          <w:rFonts w:asciiTheme="majorBidi" w:hAnsiTheme="majorBidi" w:cstheme="majorBidi"/>
          <w:lang w:val="en-AU"/>
        </w:rPr>
        <w:t>‘</w:t>
      </w:r>
      <w:r w:rsidR="004476DE" w:rsidRPr="004C5271">
        <w:rPr>
          <w:rFonts w:asciiTheme="majorBidi" w:hAnsiTheme="majorBidi" w:cstheme="majorBidi"/>
          <w:lang w:val="en-AU"/>
        </w:rPr>
        <w:t>relevant property transaction</w:t>
      </w:r>
      <w:r w:rsidR="007650C8" w:rsidRPr="004C5271">
        <w:rPr>
          <w:rFonts w:asciiTheme="majorBidi" w:hAnsiTheme="majorBidi" w:cstheme="majorBidi"/>
          <w:lang w:val="en-AU"/>
        </w:rPr>
        <w:t>’</w:t>
      </w:r>
      <w:r w:rsidR="00C048B6" w:rsidRPr="004C5271">
        <w:rPr>
          <w:rFonts w:asciiTheme="majorBidi" w:hAnsiTheme="majorBidi" w:cstheme="majorBidi"/>
          <w:lang w:val="en-AU"/>
        </w:rPr>
        <w:t>.</w:t>
      </w:r>
      <w:r w:rsidR="007650C8" w:rsidRPr="004C5271">
        <w:rPr>
          <w:rFonts w:asciiTheme="majorBidi" w:hAnsiTheme="majorBidi" w:cstheme="majorBidi"/>
          <w:lang w:val="en-AU"/>
        </w:rPr>
        <w:t xml:space="preserve"> ‘Full valuable consideration’</w:t>
      </w:r>
      <w:r w:rsidR="00C048B6" w:rsidRPr="004C5271">
        <w:rPr>
          <w:rFonts w:asciiTheme="majorBidi" w:hAnsiTheme="majorBidi" w:cstheme="majorBidi"/>
          <w:lang w:val="en-AU"/>
        </w:rPr>
        <w:t>,</w:t>
      </w:r>
      <w:r w:rsidR="007650C8" w:rsidRPr="004C5271">
        <w:rPr>
          <w:rFonts w:asciiTheme="majorBidi" w:hAnsiTheme="majorBidi" w:cstheme="majorBidi"/>
          <w:lang w:val="en-AU"/>
        </w:rPr>
        <w:t xml:space="preserve"> broadly speaking, means that the person receiving an item has paid full value for the item. For example, if a property is worth $300,000 and the person receiving the property pays $300,000 for it, this is full valuable consideration. </w:t>
      </w:r>
    </w:p>
    <w:p w14:paraId="78E84070" w14:textId="3E69E26F" w:rsidR="00AA1D1A" w:rsidRPr="004C5271" w:rsidRDefault="006909F4" w:rsidP="00AA1D1A">
      <w:pPr>
        <w:pStyle w:val="NormalNumberedTextTLRI"/>
        <w:rPr>
          <w:rFonts w:asciiTheme="majorBidi" w:hAnsiTheme="majorBidi" w:cstheme="majorBidi"/>
          <w:lang w:val="en-AU"/>
        </w:rPr>
      </w:pPr>
      <w:r w:rsidRPr="004C5271">
        <w:rPr>
          <w:rFonts w:asciiTheme="majorBidi" w:hAnsiTheme="majorBidi" w:cstheme="majorBidi"/>
          <w:lang w:val="en-AU"/>
        </w:rPr>
        <w:t xml:space="preserve">The case of </w:t>
      </w:r>
      <w:r w:rsidRPr="004C5271">
        <w:rPr>
          <w:rFonts w:asciiTheme="majorBidi" w:hAnsiTheme="majorBidi" w:cstheme="majorBidi"/>
          <w:i/>
          <w:iCs/>
          <w:lang w:val="en-AU"/>
        </w:rPr>
        <w:t>Wardy</w:t>
      </w:r>
      <w:r w:rsidRPr="004C5271">
        <w:rPr>
          <w:rFonts w:asciiTheme="majorBidi" w:hAnsiTheme="majorBidi" w:cstheme="majorBidi"/>
          <w:lang w:val="en-AU"/>
        </w:rPr>
        <w:t xml:space="preserve"> provides an example </w:t>
      </w:r>
      <w:r w:rsidR="008D60EF">
        <w:rPr>
          <w:rFonts w:asciiTheme="majorBidi" w:hAnsiTheme="majorBidi" w:cstheme="majorBidi"/>
          <w:lang w:val="en-AU"/>
        </w:rPr>
        <w:t xml:space="preserve">of </w:t>
      </w:r>
      <w:r w:rsidRPr="004C5271">
        <w:rPr>
          <w:rFonts w:asciiTheme="majorBidi" w:hAnsiTheme="majorBidi" w:cstheme="majorBidi"/>
          <w:lang w:val="en-AU"/>
        </w:rPr>
        <w:t>where the court has designated trust assets as notional estate</w:t>
      </w:r>
      <w:r w:rsidR="00AA1D1A" w:rsidRPr="004C5271">
        <w:rPr>
          <w:rFonts w:asciiTheme="majorBidi" w:hAnsiTheme="majorBidi" w:cstheme="majorBidi"/>
          <w:lang w:val="en-AU"/>
        </w:rPr>
        <w:t>.</w:t>
      </w:r>
      <w:r w:rsidR="00AA1D1A" w:rsidRPr="004C5271">
        <w:rPr>
          <w:rStyle w:val="FootnoteReference"/>
          <w:rFonts w:asciiTheme="majorBidi" w:hAnsiTheme="majorBidi" w:cstheme="majorBidi"/>
          <w:lang w:val="en-AU"/>
        </w:rPr>
        <w:footnoteReference w:id="224"/>
      </w:r>
      <w:r w:rsidR="00AA1D1A" w:rsidRPr="004C5271">
        <w:rPr>
          <w:rFonts w:asciiTheme="majorBidi" w:hAnsiTheme="majorBidi" w:cstheme="majorBidi"/>
          <w:lang w:val="en-AU"/>
        </w:rPr>
        <w:t xml:space="preserve"> In that case, a trust, known as the ‘Edward Wardy Trust’</w:t>
      </w:r>
      <w:r w:rsidR="000773E9" w:rsidRPr="004C5271">
        <w:rPr>
          <w:rFonts w:asciiTheme="majorBidi" w:hAnsiTheme="majorBidi" w:cstheme="majorBidi"/>
          <w:lang w:val="en-AU"/>
        </w:rPr>
        <w:t>,</w:t>
      </w:r>
      <w:r w:rsidR="00AA1D1A" w:rsidRPr="004C5271">
        <w:rPr>
          <w:rFonts w:asciiTheme="majorBidi" w:hAnsiTheme="majorBidi" w:cstheme="majorBidi"/>
          <w:lang w:val="en-AU"/>
        </w:rPr>
        <w:t xml:space="preserve"> was established in 1998. At the date of Mr Wardy’s death, the trust had assets of $11.5m. Mr Wardy’s estate had assets of approximately $9.6m. The trustee of the trust was a company which had two directors </w:t>
      </w:r>
      <w:r w:rsidR="003E4303" w:rsidRPr="004C5271">
        <w:rPr>
          <w:rFonts w:asciiTheme="majorBidi" w:hAnsiTheme="majorBidi" w:cstheme="majorBidi"/>
          <w:lang w:val="en-AU"/>
        </w:rPr>
        <w:t>—</w:t>
      </w:r>
      <w:r w:rsidR="00AA1D1A" w:rsidRPr="004C5271">
        <w:rPr>
          <w:rFonts w:asciiTheme="majorBidi" w:hAnsiTheme="majorBidi" w:cstheme="majorBidi"/>
          <w:lang w:val="en-AU"/>
        </w:rPr>
        <w:t xml:space="preserve"> one being the deceased, and the other his son, John. </w:t>
      </w:r>
      <w:r w:rsidR="006F2E2E" w:rsidRPr="004C5271">
        <w:rPr>
          <w:rFonts w:asciiTheme="majorBidi" w:hAnsiTheme="majorBidi" w:cstheme="majorBidi"/>
          <w:lang w:val="en-AU"/>
        </w:rPr>
        <w:t>Mr Wardy had two other sons and a surviving spouse. They comprised th</w:t>
      </w:r>
      <w:r w:rsidR="00A0186B" w:rsidRPr="004C5271">
        <w:rPr>
          <w:rFonts w:asciiTheme="majorBidi" w:hAnsiTheme="majorBidi" w:cstheme="majorBidi"/>
          <w:lang w:val="en-AU"/>
        </w:rPr>
        <w:t>e</w:t>
      </w:r>
      <w:r w:rsidR="006F2E2E" w:rsidRPr="004C5271">
        <w:rPr>
          <w:rFonts w:asciiTheme="majorBidi" w:hAnsiTheme="majorBidi" w:cstheme="majorBidi"/>
          <w:lang w:val="en-AU"/>
        </w:rPr>
        <w:t xml:space="preserve"> applicants </w:t>
      </w:r>
      <w:r w:rsidR="00306143" w:rsidRPr="004C5271">
        <w:rPr>
          <w:rFonts w:asciiTheme="majorBidi" w:hAnsiTheme="majorBidi" w:cstheme="majorBidi"/>
          <w:lang w:val="en-AU"/>
        </w:rPr>
        <w:t xml:space="preserve">in the case, seeking a declaration that assets of the trust should be designated as notional estate. </w:t>
      </w:r>
      <w:r w:rsidR="00AA1D1A" w:rsidRPr="004C5271">
        <w:rPr>
          <w:rFonts w:asciiTheme="majorBidi" w:hAnsiTheme="majorBidi" w:cstheme="majorBidi"/>
          <w:lang w:val="en-AU"/>
        </w:rPr>
        <w:t xml:space="preserve">Mr Wardy was the sole shareholder of the corporate trustee. </w:t>
      </w:r>
      <w:r w:rsidR="00AA1D1A" w:rsidRPr="004C5271">
        <w:rPr>
          <w:rFonts w:asciiTheme="majorBidi" w:hAnsiTheme="majorBidi" w:cstheme="majorBidi"/>
          <w:lang w:val="en-AU"/>
        </w:rPr>
        <w:lastRenderedPageBreak/>
        <w:t>He had been the appointor of the trust until 2008 when he was replaced by John. At trial there was an argument that the removal of Mr Wardy as appointor was a ‘relevant property transaction’</w:t>
      </w:r>
      <w:r w:rsidR="00532457" w:rsidRPr="004C5271">
        <w:rPr>
          <w:rFonts w:asciiTheme="majorBidi" w:hAnsiTheme="majorBidi" w:cstheme="majorBidi"/>
          <w:lang w:val="en-AU"/>
        </w:rPr>
        <w:t>,</w:t>
      </w:r>
      <w:r w:rsidR="00AA1D1A" w:rsidRPr="004C5271">
        <w:rPr>
          <w:rFonts w:asciiTheme="majorBidi" w:hAnsiTheme="majorBidi" w:cstheme="majorBidi"/>
          <w:lang w:val="en-AU"/>
        </w:rPr>
        <w:t xml:space="preserve"> although this argument was unsuccessful as Justice White was unpersuaded that </w:t>
      </w:r>
      <w:r w:rsidR="00C560F2" w:rsidRPr="004C5271">
        <w:rPr>
          <w:rFonts w:asciiTheme="majorBidi" w:hAnsiTheme="majorBidi" w:cstheme="majorBidi"/>
          <w:lang w:val="en-AU"/>
        </w:rPr>
        <w:t xml:space="preserve">the transaction </w:t>
      </w:r>
      <w:r w:rsidR="00C560F2" w:rsidRPr="004C5271">
        <w:rPr>
          <w:rFonts w:asciiTheme="majorBidi" w:hAnsiTheme="majorBidi" w:cstheme="majorBidi"/>
          <w:color w:val="000000"/>
          <w:shd w:val="clear" w:color="auto" w:fill="FFFFFF"/>
          <w:lang w:val="en-AU"/>
        </w:rPr>
        <w:t xml:space="preserve">was </w:t>
      </w:r>
      <w:proofErr w:type="gramStart"/>
      <w:r w:rsidR="00C560F2" w:rsidRPr="004C5271">
        <w:rPr>
          <w:rFonts w:asciiTheme="majorBidi" w:hAnsiTheme="majorBidi" w:cstheme="majorBidi"/>
          <w:color w:val="000000"/>
          <w:shd w:val="clear" w:color="auto" w:fill="FFFFFF"/>
          <w:lang w:val="en-AU"/>
        </w:rPr>
        <w:t>entered into</w:t>
      </w:r>
      <w:proofErr w:type="gramEnd"/>
      <w:r w:rsidR="00C560F2" w:rsidRPr="004C5271">
        <w:rPr>
          <w:rFonts w:asciiTheme="majorBidi" w:hAnsiTheme="majorBidi" w:cstheme="majorBidi"/>
          <w:color w:val="000000"/>
          <w:shd w:val="clear" w:color="auto" w:fill="FFFFFF"/>
          <w:lang w:val="en-AU"/>
        </w:rPr>
        <w:t xml:space="preserve"> with the intention of denying or limiting a claim</w:t>
      </w:r>
      <w:r w:rsidR="00107910" w:rsidRPr="004C5271">
        <w:rPr>
          <w:rFonts w:asciiTheme="majorBidi" w:hAnsiTheme="majorBidi" w:cstheme="majorBidi"/>
          <w:color w:val="000000"/>
          <w:shd w:val="clear" w:color="auto" w:fill="FFFFFF"/>
          <w:lang w:val="en-AU"/>
        </w:rPr>
        <w:t>, as required by the legislation</w:t>
      </w:r>
      <w:r w:rsidR="00AA1D1A" w:rsidRPr="004C5271">
        <w:rPr>
          <w:rFonts w:asciiTheme="majorBidi" w:hAnsiTheme="majorBidi" w:cstheme="majorBidi"/>
          <w:lang w:val="en-AU"/>
        </w:rPr>
        <w:t>.</w:t>
      </w:r>
      <w:r w:rsidR="00C560F2" w:rsidRPr="004C5271">
        <w:rPr>
          <w:rStyle w:val="FootnoteReference"/>
          <w:rFonts w:asciiTheme="majorBidi" w:hAnsiTheme="majorBidi" w:cstheme="majorBidi"/>
          <w:lang w:val="en-AU"/>
        </w:rPr>
        <w:footnoteReference w:id="225"/>
      </w:r>
      <w:r w:rsidR="00AA1D1A" w:rsidRPr="004C5271">
        <w:rPr>
          <w:rFonts w:asciiTheme="majorBidi" w:hAnsiTheme="majorBidi" w:cstheme="majorBidi"/>
          <w:lang w:val="en-AU"/>
        </w:rPr>
        <w:t xml:space="preserve"> </w:t>
      </w:r>
    </w:p>
    <w:p w14:paraId="00FCF9C2" w14:textId="3C935C60" w:rsidR="00AA1D1A" w:rsidRPr="004C5271" w:rsidRDefault="00AA1D1A" w:rsidP="00AA1D1A">
      <w:pPr>
        <w:pStyle w:val="NormalNumberedTextTLRI"/>
        <w:rPr>
          <w:rFonts w:asciiTheme="majorBidi" w:hAnsiTheme="majorBidi" w:cstheme="majorBidi"/>
          <w:sz w:val="20"/>
          <w:lang w:val="en-AU"/>
        </w:rPr>
      </w:pPr>
      <w:r w:rsidRPr="004C5271">
        <w:rPr>
          <w:rFonts w:asciiTheme="majorBidi" w:hAnsiTheme="majorBidi" w:cstheme="majorBidi"/>
          <w:lang w:val="en-AU"/>
        </w:rPr>
        <w:t xml:space="preserve">The sons argued that </w:t>
      </w:r>
      <w:r w:rsidR="00306143" w:rsidRPr="004C5271">
        <w:rPr>
          <w:rFonts w:asciiTheme="majorBidi" w:hAnsiTheme="majorBidi" w:cstheme="majorBidi"/>
          <w:lang w:val="en-AU"/>
        </w:rPr>
        <w:t>the deceased</w:t>
      </w:r>
      <w:r w:rsidRPr="004C5271">
        <w:rPr>
          <w:rFonts w:asciiTheme="majorBidi" w:hAnsiTheme="majorBidi" w:cstheme="majorBidi"/>
          <w:lang w:val="en-AU"/>
        </w:rPr>
        <w:t xml:space="preserve">’s omission, in his capacity as a director of the corporate trustee, to appoint the assets of the trust to himself as a beneficiary was a ‘relevant property transaction.’ Alternatively, </w:t>
      </w:r>
      <w:r w:rsidRPr="004C5271">
        <w:rPr>
          <w:rFonts w:asciiTheme="majorBidi" w:eastAsia="Times New Roman" w:hAnsiTheme="majorBidi" w:cstheme="majorBidi"/>
          <w:color w:val="333333"/>
          <w:sz w:val="24"/>
          <w:szCs w:val="24"/>
          <w:lang w:val="en-AU"/>
        </w:rPr>
        <w:t>they argued that, as sole shareholder, he could have removed John as a director of the company and then resolved to distribute the assets of the trust to himself.</w:t>
      </w:r>
      <w:r w:rsidRPr="004C5271">
        <w:rPr>
          <w:rStyle w:val="FootnoteReference"/>
          <w:rFonts w:asciiTheme="majorBidi" w:hAnsiTheme="majorBidi" w:cstheme="majorBidi"/>
        </w:rPr>
        <w:footnoteReference w:id="226"/>
      </w:r>
      <w:r w:rsidRPr="004C5271">
        <w:rPr>
          <w:rFonts w:asciiTheme="majorBidi" w:eastAsia="Times New Roman" w:hAnsiTheme="majorBidi" w:cstheme="majorBidi"/>
          <w:color w:val="333333"/>
          <w:sz w:val="24"/>
          <w:szCs w:val="24"/>
          <w:lang w:val="en-AU"/>
        </w:rPr>
        <w:t xml:space="preserve"> They submitted that it was immaterial that the appointor could have removed the trustee company, because there was no evidence that John would have done that even if he had been removed as a director or the deceased took steps to distribute some or all of the assets of the trust to himself.</w:t>
      </w:r>
      <w:r w:rsidRPr="004C5271">
        <w:rPr>
          <w:rStyle w:val="FootnoteReference"/>
          <w:rFonts w:asciiTheme="majorBidi" w:hAnsiTheme="majorBidi" w:cstheme="majorBidi"/>
        </w:rPr>
        <w:footnoteReference w:id="227"/>
      </w:r>
      <w:r w:rsidRPr="004C5271">
        <w:rPr>
          <w:rFonts w:asciiTheme="majorBidi" w:eastAsia="Times New Roman" w:hAnsiTheme="majorBidi" w:cstheme="majorBidi"/>
          <w:color w:val="333333"/>
          <w:sz w:val="24"/>
          <w:szCs w:val="24"/>
          <w:lang w:val="en-AU"/>
        </w:rPr>
        <w:t xml:space="preserve"> </w:t>
      </w:r>
      <w:r w:rsidRPr="004C5271">
        <w:rPr>
          <w:rFonts w:asciiTheme="majorBidi" w:hAnsiTheme="majorBidi" w:cstheme="majorBidi"/>
          <w:lang w:val="en-AU"/>
        </w:rPr>
        <w:t>His Honour commente</w:t>
      </w:r>
      <w:r w:rsidR="006F2E2E" w:rsidRPr="004C5271">
        <w:rPr>
          <w:rFonts w:asciiTheme="majorBidi" w:hAnsiTheme="majorBidi" w:cstheme="majorBidi"/>
          <w:lang w:val="en-AU"/>
        </w:rPr>
        <w:t>d,</w:t>
      </w:r>
      <w:r w:rsidRPr="004C5271">
        <w:rPr>
          <w:rFonts w:asciiTheme="majorBidi" w:hAnsiTheme="majorBidi" w:cstheme="majorBidi"/>
          <w:lang w:val="en-AU"/>
        </w:rPr>
        <w:t xml:space="preserve"> </w:t>
      </w:r>
      <w:r w:rsidR="006F622A" w:rsidRPr="004C5271">
        <w:rPr>
          <w:rFonts w:asciiTheme="majorBidi" w:hAnsiTheme="majorBidi" w:cstheme="majorBidi"/>
          <w:lang w:val="en-AU"/>
        </w:rPr>
        <w:t>‘[t]</w:t>
      </w:r>
      <w:r w:rsidRPr="004C5271">
        <w:rPr>
          <w:rFonts w:asciiTheme="majorBidi" w:hAnsiTheme="majorBidi" w:cstheme="majorBidi"/>
          <w:lang w:val="en-AU"/>
        </w:rPr>
        <w:t>he placing of assets in a family discretionary trust</w:t>
      </w:r>
      <w:r w:rsidR="006F622A" w:rsidRPr="004C5271">
        <w:rPr>
          <w:rFonts w:asciiTheme="majorBidi" w:hAnsiTheme="majorBidi" w:cstheme="majorBidi"/>
          <w:lang w:val="en-AU"/>
        </w:rPr>
        <w:t xml:space="preserve"> </w:t>
      </w:r>
      <w:r w:rsidRPr="004C5271">
        <w:rPr>
          <w:rFonts w:asciiTheme="majorBidi" w:hAnsiTheme="majorBidi" w:cstheme="majorBidi"/>
          <w:lang w:val="en-AU"/>
        </w:rPr>
        <w:t>with a corporate trustee controlled by the deceased is a paradigm case for the intended application of the notional estate</w:t>
      </w:r>
      <w:r w:rsidR="006F622A" w:rsidRPr="004C5271">
        <w:rPr>
          <w:rFonts w:asciiTheme="majorBidi" w:hAnsiTheme="majorBidi" w:cstheme="majorBidi"/>
          <w:lang w:val="en-AU"/>
        </w:rPr>
        <w:t xml:space="preserve"> </w:t>
      </w:r>
      <w:r w:rsidRPr="004C5271">
        <w:rPr>
          <w:rFonts w:asciiTheme="majorBidi" w:hAnsiTheme="majorBidi" w:cstheme="majorBidi"/>
          <w:lang w:val="en-AU"/>
        </w:rPr>
        <w:t>provisions.</w:t>
      </w:r>
      <w:r w:rsidR="006F622A" w:rsidRPr="004C5271">
        <w:rPr>
          <w:rFonts w:asciiTheme="majorBidi" w:hAnsiTheme="majorBidi" w:cstheme="majorBidi"/>
          <w:lang w:val="en-AU"/>
        </w:rPr>
        <w:t>’</w:t>
      </w:r>
      <w:r w:rsidRPr="004C5271">
        <w:rPr>
          <w:rFonts w:asciiTheme="majorBidi" w:hAnsiTheme="majorBidi" w:cstheme="majorBidi"/>
          <w:vertAlign w:val="superscript"/>
          <w:lang w:val="en-AU"/>
        </w:rPr>
        <w:footnoteReference w:id="228"/>
      </w:r>
    </w:p>
    <w:p w14:paraId="6C7FABA1" w14:textId="7DCDC390" w:rsidR="00AA1D1A" w:rsidRPr="004C5271" w:rsidRDefault="00AA1D1A" w:rsidP="00AA1D1A">
      <w:pPr>
        <w:pStyle w:val="NormalNumberedTextTLRI"/>
        <w:rPr>
          <w:rFonts w:asciiTheme="majorBidi" w:hAnsiTheme="majorBidi" w:cstheme="majorBidi"/>
          <w:lang w:val="en-AU"/>
        </w:rPr>
      </w:pPr>
      <w:r w:rsidRPr="004C5271">
        <w:rPr>
          <w:rFonts w:asciiTheme="majorBidi" w:hAnsiTheme="majorBidi" w:cstheme="majorBidi"/>
          <w:lang w:val="en-AU"/>
        </w:rPr>
        <w:t>His Honour concluded that the assets of the trust were capable of being designated as notional estate. Specifically, his Honour considered the omission of Mr Wardy to appoint the assets of the trust</w:t>
      </w:r>
      <w:r w:rsidR="006F622A" w:rsidRPr="004C5271">
        <w:rPr>
          <w:rFonts w:asciiTheme="majorBidi" w:hAnsiTheme="majorBidi" w:cstheme="majorBidi"/>
          <w:lang w:val="en-AU"/>
        </w:rPr>
        <w:t xml:space="preserve"> </w:t>
      </w:r>
      <w:r w:rsidRPr="004C5271">
        <w:rPr>
          <w:rFonts w:asciiTheme="majorBidi" w:hAnsiTheme="majorBidi" w:cstheme="majorBidi"/>
          <w:lang w:val="en-AU"/>
        </w:rPr>
        <w:t>to himself, disadvantaging his estate, to be a relevant property transaction.</w:t>
      </w:r>
      <w:r w:rsidRPr="004C5271">
        <w:rPr>
          <w:rStyle w:val="FootnoteReference"/>
          <w:rFonts w:asciiTheme="majorBidi" w:hAnsiTheme="majorBidi" w:cstheme="majorBidi"/>
        </w:rPr>
        <w:footnoteReference w:id="229"/>
      </w:r>
      <w:r w:rsidRPr="004C5271">
        <w:rPr>
          <w:rFonts w:asciiTheme="majorBidi" w:hAnsiTheme="majorBidi" w:cstheme="majorBidi"/>
          <w:lang w:val="en-AU"/>
        </w:rPr>
        <w:t xml:space="preserve"> The three applicants (a spouse and two children of the deceased) were successful in their claims, with provision awarded for them out of the assets of the trust designated as notional estate.</w:t>
      </w:r>
      <w:r w:rsidRPr="004C5271">
        <w:rPr>
          <w:rStyle w:val="FootnoteReference"/>
          <w:rFonts w:asciiTheme="majorBidi" w:hAnsiTheme="majorBidi" w:cstheme="majorBidi"/>
        </w:rPr>
        <w:footnoteReference w:id="230"/>
      </w:r>
    </w:p>
    <w:p w14:paraId="15F5840A" w14:textId="4956D1B7" w:rsidR="008B227D" w:rsidRPr="004C5271" w:rsidRDefault="00B65D21" w:rsidP="00AE2B8C">
      <w:pPr>
        <w:pStyle w:val="Sub-HeadingTLRI"/>
      </w:pPr>
      <w:r w:rsidRPr="004C5271">
        <w:lastRenderedPageBreak/>
        <w:t>Timeframe covered</w:t>
      </w:r>
    </w:p>
    <w:p w14:paraId="0AE3E23B" w14:textId="53354AED" w:rsidR="008B227D" w:rsidRPr="004C5271" w:rsidRDefault="00235561" w:rsidP="002908DC">
      <w:pPr>
        <w:pStyle w:val="NormalNumberedTextTLRI"/>
        <w:rPr>
          <w:rFonts w:asciiTheme="majorBidi" w:hAnsiTheme="majorBidi" w:cstheme="majorBidi"/>
          <w:lang w:val="en-AU"/>
        </w:rPr>
      </w:pPr>
      <w:r w:rsidRPr="004C5271">
        <w:rPr>
          <w:rFonts w:asciiTheme="majorBidi" w:hAnsiTheme="majorBidi" w:cstheme="majorBidi"/>
          <w:lang w:val="en-AU"/>
        </w:rPr>
        <w:t>T</w:t>
      </w:r>
      <w:r w:rsidR="00CF3BD1" w:rsidRPr="004C5271">
        <w:rPr>
          <w:rFonts w:asciiTheme="majorBidi" w:hAnsiTheme="majorBidi" w:cstheme="majorBidi"/>
          <w:lang w:val="en-AU"/>
        </w:rPr>
        <w:t xml:space="preserve">he NSW </w:t>
      </w:r>
      <w:r w:rsidR="006D3DC4" w:rsidRPr="004C5271">
        <w:rPr>
          <w:rFonts w:asciiTheme="majorBidi" w:hAnsiTheme="majorBidi" w:cstheme="majorBidi"/>
          <w:i/>
          <w:lang w:val="en-AU"/>
        </w:rPr>
        <w:t xml:space="preserve">Succession </w:t>
      </w:r>
      <w:r w:rsidR="00CF3BD1" w:rsidRPr="004C5271">
        <w:rPr>
          <w:rFonts w:asciiTheme="majorBidi" w:hAnsiTheme="majorBidi" w:cstheme="majorBidi"/>
          <w:i/>
          <w:lang w:val="en-AU"/>
        </w:rPr>
        <w:t>Act</w:t>
      </w:r>
      <w:r w:rsidR="00CF3BD1" w:rsidRPr="004C5271">
        <w:rPr>
          <w:rFonts w:asciiTheme="majorBidi" w:hAnsiTheme="majorBidi" w:cstheme="majorBidi"/>
          <w:lang w:val="en-AU"/>
        </w:rPr>
        <w:t xml:space="preserve"> </w:t>
      </w:r>
      <w:r w:rsidR="008B227D" w:rsidRPr="004C5271">
        <w:rPr>
          <w:rFonts w:asciiTheme="majorBidi" w:hAnsiTheme="majorBidi" w:cstheme="majorBidi"/>
          <w:lang w:val="en-AU"/>
        </w:rPr>
        <w:t xml:space="preserve">provides that the </w:t>
      </w:r>
      <w:r w:rsidR="0084221F" w:rsidRPr="004C5271">
        <w:rPr>
          <w:rFonts w:asciiTheme="majorBidi" w:hAnsiTheme="majorBidi" w:cstheme="majorBidi"/>
          <w:lang w:val="en-AU"/>
        </w:rPr>
        <w:t>c</w:t>
      </w:r>
      <w:r w:rsidR="008B227D" w:rsidRPr="004C5271">
        <w:rPr>
          <w:rFonts w:asciiTheme="majorBidi" w:hAnsiTheme="majorBidi" w:cstheme="majorBidi"/>
          <w:lang w:val="en-AU"/>
        </w:rPr>
        <w:t xml:space="preserve">ourt may make </w:t>
      </w:r>
      <w:r w:rsidR="00CF3BD1" w:rsidRPr="004C5271">
        <w:rPr>
          <w:rFonts w:asciiTheme="majorBidi" w:hAnsiTheme="majorBidi" w:cstheme="majorBidi"/>
          <w:lang w:val="en-AU"/>
        </w:rPr>
        <w:t>an</w:t>
      </w:r>
      <w:r w:rsidR="008B227D" w:rsidRPr="004C5271">
        <w:rPr>
          <w:rFonts w:asciiTheme="majorBidi" w:hAnsiTheme="majorBidi" w:cstheme="majorBidi"/>
          <w:lang w:val="en-AU"/>
        </w:rPr>
        <w:t xml:space="preserve"> order designating property as notional estate if it is satisfied that a person entered into a relevant property transaction before his or her death </w:t>
      </w:r>
      <w:r w:rsidR="00A42C75" w:rsidRPr="004C5271">
        <w:rPr>
          <w:rFonts w:asciiTheme="majorBidi" w:hAnsiTheme="majorBidi" w:cstheme="majorBidi"/>
          <w:lang w:val="en-AU"/>
        </w:rPr>
        <w:t xml:space="preserve">and </w:t>
      </w:r>
      <w:r w:rsidR="008B227D" w:rsidRPr="004C5271">
        <w:rPr>
          <w:rFonts w:asciiTheme="majorBidi" w:hAnsiTheme="majorBidi" w:cstheme="majorBidi"/>
          <w:lang w:val="en-AU"/>
        </w:rPr>
        <w:t>that the transaction</w:t>
      </w:r>
      <w:r w:rsidR="00B77C85" w:rsidRPr="004C5271">
        <w:rPr>
          <w:rFonts w:asciiTheme="majorBidi" w:hAnsiTheme="majorBidi" w:cstheme="majorBidi"/>
          <w:lang w:val="en-AU"/>
        </w:rPr>
        <w:t>:</w:t>
      </w:r>
    </w:p>
    <w:p w14:paraId="0CDAF51B" w14:textId="7A3B39E4" w:rsidR="008B227D" w:rsidRPr="004C5271" w:rsidRDefault="006E5C1F" w:rsidP="006D3DC4">
      <w:pPr>
        <w:pStyle w:val="DotPointTLRI"/>
        <w:spacing w:line="276" w:lineRule="auto"/>
        <w:rPr>
          <w:rFonts w:asciiTheme="majorBidi" w:hAnsiTheme="majorBidi" w:cstheme="majorBidi"/>
          <w:lang w:val="en-AU"/>
        </w:rPr>
      </w:pPr>
      <w:r w:rsidRPr="004C5271">
        <w:rPr>
          <w:rFonts w:asciiTheme="majorBidi" w:hAnsiTheme="majorBidi" w:cstheme="majorBidi"/>
          <w:lang w:val="en-AU"/>
        </w:rPr>
        <w:t>i</w:t>
      </w:r>
      <w:r w:rsidR="008B227D" w:rsidRPr="004C5271">
        <w:rPr>
          <w:rFonts w:asciiTheme="majorBidi" w:hAnsiTheme="majorBidi" w:cstheme="majorBidi"/>
          <w:lang w:val="en-AU"/>
        </w:rPr>
        <w:t xml:space="preserve">f taking effect </w:t>
      </w:r>
      <w:r w:rsidR="008B227D" w:rsidRPr="004C5271">
        <w:rPr>
          <w:rFonts w:asciiTheme="majorBidi" w:hAnsiTheme="majorBidi" w:cstheme="majorBidi"/>
          <w:b/>
          <w:lang w:val="en-AU"/>
        </w:rPr>
        <w:t>within three years</w:t>
      </w:r>
      <w:r w:rsidR="008B227D" w:rsidRPr="004C5271">
        <w:rPr>
          <w:rFonts w:asciiTheme="majorBidi" w:hAnsiTheme="majorBidi" w:cstheme="majorBidi"/>
          <w:lang w:val="en-AU"/>
        </w:rPr>
        <w:t xml:space="preserve"> before the deceased’s death </w:t>
      </w:r>
      <w:r w:rsidR="002908DC" w:rsidRPr="004C5271">
        <w:rPr>
          <w:rFonts w:asciiTheme="majorBidi" w:hAnsiTheme="majorBidi" w:cstheme="majorBidi"/>
          <w:lang w:val="en-AU"/>
        </w:rPr>
        <w:t>—</w:t>
      </w:r>
      <w:r w:rsidR="0056691C" w:rsidRPr="004C5271">
        <w:rPr>
          <w:rFonts w:asciiTheme="majorBidi" w:hAnsiTheme="majorBidi" w:cstheme="majorBidi"/>
          <w:lang w:val="en-AU"/>
        </w:rPr>
        <w:t xml:space="preserve"> </w:t>
      </w:r>
      <w:r w:rsidR="008B227D" w:rsidRPr="004C5271">
        <w:rPr>
          <w:rFonts w:asciiTheme="majorBidi" w:hAnsiTheme="majorBidi" w:cstheme="majorBidi"/>
          <w:lang w:val="en-AU"/>
        </w:rPr>
        <w:t xml:space="preserve">was </w:t>
      </w:r>
      <w:proofErr w:type="gramStart"/>
      <w:r w:rsidR="008B227D" w:rsidRPr="004C5271">
        <w:rPr>
          <w:rFonts w:asciiTheme="majorBidi" w:hAnsiTheme="majorBidi" w:cstheme="majorBidi"/>
          <w:lang w:val="en-AU"/>
        </w:rPr>
        <w:t>entered into</w:t>
      </w:r>
      <w:proofErr w:type="gramEnd"/>
      <w:r w:rsidR="008B227D" w:rsidRPr="004C5271">
        <w:rPr>
          <w:rFonts w:asciiTheme="majorBidi" w:hAnsiTheme="majorBidi" w:cstheme="majorBidi"/>
          <w:lang w:val="en-AU"/>
        </w:rPr>
        <w:t xml:space="preserve"> with the intention of wholly or partly defeating or limiting a claim for family provision</w:t>
      </w:r>
      <w:r w:rsidR="00166456" w:rsidRPr="004C5271">
        <w:rPr>
          <w:rFonts w:asciiTheme="majorBidi" w:hAnsiTheme="majorBidi" w:cstheme="majorBidi"/>
          <w:lang w:val="en-AU"/>
        </w:rPr>
        <w:t>;</w:t>
      </w:r>
    </w:p>
    <w:p w14:paraId="46F9BEDC" w14:textId="61380B8C" w:rsidR="008B227D" w:rsidRPr="004C5271" w:rsidRDefault="006E5C1F" w:rsidP="006D3DC4">
      <w:pPr>
        <w:pStyle w:val="DotPointTLRI"/>
        <w:spacing w:line="276" w:lineRule="auto"/>
        <w:rPr>
          <w:rFonts w:asciiTheme="majorBidi" w:hAnsiTheme="majorBidi" w:cstheme="majorBidi"/>
          <w:lang w:val="en-AU"/>
        </w:rPr>
      </w:pPr>
      <w:r w:rsidRPr="004C5271">
        <w:rPr>
          <w:rFonts w:asciiTheme="majorBidi" w:hAnsiTheme="majorBidi" w:cstheme="majorBidi"/>
          <w:lang w:val="en-AU"/>
        </w:rPr>
        <w:t>i</w:t>
      </w:r>
      <w:r w:rsidR="00AF429A" w:rsidRPr="004C5271">
        <w:rPr>
          <w:rFonts w:asciiTheme="majorBidi" w:hAnsiTheme="majorBidi" w:cstheme="majorBidi"/>
          <w:lang w:val="en-AU"/>
        </w:rPr>
        <w:t>f</w:t>
      </w:r>
      <w:r w:rsidR="008B227D" w:rsidRPr="004C5271">
        <w:rPr>
          <w:rFonts w:asciiTheme="majorBidi" w:hAnsiTheme="majorBidi" w:cstheme="majorBidi"/>
          <w:lang w:val="en-AU"/>
        </w:rPr>
        <w:t xml:space="preserve"> </w:t>
      </w:r>
      <w:r w:rsidR="00EC7BCA" w:rsidRPr="004C5271">
        <w:rPr>
          <w:rFonts w:asciiTheme="majorBidi" w:hAnsiTheme="majorBidi" w:cstheme="majorBidi"/>
          <w:lang w:val="en-AU"/>
        </w:rPr>
        <w:t xml:space="preserve">taking </w:t>
      </w:r>
      <w:r w:rsidR="008B227D" w:rsidRPr="004C5271">
        <w:rPr>
          <w:rFonts w:asciiTheme="majorBidi" w:hAnsiTheme="majorBidi" w:cstheme="majorBidi"/>
          <w:lang w:val="en-AU"/>
        </w:rPr>
        <w:t xml:space="preserve">effect </w:t>
      </w:r>
      <w:r w:rsidR="008B227D" w:rsidRPr="004C5271">
        <w:rPr>
          <w:rFonts w:asciiTheme="majorBidi" w:hAnsiTheme="majorBidi" w:cstheme="majorBidi"/>
          <w:b/>
          <w:lang w:val="en-AU"/>
        </w:rPr>
        <w:t>within one year</w:t>
      </w:r>
      <w:r w:rsidR="008B227D" w:rsidRPr="004C5271">
        <w:rPr>
          <w:rFonts w:asciiTheme="majorBidi" w:hAnsiTheme="majorBidi" w:cstheme="majorBidi"/>
          <w:lang w:val="en-AU"/>
        </w:rPr>
        <w:t xml:space="preserve"> before the deceased’s death </w:t>
      </w:r>
      <w:r w:rsidR="002908DC" w:rsidRPr="004C5271">
        <w:rPr>
          <w:rFonts w:asciiTheme="majorBidi" w:hAnsiTheme="majorBidi" w:cstheme="majorBidi"/>
          <w:lang w:val="en-AU"/>
        </w:rPr>
        <w:t>—</w:t>
      </w:r>
      <w:r w:rsidR="0056691C" w:rsidRPr="004C5271">
        <w:rPr>
          <w:rFonts w:asciiTheme="majorBidi" w:hAnsiTheme="majorBidi" w:cstheme="majorBidi"/>
          <w:lang w:val="en-AU"/>
        </w:rPr>
        <w:t xml:space="preserve"> </w:t>
      </w:r>
      <w:r w:rsidR="008B227D" w:rsidRPr="004C5271">
        <w:rPr>
          <w:rFonts w:asciiTheme="majorBidi" w:hAnsiTheme="majorBidi" w:cstheme="majorBidi"/>
          <w:lang w:val="en-AU"/>
        </w:rPr>
        <w:t>was entered into at a time when the deceased had a moral obligation to make adequate provision that was substantially greater than any moral obligation to enter into th</w:t>
      </w:r>
      <w:r w:rsidR="00571318" w:rsidRPr="004C5271">
        <w:rPr>
          <w:rFonts w:asciiTheme="majorBidi" w:hAnsiTheme="majorBidi" w:cstheme="majorBidi"/>
          <w:lang w:val="en-AU"/>
        </w:rPr>
        <w:t>e</w:t>
      </w:r>
      <w:r w:rsidR="008B227D" w:rsidRPr="004C5271">
        <w:rPr>
          <w:rFonts w:asciiTheme="majorBidi" w:hAnsiTheme="majorBidi" w:cstheme="majorBidi"/>
          <w:lang w:val="en-AU"/>
        </w:rPr>
        <w:t xml:space="preserve"> transaction. </w:t>
      </w:r>
      <w:r w:rsidR="00571318" w:rsidRPr="004C5271">
        <w:rPr>
          <w:rFonts w:asciiTheme="majorBidi" w:hAnsiTheme="majorBidi" w:cstheme="majorBidi"/>
          <w:lang w:val="en-AU"/>
        </w:rPr>
        <w:t>I</w:t>
      </w:r>
      <w:r w:rsidR="008B227D" w:rsidRPr="004C5271">
        <w:rPr>
          <w:rFonts w:asciiTheme="majorBidi" w:hAnsiTheme="majorBidi" w:cstheme="majorBidi"/>
          <w:lang w:val="en-AU"/>
        </w:rPr>
        <w:t>n these circumstances the deceased’s intention is irrelevant</w:t>
      </w:r>
      <w:r w:rsidR="00166456" w:rsidRPr="004C5271">
        <w:rPr>
          <w:rFonts w:asciiTheme="majorBidi" w:hAnsiTheme="majorBidi" w:cstheme="majorBidi"/>
          <w:lang w:val="en-AU"/>
        </w:rPr>
        <w:t>;</w:t>
      </w:r>
      <w:r w:rsidR="00571318" w:rsidRPr="004C5271">
        <w:rPr>
          <w:rFonts w:asciiTheme="majorBidi" w:hAnsiTheme="majorBidi" w:cstheme="majorBidi"/>
          <w:lang w:val="en-AU"/>
        </w:rPr>
        <w:t xml:space="preserve"> or</w:t>
      </w:r>
    </w:p>
    <w:p w14:paraId="761BE4A5" w14:textId="4334413E" w:rsidR="008B227D" w:rsidRPr="004C5271" w:rsidRDefault="006E5C1F" w:rsidP="00CF09A0">
      <w:pPr>
        <w:pStyle w:val="DotPointTLRI"/>
        <w:rPr>
          <w:rFonts w:asciiTheme="majorBidi" w:hAnsiTheme="majorBidi" w:cstheme="majorBidi"/>
          <w:lang w:val="en-AU"/>
        </w:rPr>
      </w:pPr>
      <w:r w:rsidRPr="004C5271">
        <w:rPr>
          <w:rFonts w:asciiTheme="majorBidi" w:hAnsiTheme="majorBidi" w:cstheme="majorBidi"/>
          <w:lang w:val="en-AU"/>
        </w:rPr>
        <w:t>t</w:t>
      </w:r>
      <w:r w:rsidR="008B227D" w:rsidRPr="004C5271">
        <w:rPr>
          <w:rFonts w:asciiTheme="majorBidi" w:hAnsiTheme="majorBidi" w:cstheme="majorBidi"/>
          <w:lang w:val="en-AU"/>
        </w:rPr>
        <w:t xml:space="preserve">ook effect or </w:t>
      </w:r>
      <w:r w:rsidR="00EC7BCA" w:rsidRPr="004C5271">
        <w:rPr>
          <w:rFonts w:asciiTheme="majorBidi" w:hAnsiTheme="majorBidi" w:cstheme="majorBidi"/>
          <w:lang w:val="en-AU"/>
        </w:rPr>
        <w:t xml:space="preserve">is </w:t>
      </w:r>
      <w:r w:rsidR="008B227D" w:rsidRPr="004C5271">
        <w:rPr>
          <w:rFonts w:asciiTheme="majorBidi" w:hAnsiTheme="majorBidi" w:cstheme="majorBidi"/>
          <w:lang w:val="en-AU"/>
        </w:rPr>
        <w:t>to take effect on or after the deceased’s death</w:t>
      </w:r>
      <w:r w:rsidR="00166456" w:rsidRPr="004C5271">
        <w:rPr>
          <w:rFonts w:asciiTheme="majorBidi" w:hAnsiTheme="majorBidi" w:cstheme="majorBidi"/>
          <w:lang w:val="en-AU"/>
        </w:rPr>
        <w:t>.</w:t>
      </w:r>
      <w:r w:rsidR="00235561" w:rsidRPr="004C5271">
        <w:rPr>
          <w:rStyle w:val="FootnoteReference"/>
          <w:rFonts w:asciiTheme="majorBidi" w:eastAsia="Times" w:hAnsiTheme="majorBidi" w:cstheme="majorBidi"/>
          <w:szCs w:val="20"/>
          <w:lang w:val="en-AU" w:eastAsia="ja-JP"/>
        </w:rPr>
        <w:footnoteReference w:id="231"/>
      </w:r>
    </w:p>
    <w:p w14:paraId="6D90827B" w14:textId="4885516B" w:rsidR="00CF3BD1" w:rsidRPr="004C5271" w:rsidRDefault="00CF3BD1" w:rsidP="002908DC">
      <w:pPr>
        <w:pStyle w:val="NormalNumberedTextTLRI"/>
        <w:rPr>
          <w:rFonts w:asciiTheme="majorBidi" w:hAnsiTheme="majorBidi" w:cstheme="majorBidi"/>
          <w:lang w:val="en-AU"/>
        </w:rPr>
      </w:pPr>
      <w:r w:rsidRPr="004C5271">
        <w:rPr>
          <w:rFonts w:asciiTheme="majorBidi" w:hAnsiTheme="majorBidi" w:cstheme="majorBidi"/>
          <w:lang w:val="en-AU"/>
        </w:rPr>
        <w:t xml:space="preserve">Section 79 explains when a relevant property transaction takes effect. It provides that </w:t>
      </w:r>
      <w:r w:rsidR="002908DC" w:rsidRPr="004C5271">
        <w:rPr>
          <w:rFonts w:asciiTheme="majorBidi" w:hAnsiTheme="majorBidi" w:cstheme="majorBidi"/>
          <w:lang w:val="en-AU"/>
        </w:rPr>
        <w:t>‘</w:t>
      </w:r>
      <w:r w:rsidRPr="004C5271">
        <w:rPr>
          <w:rFonts w:asciiTheme="majorBidi" w:hAnsiTheme="majorBidi" w:cstheme="majorBidi"/>
          <w:lang w:val="en-AU"/>
        </w:rPr>
        <w:t>a relevant property transaction is taken to have effect when the property concerned becomes held by another person or subject to a trust or as otherwise provided by this section.</w:t>
      </w:r>
      <w:r w:rsidR="002908DC" w:rsidRPr="004C5271">
        <w:rPr>
          <w:rFonts w:asciiTheme="majorBidi" w:hAnsiTheme="majorBidi" w:cstheme="majorBidi"/>
          <w:lang w:val="en-AU"/>
        </w:rPr>
        <w:t>’</w:t>
      </w:r>
      <w:r w:rsidRPr="004C5271">
        <w:rPr>
          <w:rFonts w:asciiTheme="majorBidi" w:hAnsiTheme="majorBidi" w:cstheme="majorBidi"/>
          <w:lang w:val="en-AU"/>
        </w:rPr>
        <w:t xml:space="preserve"> </w:t>
      </w:r>
      <w:r w:rsidR="004273B6" w:rsidRPr="004C5271">
        <w:rPr>
          <w:rFonts w:asciiTheme="majorBidi" w:hAnsiTheme="majorBidi" w:cstheme="majorBidi"/>
          <w:lang w:val="en-AU"/>
        </w:rPr>
        <w:t xml:space="preserve">It </w:t>
      </w:r>
      <w:r w:rsidRPr="004C5271">
        <w:rPr>
          <w:rFonts w:asciiTheme="majorBidi" w:hAnsiTheme="majorBidi" w:cstheme="majorBidi"/>
          <w:lang w:val="en-AU"/>
        </w:rPr>
        <w:t>confirm</w:t>
      </w:r>
      <w:r w:rsidR="004273B6" w:rsidRPr="004C5271">
        <w:rPr>
          <w:rFonts w:asciiTheme="majorBidi" w:hAnsiTheme="majorBidi" w:cstheme="majorBidi"/>
          <w:lang w:val="en-AU"/>
        </w:rPr>
        <w:t>s</w:t>
      </w:r>
      <w:r w:rsidRPr="004C5271">
        <w:rPr>
          <w:rFonts w:asciiTheme="majorBidi" w:hAnsiTheme="majorBidi" w:cstheme="majorBidi"/>
          <w:lang w:val="en-AU"/>
        </w:rPr>
        <w:t xml:space="preserve"> that a relevant property transaction can take effect upon the deceased’s death. </w:t>
      </w:r>
    </w:p>
    <w:p w14:paraId="0FDFF56D" w14:textId="013D6DEC" w:rsidR="00EB766F" w:rsidRPr="004C5271" w:rsidRDefault="008B227D" w:rsidP="002908DC">
      <w:pPr>
        <w:pStyle w:val="NormalNumberedTextTLRI"/>
        <w:rPr>
          <w:rFonts w:asciiTheme="majorBidi" w:hAnsiTheme="majorBidi" w:cstheme="majorBidi"/>
          <w:lang w:val="en-AU"/>
        </w:rPr>
      </w:pPr>
      <w:r w:rsidRPr="004C5271">
        <w:rPr>
          <w:rFonts w:asciiTheme="majorBidi" w:hAnsiTheme="majorBidi" w:cstheme="majorBidi"/>
          <w:lang w:val="en-AU"/>
        </w:rPr>
        <w:t xml:space="preserve">When </w:t>
      </w:r>
      <w:r w:rsidR="00195871" w:rsidRPr="004C5271">
        <w:rPr>
          <w:rFonts w:asciiTheme="majorBidi" w:hAnsiTheme="majorBidi" w:cstheme="majorBidi"/>
          <w:lang w:val="en-AU"/>
        </w:rPr>
        <w:t xml:space="preserve">a transferee </w:t>
      </w:r>
      <w:r w:rsidR="0084221F" w:rsidRPr="004C5271">
        <w:rPr>
          <w:rFonts w:asciiTheme="majorBidi" w:hAnsiTheme="majorBidi" w:cstheme="majorBidi"/>
          <w:lang w:val="en-AU"/>
        </w:rPr>
        <w:t>enters</w:t>
      </w:r>
      <w:r w:rsidR="00195871" w:rsidRPr="004C5271">
        <w:rPr>
          <w:rFonts w:asciiTheme="majorBidi" w:hAnsiTheme="majorBidi" w:cstheme="majorBidi"/>
          <w:lang w:val="en-AU"/>
        </w:rPr>
        <w:t xml:space="preserve"> into</w:t>
      </w:r>
      <w:r w:rsidRPr="004C5271">
        <w:rPr>
          <w:rFonts w:asciiTheme="majorBidi" w:hAnsiTheme="majorBidi" w:cstheme="majorBidi"/>
          <w:lang w:val="en-AU"/>
        </w:rPr>
        <w:t xml:space="preserve"> </w:t>
      </w:r>
      <w:r w:rsidR="00CD2C53" w:rsidRPr="004C5271">
        <w:rPr>
          <w:rFonts w:asciiTheme="majorBidi" w:hAnsiTheme="majorBidi" w:cstheme="majorBidi"/>
          <w:lang w:val="en-AU"/>
        </w:rPr>
        <w:t xml:space="preserve">a </w:t>
      </w:r>
      <w:r w:rsidRPr="004C5271">
        <w:rPr>
          <w:rFonts w:asciiTheme="majorBidi" w:hAnsiTheme="majorBidi" w:cstheme="majorBidi"/>
          <w:lang w:val="en-AU"/>
        </w:rPr>
        <w:t>subsequent relevant property transaction</w:t>
      </w:r>
      <w:r w:rsidR="00577B27" w:rsidRPr="004C5271">
        <w:rPr>
          <w:rFonts w:asciiTheme="majorBidi" w:hAnsiTheme="majorBidi" w:cstheme="majorBidi"/>
          <w:lang w:val="en-AU"/>
        </w:rPr>
        <w:t>,</w:t>
      </w:r>
      <w:r w:rsidRPr="004C5271">
        <w:rPr>
          <w:rFonts w:asciiTheme="majorBidi" w:hAnsiTheme="majorBidi" w:cstheme="majorBidi"/>
          <w:lang w:val="en-AU"/>
        </w:rPr>
        <w:t xml:space="preserve"> the </w:t>
      </w:r>
      <w:r w:rsidR="0084221F" w:rsidRPr="004C5271">
        <w:rPr>
          <w:rFonts w:asciiTheme="majorBidi" w:hAnsiTheme="majorBidi" w:cstheme="majorBidi"/>
          <w:lang w:val="en-AU"/>
        </w:rPr>
        <w:t>c</w:t>
      </w:r>
      <w:r w:rsidRPr="004C5271">
        <w:rPr>
          <w:rFonts w:asciiTheme="majorBidi" w:hAnsiTheme="majorBidi" w:cstheme="majorBidi"/>
          <w:lang w:val="en-AU"/>
        </w:rPr>
        <w:t xml:space="preserve">ourt </w:t>
      </w:r>
      <w:r w:rsidR="00195871" w:rsidRPr="004C5271">
        <w:rPr>
          <w:rFonts w:asciiTheme="majorBidi" w:hAnsiTheme="majorBidi" w:cstheme="majorBidi"/>
          <w:lang w:val="en-AU"/>
        </w:rPr>
        <w:t xml:space="preserve">continues to hold </w:t>
      </w:r>
      <w:r w:rsidRPr="004C5271">
        <w:rPr>
          <w:rFonts w:asciiTheme="majorBidi" w:hAnsiTheme="majorBidi" w:cstheme="majorBidi"/>
          <w:lang w:val="en-AU"/>
        </w:rPr>
        <w:t>power to make an order</w:t>
      </w:r>
      <w:r w:rsidR="00A36BB3" w:rsidRPr="004C5271">
        <w:rPr>
          <w:rFonts w:asciiTheme="majorBidi" w:hAnsiTheme="majorBidi" w:cstheme="majorBidi"/>
          <w:lang w:val="en-AU"/>
        </w:rPr>
        <w:t xml:space="preserve"> designating property as notional estate</w:t>
      </w:r>
      <w:r w:rsidRPr="004C5271">
        <w:rPr>
          <w:rFonts w:asciiTheme="majorBidi" w:hAnsiTheme="majorBidi" w:cstheme="majorBidi"/>
          <w:lang w:val="en-AU"/>
        </w:rPr>
        <w:t xml:space="preserve"> </w:t>
      </w:r>
      <w:r w:rsidR="00A36BB3" w:rsidRPr="004C5271">
        <w:rPr>
          <w:rFonts w:asciiTheme="majorBidi" w:hAnsiTheme="majorBidi" w:cstheme="majorBidi"/>
          <w:lang w:val="en-AU"/>
        </w:rPr>
        <w:t>if it finds there are special</w:t>
      </w:r>
      <w:r w:rsidR="00EC7BCA" w:rsidRPr="004C5271">
        <w:rPr>
          <w:rFonts w:asciiTheme="majorBidi" w:hAnsiTheme="majorBidi" w:cstheme="majorBidi"/>
          <w:lang w:val="en-AU"/>
        </w:rPr>
        <w:t xml:space="preserve"> </w:t>
      </w:r>
      <w:r w:rsidRPr="004C5271">
        <w:rPr>
          <w:rFonts w:asciiTheme="majorBidi" w:hAnsiTheme="majorBidi" w:cstheme="majorBidi"/>
          <w:lang w:val="en-AU"/>
        </w:rPr>
        <w:t>circumstances</w:t>
      </w:r>
      <w:r w:rsidR="00577B27" w:rsidRPr="004C5271">
        <w:rPr>
          <w:rFonts w:asciiTheme="majorBidi" w:hAnsiTheme="majorBidi" w:cstheme="majorBidi"/>
          <w:lang w:val="en-AU"/>
        </w:rPr>
        <w:t>.</w:t>
      </w:r>
      <w:r w:rsidR="00195871" w:rsidRPr="004C5271">
        <w:rPr>
          <w:rStyle w:val="FootnoteReference"/>
          <w:rFonts w:asciiTheme="majorBidi" w:hAnsiTheme="majorBidi" w:cstheme="majorBidi"/>
          <w:lang w:val="en-AU" w:eastAsia="ja-JP"/>
        </w:rPr>
        <w:footnoteReference w:id="232"/>
      </w:r>
      <w:r w:rsidR="00577B27" w:rsidRPr="004C5271">
        <w:rPr>
          <w:rFonts w:asciiTheme="majorBidi" w:hAnsiTheme="majorBidi" w:cstheme="majorBidi"/>
          <w:lang w:val="en-AU"/>
        </w:rPr>
        <w:t xml:space="preserve"> </w:t>
      </w:r>
      <w:r w:rsidR="00195871" w:rsidRPr="004C5271">
        <w:rPr>
          <w:rFonts w:asciiTheme="majorBidi" w:hAnsiTheme="majorBidi" w:cstheme="majorBidi"/>
          <w:lang w:val="en-AU"/>
        </w:rPr>
        <w:t xml:space="preserve">The </w:t>
      </w:r>
      <w:r w:rsidR="0084221F" w:rsidRPr="004C5271">
        <w:rPr>
          <w:rFonts w:asciiTheme="majorBidi" w:hAnsiTheme="majorBidi" w:cstheme="majorBidi"/>
          <w:lang w:val="en-AU"/>
        </w:rPr>
        <w:t xml:space="preserve">NSW </w:t>
      </w:r>
      <w:r w:rsidR="001B6D05" w:rsidRPr="004C5271">
        <w:rPr>
          <w:rFonts w:asciiTheme="majorBidi" w:hAnsiTheme="majorBidi" w:cstheme="majorBidi"/>
          <w:i/>
          <w:lang w:val="en-AU"/>
        </w:rPr>
        <w:t xml:space="preserve">Succession </w:t>
      </w:r>
      <w:r w:rsidR="00195871" w:rsidRPr="004C5271">
        <w:rPr>
          <w:rFonts w:asciiTheme="majorBidi" w:hAnsiTheme="majorBidi" w:cstheme="majorBidi"/>
          <w:i/>
          <w:lang w:val="en-AU"/>
        </w:rPr>
        <w:t>Act</w:t>
      </w:r>
      <w:r w:rsidR="00195871" w:rsidRPr="004C5271">
        <w:rPr>
          <w:rFonts w:asciiTheme="majorBidi" w:hAnsiTheme="majorBidi" w:cstheme="majorBidi"/>
          <w:lang w:val="en-AU"/>
        </w:rPr>
        <w:t xml:space="preserve"> also deals with circumstances where a transferee </w:t>
      </w:r>
      <w:r w:rsidR="002D4ED1" w:rsidRPr="004C5271">
        <w:rPr>
          <w:rFonts w:asciiTheme="majorBidi" w:hAnsiTheme="majorBidi" w:cstheme="majorBidi"/>
          <w:lang w:val="en-AU"/>
        </w:rPr>
        <w:t>dies</w:t>
      </w:r>
      <w:r w:rsidR="00195871" w:rsidRPr="004C5271">
        <w:rPr>
          <w:rFonts w:asciiTheme="majorBidi" w:hAnsiTheme="majorBidi" w:cstheme="majorBidi"/>
          <w:lang w:val="en-AU"/>
        </w:rPr>
        <w:t xml:space="preserve"> and the property becomes held by either their legal personal representative or is distributed from their estate.</w:t>
      </w:r>
      <w:r w:rsidR="00195871" w:rsidRPr="004C5271">
        <w:rPr>
          <w:rStyle w:val="FootnoteReference"/>
          <w:rFonts w:asciiTheme="majorBidi" w:hAnsiTheme="majorBidi" w:cstheme="majorBidi"/>
          <w:lang w:val="en-AU" w:eastAsia="ja-JP"/>
        </w:rPr>
        <w:footnoteReference w:id="233"/>
      </w:r>
      <w:r w:rsidR="00195871" w:rsidRPr="004C5271">
        <w:rPr>
          <w:rFonts w:asciiTheme="majorBidi" w:hAnsiTheme="majorBidi" w:cstheme="majorBidi"/>
          <w:lang w:val="en-AU"/>
        </w:rPr>
        <w:t xml:space="preserve"> </w:t>
      </w:r>
    </w:p>
    <w:p w14:paraId="0EC8FA06" w14:textId="1EFEC122" w:rsidR="002B7DC9" w:rsidRPr="004C5271" w:rsidRDefault="002B7DC9" w:rsidP="00AE2B8C">
      <w:pPr>
        <w:pStyle w:val="Sub-HeadingTLRI"/>
      </w:pPr>
      <w:r w:rsidRPr="004C5271">
        <w:lastRenderedPageBreak/>
        <w:t>Test that is applied</w:t>
      </w:r>
    </w:p>
    <w:p w14:paraId="0268EFE6" w14:textId="0EB17E58" w:rsidR="003D2A2A" w:rsidRPr="004C5271" w:rsidRDefault="004273B6" w:rsidP="002D4ED1">
      <w:pPr>
        <w:pStyle w:val="NormalNumberedTextTLRI"/>
        <w:rPr>
          <w:rFonts w:asciiTheme="majorBidi" w:hAnsiTheme="majorBidi" w:cstheme="majorBidi"/>
          <w:lang w:val="en-AU"/>
        </w:rPr>
      </w:pPr>
      <w:r w:rsidRPr="004C5271">
        <w:rPr>
          <w:rFonts w:asciiTheme="majorBidi" w:hAnsiTheme="majorBidi" w:cstheme="majorBidi"/>
          <w:lang w:val="en-AU"/>
        </w:rPr>
        <w:t>F</w:t>
      </w:r>
      <w:r w:rsidR="003D2A2A" w:rsidRPr="004C5271">
        <w:rPr>
          <w:rFonts w:asciiTheme="majorBidi" w:hAnsiTheme="majorBidi" w:cstheme="majorBidi"/>
          <w:lang w:val="en-AU"/>
        </w:rPr>
        <w:t xml:space="preserve">or the </w:t>
      </w:r>
      <w:r w:rsidR="0084221F" w:rsidRPr="004C5271">
        <w:rPr>
          <w:rFonts w:asciiTheme="majorBidi" w:hAnsiTheme="majorBidi" w:cstheme="majorBidi"/>
          <w:lang w:val="en-AU"/>
        </w:rPr>
        <w:t>c</w:t>
      </w:r>
      <w:r w:rsidR="003D2A2A" w:rsidRPr="004C5271">
        <w:rPr>
          <w:rFonts w:asciiTheme="majorBidi" w:hAnsiTheme="majorBidi" w:cstheme="majorBidi"/>
          <w:lang w:val="en-AU"/>
        </w:rPr>
        <w:t xml:space="preserve">ourt to make an order designating property as notional estate, it must find that there has been disadvantage, or lack of benefit, to the estate, or a person </w:t>
      </w:r>
      <w:r w:rsidR="00306143" w:rsidRPr="004C5271">
        <w:rPr>
          <w:rFonts w:asciiTheme="majorBidi" w:hAnsiTheme="majorBidi" w:cstheme="majorBidi"/>
          <w:lang w:val="en-AU"/>
        </w:rPr>
        <w:t xml:space="preserve">is </w:t>
      </w:r>
      <w:r w:rsidR="003D2A2A" w:rsidRPr="004C5271">
        <w:rPr>
          <w:rFonts w:asciiTheme="majorBidi" w:hAnsiTheme="majorBidi" w:cstheme="majorBidi"/>
          <w:lang w:val="en-AU"/>
        </w:rPr>
        <w:t>entitled to apply for a family provision order.</w:t>
      </w:r>
    </w:p>
    <w:p w14:paraId="7F4D72EA" w14:textId="2CAEA2F2" w:rsidR="002B7DC9" w:rsidRPr="004C5271" w:rsidRDefault="002B7DC9" w:rsidP="002D4ED1">
      <w:pPr>
        <w:pStyle w:val="NormalNumberedTextTLRI"/>
        <w:rPr>
          <w:rFonts w:asciiTheme="majorBidi" w:hAnsiTheme="majorBidi" w:cstheme="majorBidi"/>
          <w:lang w:val="en-AU"/>
        </w:rPr>
      </w:pPr>
      <w:r w:rsidRPr="004C5271">
        <w:rPr>
          <w:rFonts w:asciiTheme="majorBidi" w:hAnsiTheme="majorBidi" w:cstheme="majorBidi"/>
          <w:lang w:val="en-AU"/>
        </w:rPr>
        <w:tab/>
      </w:r>
      <w:r w:rsidR="003D2A2A" w:rsidRPr="004C5271">
        <w:rPr>
          <w:rFonts w:asciiTheme="majorBidi" w:hAnsiTheme="majorBidi" w:cstheme="majorBidi"/>
          <w:lang w:val="en-AU"/>
        </w:rPr>
        <w:t>Specifically, t</w:t>
      </w:r>
      <w:r w:rsidRPr="004C5271">
        <w:rPr>
          <w:rFonts w:asciiTheme="majorBidi" w:hAnsiTheme="majorBidi" w:cstheme="majorBidi"/>
          <w:lang w:val="en-AU"/>
        </w:rPr>
        <w:t xml:space="preserve">he </w:t>
      </w:r>
      <w:r w:rsidR="0084221F" w:rsidRPr="004C5271">
        <w:rPr>
          <w:rFonts w:asciiTheme="majorBidi" w:hAnsiTheme="majorBidi" w:cstheme="majorBidi"/>
          <w:lang w:val="en-AU"/>
        </w:rPr>
        <w:t>c</w:t>
      </w:r>
      <w:r w:rsidRPr="004C5271">
        <w:rPr>
          <w:rFonts w:asciiTheme="majorBidi" w:hAnsiTheme="majorBidi" w:cstheme="majorBidi"/>
          <w:lang w:val="en-AU"/>
        </w:rPr>
        <w:t>ourt must be satisfied that a relevant property transaction</w:t>
      </w:r>
      <w:r w:rsidR="00E20DF4" w:rsidRPr="004C5271">
        <w:rPr>
          <w:rFonts w:asciiTheme="majorBidi" w:hAnsiTheme="majorBidi" w:cstheme="majorBidi"/>
          <w:lang w:val="en-AU"/>
        </w:rPr>
        <w:t>:</w:t>
      </w:r>
    </w:p>
    <w:p w14:paraId="593E8360" w14:textId="5AA68D94" w:rsidR="002B7DC9" w:rsidRPr="004C5271" w:rsidRDefault="002B7DC9" w:rsidP="006A6737">
      <w:pPr>
        <w:pStyle w:val="DotPointTLRI"/>
        <w:rPr>
          <w:rFonts w:asciiTheme="majorBidi" w:hAnsiTheme="majorBidi" w:cstheme="majorBidi"/>
        </w:rPr>
      </w:pPr>
      <w:r w:rsidRPr="004C5271">
        <w:rPr>
          <w:rFonts w:asciiTheme="majorBidi" w:hAnsiTheme="majorBidi" w:cstheme="majorBidi"/>
        </w:rPr>
        <w:t>directly or indirectly disadvantaged</w:t>
      </w:r>
      <w:r w:rsidR="004273B6" w:rsidRPr="004C5271">
        <w:rPr>
          <w:rFonts w:asciiTheme="majorBidi" w:hAnsiTheme="majorBidi" w:cstheme="majorBidi"/>
        </w:rPr>
        <w:t xml:space="preserve"> the deceased, the estate or a person entitled to apply for a family provision order; or</w:t>
      </w:r>
    </w:p>
    <w:p w14:paraId="0CE5FCDB" w14:textId="32865F0A" w:rsidR="002B7DC9" w:rsidRPr="004C5271" w:rsidRDefault="002B7DC9" w:rsidP="006A6737">
      <w:pPr>
        <w:pStyle w:val="DotPointTLRI"/>
        <w:rPr>
          <w:rFonts w:asciiTheme="majorBidi" w:hAnsiTheme="majorBidi" w:cstheme="majorBidi"/>
        </w:rPr>
      </w:pPr>
      <w:r w:rsidRPr="004C5271">
        <w:rPr>
          <w:rFonts w:asciiTheme="majorBidi" w:hAnsiTheme="majorBidi" w:cstheme="majorBidi"/>
        </w:rPr>
        <w:t xml:space="preserve">involved the exercise </w:t>
      </w:r>
      <w:r w:rsidR="003D2A2A" w:rsidRPr="004C5271">
        <w:rPr>
          <w:rFonts w:asciiTheme="majorBidi" w:hAnsiTheme="majorBidi" w:cstheme="majorBidi"/>
        </w:rPr>
        <w:t>(</w:t>
      </w:r>
      <w:r w:rsidR="00BA605F" w:rsidRPr="004C5271">
        <w:rPr>
          <w:rFonts w:asciiTheme="majorBidi" w:hAnsiTheme="majorBidi" w:cstheme="majorBidi"/>
        </w:rPr>
        <w:t xml:space="preserve">or failure to exercise) </w:t>
      </w:r>
      <w:r w:rsidRPr="004C5271">
        <w:rPr>
          <w:rFonts w:asciiTheme="majorBidi" w:hAnsiTheme="majorBidi" w:cstheme="majorBidi"/>
        </w:rPr>
        <w:t>by the principal party to the transaction or any other person</w:t>
      </w:r>
      <w:r w:rsidRPr="004C5271">
        <w:rPr>
          <w:rStyle w:val="FootnoteReference"/>
          <w:rFonts w:asciiTheme="majorBidi" w:eastAsia="Times" w:hAnsiTheme="majorBidi" w:cstheme="majorBidi"/>
        </w:rPr>
        <w:footnoteReference w:id="234"/>
      </w:r>
      <w:r w:rsidRPr="004C5271">
        <w:rPr>
          <w:rFonts w:asciiTheme="majorBidi" w:hAnsiTheme="majorBidi" w:cstheme="majorBidi"/>
        </w:rPr>
        <w:t xml:space="preserve"> of a right, a discretion or a power of appointment, disposition, nomination or direction that, if not exercised</w:t>
      </w:r>
      <w:r w:rsidR="003D2A2A" w:rsidRPr="004C5271">
        <w:rPr>
          <w:rFonts w:asciiTheme="majorBidi" w:hAnsiTheme="majorBidi" w:cstheme="majorBidi"/>
        </w:rPr>
        <w:t xml:space="preserve"> (or exercised)</w:t>
      </w:r>
      <w:r w:rsidRPr="004C5271">
        <w:rPr>
          <w:rFonts w:asciiTheme="majorBidi" w:hAnsiTheme="majorBidi" w:cstheme="majorBidi"/>
        </w:rPr>
        <w:t>, could have resulted in a benefit to</w:t>
      </w:r>
      <w:r w:rsidR="004273B6" w:rsidRPr="004C5271">
        <w:rPr>
          <w:rFonts w:asciiTheme="majorBidi" w:hAnsiTheme="majorBidi" w:cstheme="majorBidi"/>
        </w:rPr>
        <w:t xml:space="preserve"> the deceased, the estate or a person entitled to apply for a family provision order.</w:t>
      </w:r>
      <w:r w:rsidRPr="004C5271">
        <w:rPr>
          <w:rStyle w:val="FootnoteReference"/>
          <w:rFonts w:asciiTheme="majorBidi" w:eastAsia="Times" w:hAnsiTheme="majorBidi" w:cstheme="majorBidi"/>
        </w:rPr>
        <w:footnoteReference w:id="235"/>
      </w:r>
    </w:p>
    <w:p w14:paraId="7C6D8858" w14:textId="5D408206" w:rsidR="00F25567" w:rsidRPr="004C5271" w:rsidRDefault="00F25567" w:rsidP="00AE2B8C">
      <w:pPr>
        <w:pStyle w:val="Sub-HeadingTLRI"/>
      </w:pPr>
      <w:r w:rsidRPr="004C5271">
        <w:t>Restrictions on power</w:t>
      </w:r>
    </w:p>
    <w:p w14:paraId="5CDB4051" w14:textId="6BA306B8" w:rsidR="00F25567" w:rsidRPr="004C5271" w:rsidRDefault="00852F10" w:rsidP="00F53623">
      <w:pPr>
        <w:pStyle w:val="NormalNumberedTextTLRI"/>
        <w:rPr>
          <w:rFonts w:asciiTheme="majorBidi" w:hAnsiTheme="majorBidi" w:cstheme="majorBidi"/>
          <w:lang w:val="en-AU"/>
        </w:rPr>
      </w:pPr>
      <w:r w:rsidRPr="004C5271">
        <w:rPr>
          <w:rFonts w:asciiTheme="majorBidi" w:hAnsiTheme="majorBidi" w:cstheme="majorBidi"/>
          <w:lang w:val="en-AU"/>
        </w:rPr>
        <w:tab/>
      </w:r>
      <w:r w:rsidR="00CD2C53" w:rsidRPr="004C5271">
        <w:rPr>
          <w:rFonts w:asciiTheme="majorBidi" w:hAnsiTheme="majorBidi" w:cstheme="majorBidi"/>
          <w:lang w:val="en-AU"/>
        </w:rPr>
        <w:t xml:space="preserve">There are </w:t>
      </w:r>
      <w:proofErr w:type="gramStart"/>
      <w:r w:rsidR="00CD2C53" w:rsidRPr="004C5271">
        <w:rPr>
          <w:rFonts w:asciiTheme="majorBidi" w:hAnsiTheme="majorBidi" w:cstheme="majorBidi"/>
          <w:lang w:val="en-AU"/>
        </w:rPr>
        <w:t>a</w:t>
      </w:r>
      <w:r w:rsidR="00F25567" w:rsidRPr="004C5271">
        <w:rPr>
          <w:rFonts w:asciiTheme="majorBidi" w:hAnsiTheme="majorBidi" w:cstheme="majorBidi"/>
          <w:lang w:val="en-AU"/>
        </w:rPr>
        <w:t xml:space="preserve"> number of</w:t>
      </w:r>
      <w:proofErr w:type="gramEnd"/>
      <w:r w:rsidR="00F25567" w:rsidRPr="004C5271">
        <w:rPr>
          <w:rFonts w:asciiTheme="majorBidi" w:hAnsiTheme="majorBidi" w:cstheme="majorBidi"/>
          <w:lang w:val="en-AU"/>
        </w:rPr>
        <w:t xml:space="preserve"> restrictions on the power of the </w:t>
      </w:r>
      <w:r w:rsidR="0084221F" w:rsidRPr="004C5271">
        <w:rPr>
          <w:rFonts w:asciiTheme="majorBidi" w:hAnsiTheme="majorBidi" w:cstheme="majorBidi"/>
          <w:lang w:val="en-AU"/>
        </w:rPr>
        <w:t>c</w:t>
      </w:r>
      <w:r w:rsidR="00F25567" w:rsidRPr="004C5271">
        <w:rPr>
          <w:rFonts w:asciiTheme="majorBidi" w:hAnsiTheme="majorBidi" w:cstheme="majorBidi"/>
          <w:lang w:val="en-AU"/>
        </w:rPr>
        <w:t>ourt to designate property as notional estate.</w:t>
      </w:r>
      <w:r w:rsidR="00FC75AB" w:rsidRPr="004C5271">
        <w:rPr>
          <w:rStyle w:val="FootnoteReference"/>
          <w:rFonts w:asciiTheme="majorBidi" w:hAnsiTheme="majorBidi" w:cstheme="majorBidi"/>
          <w:lang w:val="en-AU"/>
        </w:rPr>
        <w:footnoteReference w:id="236"/>
      </w:r>
    </w:p>
    <w:p w14:paraId="722211E9" w14:textId="6392C32D" w:rsidR="0071101B" w:rsidRPr="004C5271" w:rsidRDefault="002B7DC9" w:rsidP="00B77BA2">
      <w:pPr>
        <w:pStyle w:val="NormalNumberedTextTLRI"/>
        <w:spacing w:after="120"/>
        <w:rPr>
          <w:rFonts w:asciiTheme="majorBidi" w:hAnsiTheme="majorBidi" w:cstheme="majorBidi"/>
          <w:lang w:val="en-AU"/>
        </w:rPr>
      </w:pPr>
      <w:r w:rsidRPr="004C5271">
        <w:rPr>
          <w:rFonts w:asciiTheme="majorBidi" w:hAnsiTheme="majorBidi" w:cstheme="majorBidi"/>
          <w:lang w:val="en-AU"/>
        </w:rPr>
        <w:t>First</w:t>
      </w:r>
      <w:r w:rsidR="00EB766F" w:rsidRPr="004C5271">
        <w:rPr>
          <w:rFonts w:asciiTheme="majorBidi" w:hAnsiTheme="majorBidi" w:cstheme="majorBidi"/>
          <w:lang w:val="en-AU"/>
        </w:rPr>
        <w:t xml:space="preserve">, </w:t>
      </w:r>
      <w:r w:rsidR="00F25567" w:rsidRPr="004C5271">
        <w:rPr>
          <w:rFonts w:asciiTheme="majorBidi" w:hAnsiTheme="majorBidi" w:cstheme="majorBidi"/>
          <w:lang w:val="en-AU"/>
        </w:rPr>
        <w:t>the</w:t>
      </w:r>
      <w:r w:rsidR="0071101B" w:rsidRPr="004C5271">
        <w:rPr>
          <w:rFonts w:asciiTheme="majorBidi" w:hAnsiTheme="majorBidi" w:cstheme="majorBidi"/>
          <w:lang w:val="en-AU"/>
        </w:rPr>
        <w:t xml:space="preserve"> </w:t>
      </w:r>
      <w:r w:rsidR="0084221F" w:rsidRPr="004C5271">
        <w:rPr>
          <w:rFonts w:asciiTheme="majorBidi" w:hAnsiTheme="majorBidi" w:cstheme="majorBidi"/>
          <w:lang w:val="en-AU"/>
        </w:rPr>
        <w:t>c</w:t>
      </w:r>
      <w:r w:rsidR="0071101B" w:rsidRPr="004C5271">
        <w:rPr>
          <w:rFonts w:asciiTheme="majorBidi" w:hAnsiTheme="majorBidi" w:cstheme="majorBidi"/>
          <w:lang w:val="en-AU"/>
        </w:rPr>
        <w:t xml:space="preserve">ourt can only make </w:t>
      </w:r>
      <w:r w:rsidR="00F25567" w:rsidRPr="004C5271">
        <w:rPr>
          <w:rFonts w:asciiTheme="majorBidi" w:hAnsiTheme="majorBidi" w:cstheme="majorBidi"/>
          <w:lang w:val="en-AU"/>
        </w:rPr>
        <w:t xml:space="preserve">a notional estate order </w:t>
      </w:r>
      <w:r w:rsidR="0071101B" w:rsidRPr="004C5271">
        <w:rPr>
          <w:rFonts w:asciiTheme="majorBidi" w:hAnsiTheme="majorBidi" w:cstheme="majorBidi"/>
          <w:lang w:val="en-AU"/>
        </w:rPr>
        <w:t xml:space="preserve">if </w:t>
      </w:r>
      <w:r w:rsidR="00F25567" w:rsidRPr="004C5271">
        <w:rPr>
          <w:rFonts w:asciiTheme="majorBidi" w:hAnsiTheme="majorBidi" w:cstheme="majorBidi"/>
          <w:lang w:val="en-AU"/>
        </w:rPr>
        <w:t>it is satisfied that</w:t>
      </w:r>
      <w:r w:rsidR="0071101B" w:rsidRPr="004C5271">
        <w:rPr>
          <w:rFonts w:asciiTheme="majorBidi" w:hAnsiTheme="majorBidi" w:cstheme="majorBidi"/>
          <w:lang w:val="en-AU"/>
        </w:rPr>
        <w:t>:</w:t>
      </w:r>
    </w:p>
    <w:p w14:paraId="0750979B" w14:textId="1AB59018" w:rsidR="0071101B" w:rsidRPr="004C5271" w:rsidRDefault="0071101B"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the deceased left no es</w:t>
      </w:r>
      <w:r w:rsidR="00B77C85" w:rsidRPr="004C5271">
        <w:rPr>
          <w:rFonts w:asciiTheme="majorBidi" w:hAnsiTheme="majorBidi" w:cstheme="majorBidi"/>
          <w:lang w:val="en-AU"/>
        </w:rPr>
        <w:t>tate</w:t>
      </w:r>
      <w:r w:rsidR="00577B27" w:rsidRPr="004C5271">
        <w:rPr>
          <w:rFonts w:asciiTheme="majorBidi" w:hAnsiTheme="majorBidi" w:cstheme="majorBidi"/>
          <w:lang w:val="en-AU"/>
        </w:rPr>
        <w:t>;</w:t>
      </w:r>
      <w:r w:rsidR="00D77E84" w:rsidRPr="004C5271">
        <w:rPr>
          <w:rFonts w:asciiTheme="majorBidi" w:hAnsiTheme="majorBidi" w:cstheme="majorBidi"/>
          <w:lang w:val="en-AU"/>
        </w:rPr>
        <w:t xml:space="preserve"> </w:t>
      </w:r>
      <w:r w:rsidRPr="004C5271">
        <w:rPr>
          <w:rFonts w:asciiTheme="majorBidi" w:hAnsiTheme="majorBidi" w:cstheme="majorBidi"/>
          <w:lang w:val="en-AU"/>
        </w:rPr>
        <w:t>or</w:t>
      </w:r>
    </w:p>
    <w:p w14:paraId="31BA891E" w14:textId="001408D1" w:rsidR="0071101B" w:rsidRPr="004C5271" w:rsidRDefault="0071101B"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the deceased’s estate is insufficient for the making of the family provision order or costs orders that the court thinks should be made</w:t>
      </w:r>
      <w:r w:rsidR="00577B27" w:rsidRPr="004C5271">
        <w:rPr>
          <w:rFonts w:asciiTheme="majorBidi" w:hAnsiTheme="majorBidi" w:cstheme="majorBidi"/>
          <w:lang w:val="en-AU"/>
        </w:rPr>
        <w:t xml:space="preserve">; </w:t>
      </w:r>
      <w:r w:rsidRPr="004C5271">
        <w:rPr>
          <w:rFonts w:asciiTheme="majorBidi" w:hAnsiTheme="majorBidi" w:cstheme="majorBidi"/>
          <w:lang w:val="en-AU"/>
        </w:rPr>
        <w:t xml:space="preserve">or </w:t>
      </w:r>
    </w:p>
    <w:p w14:paraId="7B0165C5" w14:textId="645643E2" w:rsidR="0071101B" w:rsidRPr="004C5271" w:rsidRDefault="0071101B"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lastRenderedPageBreak/>
        <w:t>orders should not be made wholly out of the deceased’s estate because there are other persons who could apply for family provision orders, or there are special circumstances</w:t>
      </w:r>
      <w:r w:rsidR="00577B27" w:rsidRPr="004C5271">
        <w:rPr>
          <w:rFonts w:asciiTheme="majorBidi" w:hAnsiTheme="majorBidi" w:cstheme="majorBidi"/>
          <w:lang w:val="en-AU"/>
        </w:rPr>
        <w:t>;</w:t>
      </w:r>
      <w:r w:rsidR="00577B27" w:rsidRPr="004C5271">
        <w:rPr>
          <w:rStyle w:val="FootnoteReference"/>
          <w:rFonts w:asciiTheme="majorBidi" w:hAnsiTheme="majorBidi" w:cstheme="majorBidi"/>
          <w:lang w:val="en-AU"/>
        </w:rPr>
        <w:footnoteReference w:id="237"/>
      </w:r>
      <w:r w:rsidR="00577B27" w:rsidRPr="004C5271">
        <w:rPr>
          <w:rFonts w:asciiTheme="majorBidi" w:hAnsiTheme="majorBidi" w:cstheme="majorBidi"/>
          <w:lang w:val="en-AU"/>
        </w:rPr>
        <w:t xml:space="preserve"> </w:t>
      </w:r>
      <w:r w:rsidRPr="004C5271">
        <w:rPr>
          <w:rFonts w:asciiTheme="majorBidi" w:hAnsiTheme="majorBidi" w:cstheme="majorBidi"/>
          <w:lang w:val="en-AU"/>
        </w:rPr>
        <w:t>or</w:t>
      </w:r>
    </w:p>
    <w:p w14:paraId="7FAA41EE" w14:textId="5C7730CF" w:rsidR="0071101B" w:rsidRPr="004C5271" w:rsidRDefault="0071101B"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the deceased’s estate has been distributed and no estate remains, or the remainder is insufficient for the court making family provision orders or costs orders.</w:t>
      </w:r>
      <w:r w:rsidR="00577B27" w:rsidRPr="004C5271">
        <w:rPr>
          <w:rStyle w:val="FootnoteReference"/>
          <w:rFonts w:asciiTheme="majorBidi" w:hAnsiTheme="majorBidi" w:cstheme="majorBidi"/>
          <w:lang w:val="en-AU"/>
        </w:rPr>
        <w:footnoteReference w:id="238"/>
      </w:r>
    </w:p>
    <w:p w14:paraId="53580C66" w14:textId="33C3C4A1" w:rsidR="00B77C85" w:rsidRPr="004C5271" w:rsidRDefault="00F25567" w:rsidP="00F53623">
      <w:pPr>
        <w:pStyle w:val="NormalNumberedTextTLRI"/>
        <w:rPr>
          <w:rFonts w:asciiTheme="majorBidi" w:hAnsiTheme="majorBidi" w:cstheme="majorBidi"/>
          <w:lang w:val="en-AU"/>
        </w:rPr>
      </w:pPr>
      <w:r w:rsidRPr="004C5271">
        <w:rPr>
          <w:rFonts w:asciiTheme="majorBidi" w:hAnsiTheme="majorBidi" w:cstheme="majorBidi"/>
          <w:lang w:val="en-AU"/>
        </w:rPr>
        <w:t xml:space="preserve">Secondly, the </w:t>
      </w:r>
      <w:r w:rsidR="0084221F" w:rsidRPr="004C5271">
        <w:rPr>
          <w:rFonts w:asciiTheme="majorBidi" w:hAnsiTheme="majorBidi" w:cstheme="majorBidi"/>
          <w:lang w:val="en-AU"/>
        </w:rPr>
        <w:t>c</w:t>
      </w:r>
      <w:r w:rsidRPr="004C5271">
        <w:rPr>
          <w:rFonts w:asciiTheme="majorBidi" w:hAnsiTheme="majorBidi" w:cstheme="majorBidi"/>
          <w:lang w:val="en-AU"/>
        </w:rPr>
        <w:t xml:space="preserve">ourt may not exercise </w:t>
      </w:r>
      <w:r w:rsidR="00577B27" w:rsidRPr="004C5271">
        <w:rPr>
          <w:rFonts w:asciiTheme="majorBidi" w:hAnsiTheme="majorBidi" w:cstheme="majorBidi"/>
          <w:lang w:val="en-AU"/>
        </w:rPr>
        <w:t>its</w:t>
      </w:r>
      <w:r w:rsidRPr="004C5271">
        <w:rPr>
          <w:rFonts w:asciiTheme="majorBidi" w:hAnsiTheme="majorBidi" w:cstheme="majorBidi"/>
          <w:lang w:val="en-AU"/>
        </w:rPr>
        <w:t xml:space="preserve"> power unless it has considered the importance of not interfering with </w:t>
      </w:r>
      <w:r w:rsidR="00FC75AB" w:rsidRPr="004C5271">
        <w:rPr>
          <w:rFonts w:asciiTheme="majorBidi" w:hAnsiTheme="majorBidi" w:cstheme="majorBidi"/>
          <w:lang w:val="en-AU"/>
        </w:rPr>
        <w:t xml:space="preserve">reasonable </w:t>
      </w:r>
      <w:r w:rsidRPr="004C5271">
        <w:rPr>
          <w:rFonts w:asciiTheme="majorBidi" w:hAnsiTheme="majorBidi" w:cstheme="majorBidi"/>
          <w:lang w:val="en-AU"/>
        </w:rPr>
        <w:t>expectation</w:t>
      </w:r>
      <w:r w:rsidR="00577B27" w:rsidRPr="004C5271">
        <w:rPr>
          <w:rFonts w:asciiTheme="majorBidi" w:hAnsiTheme="majorBidi" w:cstheme="majorBidi"/>
          <w:lang w:val="en-AU"/>
        </w:rPr>
        <w:t>s</w:t>
      </w:r>
      <w:r w:rsidRPr="004C5271">
        <w:rPr>
          <w:rFonts w:asciiTheme="majorBidi" w:hAnsiTheme="majorBidi" w:cstheme="majorBidi"/>
          <w:lang w:val="en-AU"/>
        </w:rPr>
        <w:t xml:space="preserve"> in relation to property, </w:t>
      </w:r>
      <w:r w:rsidR="00FC75AB" w:rsidRPr="004C5271">
        <w:rPr>
          <w:rFonts w:asciiTheme="majorBidi" w:hAnsiTheme="majorBidi" w:cstheme="majorBidi"/>
          <w:lang w:val="en-AU"/>
        </w:rPr>
        <w:t xml:space="preserve">the </w:t>
      </w:r>
      <w:r w:rsidR="00021999" w:rsidRPr="004C5271">
        <w:rPr>
          <w:rFonts w:asciiTheme="majorBidi" w:hAnsiTheme="majorBidi" w:cstheme="majorBidi"/>
          <w:lang w:val="en-AU"/>
        </w:rPr>
        <w:t xml:space="preserve">substantial </w:t>
      </w:r>
      <w:r w:rsidRPr="004C5271">
        <w:rPr>
          <w:rFonts w:asciiTheme="majorBidi" w:hAnsiTheme="majorBidi" w:cstheme="majorBidi"/>
          <w:lang w:val="en-AU"/>
        </w:rPr>
        <w:t xml:space="preserve">justice and </w:t>
      </w:r>
      <w:r w:rsidR="00577B27" w:rsidRPr="004C5271">
        <w:rPr>
          <w:rFonts w:asciiTheme="majorBidi" w:hAnsiTheme="majorBidi" w:cstheme="majorBidi"/>
          <w:lang w:val="en-AU"/>
        </w:rPr>
        <w:t xml:space="preserve">the </w:t>
      </w:r>
      <w:r w:rsidRPr="004C5271">
        <w:rPr>
          <w:rFonts w:asciiTheme="majorBidi" w:hAnsiTheme="majorBidi" w:cstheme="majorBidi"/>
          <w:lang w:val="en-AU"/>
        </w:rPr>
        <w:t>merits involved in making or refusing to make an order and any other matter it considers relevant.</w:t>
      </w:r>
      <w:r w:rsidR="00577B27" w:rsidRPr="004C5271">
        <w:rPr>
          <w:rStyle w:val="FootnoteReference"/>
          <w:rFonts w:asciiTheme="majorBidi" w:hAnsiTheme="majorBidi" w:cstheme="majorBidi"/>
          <w:lang w:val="en-AU"/>
        </w:rPr>
        <w:footnoteReference w:id="239"/>
      </w:r>
    </w:p>
    <w:p w14:paraId="785B26D5" w14:textId="1535FB74" w:rsidR="00FC7F1D" w:rsidRPr="004C5271" w:rsidRDefault="004273B6" w:rsidP="00F53623">
      <w:pPr>
        <w:pStyle w:val="NormalNumberedTextTLRI"/>
        <w:rPr>
          <w:rFonts w:asciiTheme="majorBidi" w:hAnsiTheme="majorBidi" w:cstheme="majorBidi"/>
          <w:lang w:val="en-AU"/>
        </w:rPr>
      </w:pPr>
      <w:r w:rsidRPr="004C5271">
        <w:rPr>
          <w:rFonts w:asciiTheme="majorBidi" w:hAnsiTheme="majorBidi" w:cstheme="majorBidi"/>
          <w:lang w:val="en-AU"/>
        </w:rPr>
        <w:t>T</w:t>
      </w:r>
      <w:r w:rsidR="00FC7F1D" w:rsidRPr="004C5271">
        <w:rPr>
          <w:rFonts w:asciiTheme="majorBidi" w:hAnsiTheme="majorBidi" w:cstheme="majorBidi"/>
          <w:lang w:val="en-AU"/>
        </w:rPr>
        <w:t xml:space="preserve">he assessment of </w:t>
      </w:r>
      <w:r w:rsidR="00EA33B9" w:rsidRPr="004C5271">
        <w:rPr>
          <w:rFonts w:asciiTheme="majorBidi" w:hAnsiTheme="majorBidi" w:cstheme="majorBidi"/>
          <w:lang w:val="en-AU"/>
        </w:rPr>
        <w:t>‘</w:t>
      </w:r>
      <w:r w:rsidR="00FC7F1D" w:rsidRPr="004C5271">
        <w:rPr>
          <w:rFonts w:asciiTheme="majorBidi" w:hAnsiTheme="majorBidi" w:cstheme="majorBidi"/>
          <w:lang w:val="en-AU"/>
        </w:rPr>
        <w:t>reasonable expectations</w:t>
      </w:r>
      <w:r w:rsidR="00EA33B9" w:rsidRPr="004C5271">
        <w:rPr>
          <w:rFonts w:asciiTheme="majorBidi" w:hAnsiTheme="majorBidi" w:cstheme="majorBidi"/>
          <w:lang w:val="en-AU"/>
        </w:rPr>
        <w:t>’</w:t>
      </w:r>
      <w:r w:rsidR="00FC7F1D" w:rsidRPr="004C5271">
        <w:rPr>
          <w:rFonts w:asciiTheme="majorBidi" w:hAnsiTheme="majorBidi" w:cstheme="majorBidi"/>
          <w:lang w:val="en-AU"/>
        </w:rPr>
        <w:t xml:space="preserve"> </w:t>
      </w:r>
      <w:r w:rsidRPr="004C5271">
        <w:rPr>
          <w:rFonts w:asciiTheme="majorBidi" w:hAnsiTheme="majorBidi" w:cstheme="majorBidi"/>
          <w:lang w:val="en-AU"/>
        </w:rPr>
        <w:t xml:space="preserve">has been explained </w:t>
      </w:r>
      <w:r w:rsidR="00FC7F1D" w:rsidRPr="004C5271">
        <w:rPr>
          <w:rFonts w:asciiTheme="majorBidi" w:hAnsiTheme="majorBidi" w:cstheme="majorBidi"/>
          <w:lang w:val="en-AU"/>
        </w:rPr>
        <w:t>as follows:</w:t>
      </w:r>
    </w:p>
    <w:p w14:paraId="62B4F7FE" w14:textId="7B7570FA" w:rsidR="00EA33B9" w:rsidRPr="004C5271" w:rsidRDefault="00483839" w:rsidP="00483839">
      <w:pPr>
        <w:pStyle w:val="QuoteTLRI"/>
        <w:spacing w:after="120"/>
        <w:ind w:left="992" w:right="1089"/>
        <w:rPr>
          <w:rFonts w:asciiTheme="majorBidi" w:hAnsiTheme="majorBidi" w:cstheme="majorBidi"/>
        </w:rPr>
      </w:pPr>
      <w:r w:rsidRPr="004C5271">
        <w:rPr>
          <w:rFonts w:asciiTheme="majorBidi" w:hAnsiTheme="majorBidi" w:cstheme="majorBidi"/>
        </w:rPr>
        <w:t>‘</w:t>
      </w:r>
      <w:r w:rsidR="00FC7F1D" w:rsidRPr="004C5271">
        <w:rPr>
          <w:rFonts w:asciiTheme="majorBidi" w:hAnsiTheme="majorBidi" w:cstheme="majorBidi"/>
        </w:rPr>
        <w:t xml:space="preserve">What amounts to </w:t>
      </w:r>
      <w:r w:rsidRPr="004C5271">
        <w:rPr>
          <w:rFonts w:asciiTheme="majorBidi" w:hAnsiTheme="majorBidi" w:cstheme="majorBidi"/>
        </w:rPr>
        <w:t>“</w:t>
      </w:r>
      <w:r w:rsidR="00FC7F1D" w:rsidRPr="004C5271">
        <w:rPr>
          <w:rFonts w:asciiTheme="majorBidi" w:hAnsiTheme="majorBidi" w:cstheme="majorBidi"/>
        </w:rPr>
        <w:t>reasonable expectations in relation to property</w:t>
      </w:r>
      <w:r w:rsidRPr="004C5271">
        <w:rPr>
          <w:rFonts w:asciiTheme="majorBidi" w:hAnsiTheme="majorBidi" w:cstheme="majorBidi"/>
        </w:rPr>
        <w:t>”</w:t>
      </w:r>
      <w:r w:rsidR="00FC7F1D" w:rsidRPr="004C5271">
        <w:rPr>
          <w:rFonts w:asciiTheme="majorBidi" w:hAnsiTheme="majorBidi" w:cstheme="majorBidi"/>
        </w:rPr>
        <w:t xml:space="preserve"> was considered in </w:t>
      </w:r>
      <w:r w:rsidR="00FC7F1D" w:rsidRPr="004C5271">
        <w:rPr>
          <w:rFonts w:asciiTheme="majorBidi" w:hAnsiTheme="majorBidi" w:cstheme="majorBidi"/>
          <w:i/>
          <w:iCs/>
        </w:rPr>
        <w:t>Petschelt v Petschelt</w:t>
      </w:r>
      <w:r w:rsidR="00FC7F1D" w:rsidRPr="004C5271">
        <w:rPr>
          <w:rFonts w:asciiTheme="majorBidi" w:hAnsiTheme="majorBidi" w:cstheme="majorBidi"/>
        </w:rPr>
        <w:t xml:space="preserve"> </w:t>
      </w:r>
      <w:r w:rsidR="00FC7F1D" w:rsidRPr="004C5271">
        <w:rPr>
          <w:rFonts w:asciiTheme="majorBidi" w:hAnsiTheme="majorBidi" w:cstheme="majorBidi"/>
          <w:sz w:val="20"/>
        </w:rPr>
        <w:t>[2002] NSWSC 706</w:t>
      </w:r>
      <w:r w:rsidR="00FC7F1D" w:rsidRPr="004C5271">
        <w:rPr>
          <w:rFonts w:asciiTheme="majorBidi" w:hAnsiTheme="majorBidi" w:cstheme="majorBidi"/>
        </w:rPr>
        <w:t>, at [68], by McLaughlin M (as the Associate Justice then was), who said:</w:t>
      </w:r>
      <w:r w:rsidR="00EA33B9" w:rsidRPr="004C5271">
        <w:rPr>
          <w:rFonts w:asciiTheme="majorBidi" w:hAnsiTheme="majorBidi" w:cstheme="majorBidi"/>
        </w:rPr>
        <w:t xml:space="preserve"> </w:t>
      </w:r>
    </w:p>
    <w:p w14:paraId="609AB3CD" w14:textId="77777777" w:rsidR="00483839" w:rsidRPr="004C5271" w:rsidRDefault="00FC7F1D" w:rsidP="00483839">
      <w:pPr>
        <w:pStyle w:val="QuoteTLRI"/>
        <w:spacing w:after="120"/>
        <w:ind w:left="992" w:right="1089"/>
        <w:rPr>
          <w:rFonts w:asciiTheme="majorBidi" w:hAnsiTheme="majorBidi" w:cstheme="majorBidi"/>
        </w:rPr>
      </w:pPr>
      <w:r w:rsidRPr="004C5271">
        <w:rPr>
          <w:rFonts w:asciiTheme="majorBidi" w:hAnsiTheme="majorBidi" w:cstheme="majorBidi"/>
        </w:rPr>
        <w:t xml:space="preserve">That phrase does not, however, indicate the person by whom those reasonable expectations are held. Clearly the Court must consider the reasonable expectations of the First Defendant in relation to property. By the same token, however, the Court should also consider the reasonable expectations of the Deceased herself in relation to property, </w:t>
      </w:r>
      <w:proofErr w:type="gramStart"/>
      <w:r w:rsidRPr="004C5271">
        <w:rPr>
          <w:rFonts w:asciiTheme="majorBidi" w:hAnsiTheme="majorBidi" w:cstheme="majorBidi"/>
        </w:rPr>
        <w:t>and also</w:t>
      </w:r>
      <w:proofErr w:type="gramEnd"/>
      <w:r w:rsidRPr="004C5271">
        <w:rPr>
          <w:rFonts w:asciiTheme="majorBidi" w:hAnsiTheme="majorBidi" w:cstheme="majorBidi"/>
        </w:rPr>
        <w:t>, possibly, the reasonable expectations of the Plaintiff.</w:t>
      </w:r>
      <w:r w:rsidR="00483839" w:rsidRPr="004C5271">
        <w:rPr>
          <w:rFonts w:asciiTheme="majorBidi" w:hAnsiTheme="majorBidi" w:cstheme="majorBidi"/>
        </w:rPr>
        <w:t xml:space="preserve"> </w:t>
      </w:r>
    </w:p>
    <w:p w14:paraId="53F004B6" w14:textId="77777777" w:rsidR="00483839" w:rsidRPr="004C5271" w:rsidRDefault="00FC7F1D" w:rsidP="00483839">
      <w:pPr>
        <w:pStyle w:val="QuoteTLRI"/>
        <w:spacing w:after="120"/>
        <w:ind w:left="992" w:right="1089"/>
        <w:rPr>
          <w:rFonts w:asciiTheme="majorBidi" w:hAnsiTheme="majorBidi" w:cstheme="majorBidi"/>
        </w:rPr>
      </w:pPr>
      <w:r w:rsidRPr="004C5271">
        <w:rPr>
          <w:rFonts w:asciiTheme="majorBidi" w:hAnsiTheme="majorBidi" w:cstheme="majorBidi"/>
        </w:rPr>
        <w:t xml:space="preserve">In </w:t>
      </w:r>
      <w:r w:rsidRPr="004C5271">
        <w:rPr>
          <w:rFonts w:asciiTheme="majorBidi" w:hAnsiTheme="majorBidi" w:cstheme="majorBidi"/>
          <w:i/>
          <w:iCs/>
        </w:rPr>
        <w:t xml:space="preserve">D’Albora v D’Albora </w:t>
      </w:r>
      <w:r w:rsidRPr="004C5271">
        <w:rPr>
          <w:rFonts w:asciiTheme="majorBidi" w:hAnsiTheme="majorBidi" w:cstheme="majorBidi"/>
          <w:sz w:val="20"/>
        </w:rPr>
        <w:t>[1999] NSWSC 468</w:t>
      </w:r>
      <w:r w:rsidRPr="004C5271">
        <w:rPr>
          <w:rFonts w:asciiTheme="majorBidi" w:hAnsiTheme="majorBidi" w:cstheme="majorBidi"/>
        </w:rPr>
        <w:t>, at [53], Macready M (as the Associate Justice then was) gave examples of the circumstances which might give rise to reasonable expectations for the purposes of this section:</w:t>
      </w:r>
      <w:r w:rsidR="00483839" w:rsidRPr="004C5271">
        <w:rPr>
          <w:rFonts w:asciiTheme="majorBidi" w:hAnsiTheme="majorBidi" w:cstheme="majorBidi"/>
        </w:rPr>
        <w:t xml:space="preserve"> </w:t>
      </w:r>
    </w:p>
    <w:p w14:paraId="1FE3EA11" w14:textId="77777777" w:rsidR="00483839" w:rsidRPr="004C5271" w:rsidRDefault="00FC7F1D" w:rsidP="00483839">
      <w:pPr>
        <w:pStyle w:val="QuoteTLRI"/>
        <w:spacing w:after="120"/>
        <w:ind w:left="992" w:right="1089"/>
        <w:rPr>
          <w:rFonts w:asciiTheme="majorBidi" w:hAnsiTheme="majorBidi" w:cstheme="majorBidi"/>
        </w:rPr>
      </w:pPr>
      <w:r w:rsidRPr="004C5271">
        <w:rPr>
          <w:rFonts w:asciiTheme="majorBidi" w:hAnsiTheme="majorBidi" w:cstheme="majorBidi"/>
        </w:rPr>
        <w:t xml:space="preserve">Under </w:t>
      </w:r>
      <w:r w:rsidRPr="004C5271">
        <w:rPr>
          <w:rFonts w:asciiTheme="majorBidi" w:hAnsiTheme="majorBidi" w:cstheme="majorBidi"/>
          <w:sz w:val="20"/>
        </w:rPr>
        <w:t>s 27(1)(a)</w:t>
      </w:r>
      <w:r w:rsidRPr="004C5271">
        <w:rPr>
          <w:rFonts w:asciiTheme="majorBidi" w:hAnsiTheme="majorBidi" w:cstheme="majorBidi"/>
        </w:rPr>
        <w:t xml:space="preserve"> the Court </w:t>
      </w:r>
      <w:proofErr w:type="gramStart"/>
      <w:r w:rsidRPr="004C5271">
        <w:rPr>
          <w:rFonts w:asciiTheme="majorBidi" w:hAnsiTheme="majorBidi" w:cstheme="majorBidi"/>
        </w:rPr>
        <w:t>has to</w:t>
      </w:r>
      <w:proofErr w:type="gramEnd"/>
      <w:r w:rsidRPr="004C5271">
        <w:rPr>
          <w:rFonts w:asciiTheme="majorBidi" w:hAnsiTheme="majorBidi" w:cstheme="majorBidi"/>
        </w:rPr>
        <w:t xml:space="preserve"> consider the importance of not interfering with the reasonable expectations in relation to the property. Such reasonable expectations may well </w:t>
      </w:r>
      <w:r w:rsidRPr="004C5271">
        <w:rPr>
          <w:rFonts w:asciiTheme="majorBidi" w:hAnsiTheme="majorBidi" w:cstheme="majorBidi"/>
        </w:rPr>
        <w:lastRenderedPageBreak/>
        <w:t xml:space="preserve">occur in </w:t>
      </w:r>
      <w:proofErr w:type="gramStart"/>
      <w:r w:rsidRPr="004C5271">
        <w:rPr>
          <w:rFonts w:asciiTheme="majorBidi" w:hAnsiTheme="majorBidi" w:cstheme="majorBidi"/>
        </w:rPr>
        <w:t>a number of</w:t>
      </w:r>
      <w:proofErr w:type="gramEnd"/>
      <w:r w:rsidRPr="004C5271">
        <w:rPr>
          <w:rFonts w:asciiTheme="majorBidi" w:hAnsiTheme="majorBidi" w:cstheme="majorBidi"/>
        </w:rPr>
        <w:t xml:space="preserve"> circumstances. For example, a beneficiary who receives a property may have spent money on the property or worked on the property ... Another common area where one often sees in this matter is where there is a promise in relation to the property and the acting by an intended beneficiary on the fact of that promise.</w:t>
      </w:r>
      <w:r w:rsidR="00483839" w:rsidRPr="004C5271">
        <w:rPr>
          <w:rFonts w:asciiTheme="majorBidi" w:hAnsiTheme="majorBidi" w:cstheme="majorBidi"/>
        </w:rPr>
        <w:t xml:space="preserve"> </w:t>
      </w:r>
    </w:p>
    <w:p w14:paraId="767C0DC0" w14:textId="223357DC" w:rsidR="00483839" w:rsidRPr="004C5271" w:rsidRDefault="00FC7F1D" w:rsidP="00F740AA">
      <w:pPr>
        <w:pStyle w:val="QuoteTLRI"/>
        <w:ind w:left="993" w:right="1088"/>
        <w:rPr>
          <w:rFonts w:asciiTheme="majorBidi" w:hAnsiTheme="majorBidi" w:cstheme="majorBidi"/>
        </w:rPr>
      </w:pPr>
      <w:r w:rsidRPr="004C5271">
        <w:rPr>
          <w:rFonts w:asciiTheme="majorBidi" w:hAnsiTheme="majorBidi" w:cstheme="majorBidi"/>
        </w:rPr>
        <w:t xml:space="preserve">Similarly, in </w:t>
      </w:r>
      <w:r w:rsidRPr="004C5271">
        <w:rPr>
          <w:rFonts w:asciiTheme="majorBidi" w:hAnsiTheme="majorBidi" w:cstheme="majorBidi"/>
          <w:i/>
          <w:iCs/>
        </w:rPr>
        <w:t xml:space="preserve">Wentworth v Wentworth </w:t>
      </w:r>
      <w:r w:rsidRPr="004C5271">
        <w:rPr>
          <w:rFonts w:asciiTheme="majorBidi" w:hAnsiTheme="majorBidi" w:cstheme="majorBidi"/>
          <w:sz w:val="20"/>
        </w:rPr>
        <w:t>[1992] NSWCA 268</w:t>
      </w:r>
      <w:r w:rsidRPr="004C5271">
        <w:rPr>
          <w:rFonts w:asciiTheme="majorBidi" w:hAnsiTheme="majorBidi" w:cstheme="majorBidi"/>
        </w:rPr>
        <w:t xml:space="preserve">, Priestley JA, with whom Samuels AP and Handley JA agreed, referring to the “more general precautionary provisions” in </w:t>
      </w:r>
      <w:hyperlink r:id="rId41" w:history="1">
        <w:r w:rsidRPr="004C5271">
          <w:rPr>
            <w:rStyle w:val="Hyperlink"/>
            <w:rFonts w:asciiTheme="majorBidi" w:hAnsiTheme="majorBidi" w:cstheme="majorBidi"/>
            <w:color w:val="auto"/>
            <w:sz w:val="20"/>
            <w:u w:val="none"/>
          </w:rPr>
          <w:t>ss 26</w:t>
        </w:r>
      </w:hyperlink>
      <w:r w:rsidRPr="004C5271">
        <w:rPr>
          <w:rFonts w:asciiTheme="majorBidi" w:hAnsiTheme="majorBidi" w:cstheme="majorBidi"/>
        </w:rPr>
        <w:t xml:space="preserve"> and </w:t>
      </w:r>
      <w:hyperlink r:id="rId42" w:history="1">
        <w:r w:rsidRPr="004C5271">
          <w:rPr>
            <w:rStyle w:val="Hyperlink"/>
            <w:rFonts w:asciiTheme="majorBidi" w:hAnsiTheme="majorBidi" w:cstheme="majorBidi"/>
            <w:color w:val="auto"/>
            <w:sz w:val="20"/>
            <w:u w:val="none"/>
          </w:rPr>
          <w:t>27</w:t>
        </w:r>
      </w:hyperlink>
      <w:r w:rsidRPr="004C5271">
        <w:rPr>
          <w:rFonts w:asciiTheme="majorBidi" w:hAnsiTheme="majorBidi" w:cstheme="majorBidi"/>
        </w:rPr>
        <w:t xml:space="preserve"> of the </w:t>
      </w:r>
      <w:r w:rsidRPr="004C5271">
        <w:rPr>
          <w:rFonts w:asciiTheme="majorBidi" w:hAnsiTheme="majorBidi" w:cstheme="majorBidi"/>
          <w:iCs/>
          <w:sz w:val="20"/>
        </w:rPr>
        <w:t>Family Provision Act</w:t>
      </w:r>
      <w:r w:rsidRPr="004C5271">
        <w:rPr>
          <w:rFonts w:asciiTheme="majorBidi" w:hAnsiTheme="majorBidi" w:cstheme="majorBidi"/>
        </w:rPr>
        <w:t>, said:</w:t>
      </w:r>
    </w:p>
    <w:p w14:paraId="4F9E540C" w14:textId="26BE5336" w:rsidR="00FC7F1D" w:rsidRPr="004C5271" w:rsidRDefault="006D6A91" w:rsidP="00F740AA">
      <w:pPr>
        <w:pStyle w:val="QuoteTLRI"/>
        <w:ind w:left="993" w:right="1088"/>
        <w:rPr>
          <w:rFonts w:asciiTheme="majorBidi" w:hAnsiTheme="majorBidi" w:cstheme="majorBidi"/>
        </w:rPr>
      </w:pPr>
      <w:hyperlink r:id="rId43" w:history="1">
        <w:r w:rsidR="00FC7F1D" w:rsidRPr="004C5271">
          <w:rPr>
            <w:rStyle w:val="Hyperlink"/>
            <w:rFonts w:asciiTheme="majorBidi" w:hAnsiTheme="majorBidi" w:cstheme="majorBidi"/>
            <w:color w:val="auto"/>
            <w:sz w:val="20"/>
            <w:u w:val="none"/>
          </w:rPr>
          <w:t>Section 27(1)</w:t>
        </w:r>
      </w:hyperlink>
      <w:r w:rsidR="00FC7F1D" w:rsidRPr="004C5271">
        <w:rPr>
          <w:rFonts w:asciiTheme="majorBidi" w:hAnsiTheme="majorBidi" w:cstheme="majorBidi"/>
        </w:rPr>
        <w:t xml:space="preserve"> for example, says the Court shall not make an order designating property as</w:t>
      </w:r>
      <w:r w:rsidR="00483839" w:rsidRPr="004C5271">
        <w:rPr>
          <w:rFonts w:asciiTheme="majorBidi" w:hAnsiTheme="majorBidi" w:cstheme="majorBidi"/>
          <w:b/>
          <w:bCs/>
        </w:rPr>
        <w:t xml:space="preserve"> </w:t>
      </w:r>
      <w:r w:rsidR="00FC7F1D" w:rsidRPr="004C5271">
        <w:rPr>
          <w:rFonts w:asciiTheme="majorBidi" w:hAnsiTheme="majorBidi" w:cstheme="majorBidi"/>
        </w:rPr>
        <w:t>notional estate unless it has considered, amongst other things, the importance of not interfering with reasonable expectations in relation to property. If someone is in possession of property, otherwise than by gift, after having given up something of equivalent value in order to obtain that property, it would be entirely reasonable for that person to expect to remain in possession of it.” (Emphasis omitted.)</w:t>
      </w:r>
      <w:r w:rsidR="00483839" w:rsidRPr="004C5271">
        <w:rPr>
          <w:rFonts w:asciiTheme="majorBidi" w:hAnsiTheme="majorBidi" w:cstheme="majorBidi"/>
        </w:rPr>
        <w:t>’</w:t>
      </w:r>
      <w:r w:rsidR="00FC7F1D" w:rsidRPr="004C5271">
        <w:rPr>
          <w:rStyle w:val="FootnoteReference"/>
          <w:rFonts w:asciiTheme="majorBidi" w:eastAsia="Times New Roman" w:hAnsiTheme="majorBidi" w:cstheme="majorBidi"/>
        </w:rPr>
        <w:footnoteReference w:id="240"/>
      </w:r>
    </w:p>
    <w:p w14:paraId="0911EE45" w14:textId="3FA690A2" w:rsidR="00611582" w:rsidRPr="004C5271" w:rsidRDefault="00611582" w:rsidP="00AE2B8C">
      <w:pPr>
        <w:pStyle w:val="Sub-HeadingTLRI"/>
      </w:pPr>
      <w:r w:rsidRPr="004C5271">
        <w:t xml:space="preserve">Factors considered when deciding what property </w:t>
      </w:r>
      <w:r w:rsidR="0084221F" w:rsidRPr="004C5271">
        <w:t xml:space="preserve">is </w:t>
      </w:r>
      <w:r w:rsidRPr="004C5271">
        <w:t>to be designated as notional estate</w:t>
      </w:r>
    </w:p>
    <w:p w14:paraId="3D7F47F4" w14:textId="0D898CBC" w:rsidR="00611582" w:rsidRPr="004C5271" w:rsidRDefault="00611582" w:rsidP="00F53623">
      <w:pPr>
        <w:pStyle w:val="NormalNumberedTextTLRI"/>
        <w:rPr>
          <w:rFonts w:asciiTheme="majorBidi" w:hAnsiTheme="majorBidi" w:cstheme="majorBidi"/>
          <w:lang w:val="en-AU"/>
        </w:rPr>
      </w:pPr>
      <w:r w:rsidRPr="004C5271">
        <w:rPr>
          <w:rFonts w:asciiTheme="majorBidi" w:hAnsiTheme="majorBidi" w:cstheme="majorBidi"/>
          <w:lang w:val="en-AU"/>
        </w:rPr>
        <w:t xml:space="preserve">The </w:t>
      </w:r>
      <w:r w:rsidR="00D1452E" w:rsidRPr="004C5271">
        <w:rPr>
          <w:rFonts w:asciiTheme="majorBidi" w:hAnsiTheme="majorBidi" w:cstheme="majorBidi"/>
          <w:lang w:val="en-AU"/>
        </w:rPr>
        <w:t>c</w:t>
      </w:r>
      <w:r w:rsidRPr="004C5271">
        <w:rPr>
          <w:rFonts w:asciiTheme="majorBidi" w:hAnsiTheme="majorBidi" w:cstheme="majorBidi"/>
          <w:lang w:val="en-AU"/>
        </w:rPr>
        <w:t xml:space="preserve">ourt </w:t>
      </w:r>
      <w:r w:rsidR="00D1452E" w:rsidRPr="004C5271">
        <w:rPr>
          <w:rFonts w:asciiTheme="majorBidi" w:hAnsiTheme="majorBidi" w:cstheme="majorBidi"/>
          <w:lang w:val="en-AU"/>
        </w:rPr>
        <w:t>must</w:t>
      </w:r>
      <w:r w:rsidRPr="004C5271">
        <w:rPr>
          <w:rFonts w:asciiTheme="majorBidi" w:hAnsiTheme="majorBidi" w:cstheme="majorBidi"/>
          <w:lang w:val="en-AU"/>
        </w:rPr>
        <w:t xml:space="preserve"> consider the following matters when deciding what </w:t>
      </w:r>
      <w:r w:rsidR="00F53623" w:rsidRPr="004C5271">
        <w:rPr>
          <w:rFonts w:asciiTheme="majorBidi" w:hAnsiTheme="majorBidi" w:cstheme="majorBidi"/>
          <w:lang w:val="en-AU"/>
        </w:rPr>
        <w:t>property</w:t>
      </w:r>
      <w:r w:rsidRPr="004C5271">
        <w:rPr>
          <w:rFonts w:asciiTheme="majorBidi" w:hAnsiTheme="majorBidi" w:cstheme="majorBidi"/>
          <w:lang w:val="en-AU"/>
        </w:rPr>
        <w:t xml:space="preserve"> should be designated as notional estate: </w:t>
      </w:r>
    </w:p>
    <w:p w14:paraId="563F96F1" w14:textId="4E61E33D" w:rsidR="00611582" w:rsidRPr="004C5271" w:rsidRDefault="00611582" w:rsidP="004273B6">
      <w:pPr>
        <w:pStyle w:val="DotPointTLRI"/>
        <w:numPr>
          <w:ilvl w:val="0"/>
          <w:numId w:val="50"/>
        </w:numPr>
        <w:ind w:left="709" w:hanging="425"/>
        <w:rPr>
          <w:rFonts w:asciiTheme="majorBidi" w:hAnsiTheme="majorBidi" w:cstheme="majorBidi"/>
          <w:lang w:val="en-AU" w:eastAsia="en-AU"/>
        </w:rPr>
      </w:pPr>
      <w:r w:rsidRPr="004C5271">
        <w:rPr>
          <w:rFonts w:asciiTheme="majorBidi" w:hAnsiTheme="majorBidi" w:cstheme="majorBidi"/>
          <w:lang w:val="en-AU" w:eastAsia="en-AU"/>
        </w:rPr>
        <w:t>the value and nature of any property the subject of a relevant property transaction, or subject to a subsequent transaction;</w:t>
      </w:r>
    </w:p>
    <w:p w14:paraId="3DBA97EF" w14:textId="478EDDB9" w:rsidR="00611582" w:rsidRPr="004C5271" w:rsidRDefault="00611582" w:rsidP="004273B6">
      <w:pPr>
        <w:pStyle w:val="DotPointTLRI"/>
        <w:numPr>
          <w:ilvl w:val="0"/>
          <w:numId w:val="50"/>
        </w:numPr>
        <w:ind w:left="709" w:hanging="425"/>
        <w:rPr>
          <w:rFonts w:asciiTheme="majorBidi" w:hAnsiTheme="majorBidi" w:cstheme="majorBidi"/>
          <w:lang w:val="en-AU" w:eastAsia="en-AU"/>
        </w:rPr>
      </w:pPr>
      <w:r w:rsidRPr="004C5271">
        <w:rPr>
          <w:rFonts w:asciiTheme="majorBidi" w:hAnsiTheme="majorBidi" w:cstheme="majorBidi"/>
          <w:lang w:val="en-AU" w:eastAsia="en-AU"/>
        </w:rPr>
        <w:t>any consideration given in a relevant property transaction;</w:t>
      </w:r>
    </w:p>
    <w:p w14:paraId="3A639194" w14:textId="41A4E620" w:rsidR="00611582" w:rsidRPr="004C5271" w:rsidRDefault="00611582" w:rsidP="004273B6">
      <w:pPr>
        <w:pStyle w:val="DotPointTLRI"/>
        <w:numPr>
          <w:ilvl w:val="0"/>
          <w:numId w:val="50"/>
        </w:numPr>
        <w:ind w:left="709" w:hanging="425"/>
        <w:rPr>
          <w:rFonts w:asciiTheme="majorBidi" w:hAnsiTheme="majorBidi" w:cstheme="majorBidi"/>
          <w:lang w:val="en-AU" w:eastAsia="en-AU"/>
        </w:rPr>
      </w:pPr>
      <w:r w:rsidRPr="004C5271">
        <w:rPr>
          <w:rFonts w:asciiTheme="majorBidi" w:hAnsiTheme="majorBidi" w:cstheme="majorBidi"/>
          <w:lang w:val="en-AU" w:eastAsia="en-AU"/>
        </w:rPr>
        <w:t xml:space="preserve">any changes in the value of property or the consideration since the relevant property transaction was </w:t>
      </w:r>
      <w:proofErr w:type="gramStart"/>
      <w:r w:rsidRPr="004C5271">
        <w:rPr>
          <w:rFonts w:asciiTheme="majorBidi" w:hAnsiTheme="majorBidi" w:cstheme="majorBidi"/>
          <w:lang w:val="en-AU" w:eastAsia="en-AU"/>
        </w:rPr>
        <w:t>entered into</w:t>
      </w:r>
      <w:proofErr w:type="gramEnd"/>
      <w:r w:rsidRPr="004C5271">
        <w:rPr>
          <w:rFonts w:asciiTheme="majorBidi" w:hAnsiTheme="majorBidi" w:cstheme="majorBidi"/>
          <w:lang w:val="en-AU" w:eastAsia="en-AU"/>
        </w:rPr>
        <w:t>, distribution made, or consideration given;</w:t>
      </w:r>
    </w:p>
    <w:p w14:paraId="18D4A7DF" w14:textId="2532FD62" w:rsidR="00611582" w:rsidRPr="004C5271" w:rsidRDefault="00611582" w:rsidP="004273B6">
      <w:pPr>
        <w:pStyle w:val="DotPointTLRI"/>
        <w:numPr>
          <w:ilvl w:val="0"/>
          <w:numId w:val="50"/>
        </w:numPr>
        <w:ind w:left="709" w:hanging="425"/>
        <w:rPr>
          <w:rFonts w:asciiTheme="majorBidi" w:hAnsiTheme="majorBidi" w:cstheme="majorBidi"/>
          <w:lang w:val="en-AU" w:eastAsia="en-AU"/>
        </w:rPr>
      </w:pPr>
      <w:r w:rsidRPr="004C5271">
        <w:rPr>
          <w:rFonts w:asciiTheme="majorBidi" w:hAnsiTheme="majorBidi" w:cstheme="majorBidi"/>
          <w:lang w:val="en-AU" w:eastAsia="en-AU"/>
        </w:rPr>
        <w:lastRenderedPageBreak/>
        <w:t xml:space="preserve">whether </w:t>
      </w:r>
      <w:r w:rsidR="00F1193B" w:rsidRPr="004C5271">
        <w:rPr>
          <w:rFonts w:asciiTheme="majorBidi" w:hAnsiTheme="majorBidi" w:cstheme="majorBidi"/>
          <w:lang w:val="en-AU" w:eastAsia="en-AU"/>
        </w:rPr>
        <w:t xml:space="preserve">the </w:t>
      </w:r>
      <w:r w:rsidRPr="004C5271">
        <w:rPr>
          <w:rFonts w:asciiTheme="majorBidi" w:hAnsiTheme="majorBidi" w:cstheme="majorBidi"/>
          <w:lang w:val="en-AU" w:eastAsia="en-AU"/>
        </w:rPr>
        <w:t>property or consideration could have been used to obtain income</w:t>
      </w:r>
      <w:r w:rsidR="00F1193B" w:rsidRPr="004C5271">
        <w:rPr>
          <w:rFonts w:asciiTheme="majorBidi" w:hAnsiTheme="majorBidi" w:cstheme="majorBidi"/>
          <w:lang w:val="en-AU" w:eastAsia="en-AU"/>
        </w:rPr>
        <w:t>; or</w:t>
      </w:r>
    </w:p>
    <w:p w14:paraId="3138C5F8" w14:textId="71200CF9" w:rsidR="00611582" w:rsidRPr="004C5271" w:rsidRDefault="00611582" w:rsidP="004273B6">
      <w:pPr>
        <w:pStyle w:val="DotPointTLRI"/>
        <w:numPr>
          <w:ilvl w:val="0"/>
          <w:numId w:val="50"/>
        </w:numPr>
        <w:ind w:left="709" w:hanging="425"/>
        <w:rPr>
          <w:rFonts w:asciiTheme="majorBidi" w:hAnsiTheme="majorBidi" w:cstheme="majorBidi"/>
          <w:lang w:val="en-AU" w:eastAsia="en-AU"/>
        </w:rPr>
      </w:pPr>
      <w:r w:rsidRPr="004C5271">
        <w:rPr>
          <w:rFonts w:asciiTheme="majorBidi" w:hAnsiTheme="majorBidi" w:cstheme="majorBidi"/>
          <w:lang w:val="en-AU" w:eastAsia="en-AU"/>
        </w:rPr>
        <w:t>any other matter it considers relevant in the circumstances.</w:t>
      </w:r>
      <w:r w:rsidR="00D1452E" w:rsidRPr="004C5271">
        <w:rPr>
          <w:rStyle w:val="FootnoteReference"/>
          <w:rFonts w:asciiTheme="majorBidi" w:hAnsiTheme="majorBidi" w:cstheme="majorBidi"/>
          <w:lang w:val="en-AU"/>
        </w:rPr>
        <w:footnoteReference w:id="241"/>
      </w:r>
    </w:p>
    <w:p w14:paraId="6A0F7828" w14:textId="6E553E9B" w:rsidR="00611582" w:rsidRPr="004C5271" w:rsidRDefault="00611582" w:rsidP="00F53623">
      <w:pPr>
        <w:pStyle w:val="NormalNumberedTextTLRI"/>
        <w:rPr>
          <w:rFonts w:asciiTheme="majorBidi" w:hAnsiTheme="majorBidi" w:cstheme="majorBidi"/>
          <w:lang w:val="en-AU" w:eastAsia="en-AU"/>
        </w:rPr>
      </w:pPr>
      <w:r w:rsidRPr="004C5271">
        <w:rPr>
          <w:rFonts w:asciiTheme="majorBidi" w:hAnsiTheme="majorBidi" w:cstheme="majorBidi"/>
          <w:lang w:val="en-AU" w:eastAsia="en-AU"/>
        </w:rPr>
        <w:t xml:space="preserve">The </w:t>
      </w:r>
      <w:r w:rsidR="0084221F" w:rsidRPr="004C5271">
        <w:rPr>
          <w:rFonts w:asciiTheme="majorBidi" w:hAnsiTheme="majorBidi" w:cstheme="majorBidi"/>
          <w:lang w:val="en-AU" w:eastAsia="en-AU"/>
        </w:rPr>
        <w:t>c</w:t>
      </w:r>
      <w:r w:rsidRPr="004C5271">
        <w:rPr>
          <w:rFonts w:asciiTheme="majorBidi" w:hAnsiTheme="majorBidi" w:cstheme="majorBidi"/>
          <w:lang w:val="en-AU" w:eastAsia="en-AU"/>
        </w:rPr>
        <w:t xml:space="preserve">ourt </w:t>
      </w:r>
      <w:r w:rsidR="00F1193B" w:rsidRPr="004C5271">
        <w:rPr>
          <w:rFonts w:asciiTheme="majorBidi" w:hAnsiTheme="majorBidi" w:cstheme="majorBidi"/>
          <w:lang w:val="en-AU" w:eastAsia="en-AU"/>
        </w:rPr>
        <w:t>may only</w:t>
      </w:r>
      <w:r w:rsidRPr="004C5271">
        <w:rPr>
          <w:rFonts w:asciiTheme="majorBidi" w:hAnsiTheme="majorBidi" w:cstheme="majorBidi"/>
          <w:lang w:val="en-AU" w:eastAsia="en-AU"/>
        </w:rPr>
        <w:t xml:space="preserve"> designate </w:t>
      </w:r>
      <w:r w:rsidR="00F1193B" w:rsidRPr="004C5271">
        <w:rPr>
          <w:rFonts w:asciiTheme="majorBidi" w:hAnsiTheme="majorBidi" w:cstheme="majorBidi"/>
          <w:lang w:val="en-AU" w:eastAsia="en-AU"/>
        </w:rPr>
        <w:t xml:space="preserve">property as </w:t>
      </w:r>
      <w:r w:rsidRPr="004C5271">
        <w:rPr>
          <w:rFonts w:asciiTheme="majorBidi" w:hAnsiTheme="majorBidi" w:cstheme="majorBidi"/>
          <w:lang w:val="en-AU" w:eastAsia="en-AU"/>
        </w:rPr>
        <w:t xml:space="preserve">notional estate </w:t>
      </w:r>
      <w:r w:rsidR="00F1193B" w:rsidRPr="004C5271">
        <w:rPr>
          <w:rFonts w:asciiTheme="majorBidi" w:hAnsiTheme="majorBidi" w:cstheme="majorBidi"/>
          <w:lang w:val="en-AU" w:eastAsia="en-AU"/>
        </w:rPr>
        <w:t>to the extent it considers</w:t>
      </w:r>
      <w:r w:rsidRPr="004C5271">
        <w:rPr>
          <w:rFonts w:asciiTheme="majorBidi" w:hAnsiTheme="majorBidi" w:cstheme="majorBidi"/>
          <w:lang w:val="en-AU" w:eastAsia="en-AU"/>
        </w:rPr>
        <w:t xml:space="preserve"> necessary to </w:t>
      </w:r>
      <w:r w:rsidR="00F1193B" w:rsidRPr="004C5271">
        <w:rPr>
          <w:rFonts w:asciiTheme="majorBidi" w:hAnsiTheme="majorBidi" w:cstheme="majorBidi"/>
          <w:lang w:val="en-AU" w:eastAsia="en-AU"/>
        </w:rPr>
        <w:t>make</w:t>
      </w:r>
      <w:r w:rsidRPr="004C5271">
        <w:rPr>
          <w:rFonts w:asciiTheme="majorBidi" w:hAnsiTheme="majorBidi" w:cstheme="majorBidi"/>
          <w:lang w:val="en-AU" w:eastAsia="en-AU"/>
        </w:rPr>
        <w:t xml:space="preserve"> the provision that </w:t>
      </w:r>
      <w:r w:rsidR="00F1193B" w:rsidRPr="004C5271">
        <w:rPr>
          <w:rFonts w:asciiTheme="majorBidi" w:hAnsiTheme="majorBidi" w:cstheme="majorBidi"/>
          <w:lang w:val="en-AU" w:eastAsia="en-AU"/>
        </w:rPr>
        <w:t xml:space="preserve">it determines </w:t>
      </w:r>
      <w:r w:rsidRPr="004C5271">
        <w:rPr>
          <w:rFonts w:asciiTheme="majorBidi" w:hAnsiTheme="majorBidi" w:cstheme="majorBidi"/>
          <w:lang w:val="en-AU" w:eastAsia="en-AU"/>
        </w:rPr>
        <w:t>should be made</w:t>
      </w:r>
      <w:r w:rsidR="00F1193B" w:rsidRPr="004C5271">
        <w:rPr>
          <w:rFonts w:asciiTheme="majorBidi" w:hAnsiTheme="majorBidi" w:cstheme="majorBidi"/>
          <w:lang w:val="en-AU" w:eastAsia="en-AU"/>
        </w:rPr>
        <w:t xml:space="preserve"> (or for costs to be paid)</w:t>
      </w:r>
      <w:r w:rsidRPr="004C5271">
        <w:rPr>
          <w:rFonts w:asciiTheme="majorBidi" w:hAnsiTheme="majorBidi" w:cstheme="majorBidi"/>
          <w:lang w:val="en-AU" w:eastAsia="en-AU"/>
        </w:rPr>
        <w:t>.</w:t>
      </w:r>
      <w:r w:rsidR="00F1193B" w:rsidRPr="004C5271">
        <w:rPr>
          <w:rStyle w:val="FootnoteReference"/>
          <w:rFonts w:asciiTheme="majorBidi" w:hAnsiTheme="majorBidi" w:cstheme="majorBidi"/>
          <w:lang w:val="en-AU"/>
        </w:rPr>
        <w:footnoteReference w:id="242"/>
      </w:r>
    </w:p>
    <w:p w14:paraId="483A7691" w14:textId="11F52880" w:rsidR="00D1452E" w:rsidRPr="004C5271" w:rsidRDefault="00D1452E" w:rsidP="0076572E">
      <w:pPr>
        <w:pStyle w:val="NormalNumberedTextTLRI"/>
        <w:rPr>
          <w:rFonts w:asciiTheme="majorBidi" w:hAnsiTheme="majorBidi" w:cstheme="majorBidi"/>
          <w:lang w:val="en-AU" w:eastAsia="en-AU"/>
        </w:rPr>
      </w:pPr>
      <w:r w:rsidRPr="004C5271">
        <w:rPr>
          <w:rFonts w:asciiTheme="majorBidi" w:hAnsiTheme="majorBidi" w:cstheme="majorBidi"/>
          <w:lang w:val="en-AU" w:eastAsia="en-AU"/>
        </w:rPr>
        <w:t xml:space="preserve">The </w:t>
      </w:r>
      <w:r w:rsidR="009541F0" w:rsidRPr="004C5271">
        <w:rPr>
          <w:rFonts w:asciiTheme="majorBidi" w:hAnsiTheme="majorBidi" w:cstheme="majorBidi"/>
          <w:lang w:val="en-AU" w:eastAsia="en-AU"/>
        </w:rPr>
        <w:t xml:space="preserve">NSW </w:t>
      </w:r>
      <w:r w:rsidR="00EE29FF" w:rsidRPr="004C5271">
        <w:rPr>
          <w:rFonts w:asciiTheme="majorBidi" w:hAnsiTheme="majorBidi" w:cstheme="majorBidi"/>
          <w:i/>
          <w:lang w:val="en-AU" w:eastAsia="en-AU"/>
        </w:rPr>
        <w:t xml:space="preserve">Succession </w:t>
      </w:r>
      <w:r w:rsidRPr="004C5271">
        <w:rPr>
          <w:rFonts w:asciiTheme="majorBidi" w:hAnsiTheme="majorBidi" w:cstheme="majorBidi"/>
          <w:i/>
          <w:lang w:val="en-AU" w:eastAsia="en-AU"/>
        </w:rPr>
        <w:t>Act</w:t>
      </w:r>
      <w:r w:rsidRPr="004C5271">
        <w:rPr>
          <w:rFonts w:asciiTheme="majorBidi" w:hAnsiTheme="majorBidi" w:cstheme="majorBidi"/>
          <w:lang w:val="en-AU" w:eastAsia="en-AU"/>
        </w:rPr>
        <w:t xml:space="preserve"> also clarifies that, where property becomes held by a person as a trustee, the court may not designate any property held by that person as notional estate apart from the property held by them as a trustee </w:t>
      </w:r>
      <w:proofErr w:type="gramStart"/>
      <w:r w:rsidRPr="004C5271">
        <w:rPr>
          <w:rFonts w:asciiTheme="majorBidi" w:hAnsiTheme="majorBidi" w:cstheme="majorBidi"/>
          <w:lang w:val="en-AU" w:eastAsia="en-AU"/>
        </w:rPr>
        <w:t xml:space="preserve">as a </w:t>
      </w:r>
      <w:r w:rsidR="0076572E" w:rsidRPr="004C5271">
        <w:rPr>
          <w:rFonts w:asciiTheme="majorBidi" w:hAnsiTheme="majorBidi" w:cstheme="majorBidi"/>
          <w:lang w:val="en-AU" w:eastAsia="en-AU"/>
        </w:rPr>
        <w:t>consequence</w:t>
      </w:r>
      <w:r w:rsidRPr="004C5271">
        <w:rPr>
          <w:rFonts w:asciiTheme="majorBidi" w:hAnsiTheme="majorBidi" w:cstheme="majorBidi"/>
          <w:lang w:val="en-AU" w:eastAsia="en-AU"/>
        </w:rPr>
        <w:t xml:space="preserve"> of</w:t>
      </w:r>
      <w:proofErr w:type="gramEnd"/>
      <w:r w:rsidRPr="004C5271">
        <w:rPr>
          <w:rFonts w:asciiTheme="majorBidi" w:hAnsiTheme="majorBidi" w:cstheme="majorBidi"/>
          <w:lang w:val="en-AU" w:eastAsia="en-AU"/>
        </w:rPr>
        <w:t xml:space="preserve"> a relevant property transaction.</w:t>
      </w:r>
      <w:r w:rsidRPr="004C5271">
        <w:rPr>
          <w:rStyle w:val="FootnoteReference"/>
          <w:rFonts w:asciiTheme="majorBidi" w:eastAsiaTheme="minorHAnsi" w:hAnsiTheme="majorBidi" w:cstheme="majorBidi"/>
          <w:szCs w:val="24"/>
          <w:lang w:val="en-AU"/>
        </w:rPr>
        <w:footnoteReference w:id="243"/>
      </w:r>
    </w:p>
    <w:p w14:paraId="30696EA3" w14:textId="67EA62C7" w:rsidR="00790BE9" w:rsidRPr="004C5271" w:rsidRDefault="00790BE9" w:rsidP="003A07D1">
      <w:pPr>
        <w:pStyle w:val="NormalNumberedTextTLRI"/>
        <w:rPr>
          <w:rFonts w:asciiTheme="majorBidi" w:hAnsiTheme="majorBidi" w:cstheme="majorBidi"/>
          <w:lang w:val="en-AU" w:eastAsia="en-AU"/>
        </w:rPr>
      </w:pPr>
      <w:r w:rsidRPr="004C5271">
        <w:rPr>
          <w:rFonts w:asciiTheme="majorBidi" w:hAnsiTheme="majorBidi" w:cstheme="majorBidi"/>
          <w:lang w:val="en-AU" w:eastAsia="en-AU"/>
        </w:rPr>
        <w:t xml:space="preserve">It is possible to apply to the court to vary </w:t>
      </w:r>
      <w:r w:rsidR="00E00348" w:rsidRPr="004C5271">
        <w:rPr>
          <w:rFonts w:asciiTheme="majorBidi" w:hAnsiTheme="majorBidi" w:cstheme="majorBidi"/>
          <w:lang w:val="en-AU" w:eastAsia="en-AU"/>
        </w:rPr>
        <w:t>a notional</w:t>
      </w:r>
      <w:r w:rsidRPr="004C5271">
        <w:rPr>
          <w:rFonts w:asciiTheme="majorBidi" w:hAnsiTheme="majorBidi" w:cstheme="majorBidi"/>
          <w:lang w:val="en-AU" w:eastAsia="en-AU"/>
        </w:rPr>
        <w:t xml:space="preserve"> </w:t>
      </w:r>
      <w:r w:rsidR="009541F0" w:rsidRPr="004C5271">
        <w:rPr>
          <w:rFonts w:asciiTheme="majorBidi" w:hAnsiTheme="majorBidi" w:cstheme="majorBidi"/>
          <w:lang w:val="en-AU" w:eastAsia="en-AU"/>
        </w:rPr>
        <w:t xml:space="preserve">estate </w:t>
      </w:r>
      <w:r w:rsidRPr="004C5271">
        <w:rPr>
          <w:rFonts w:asciiTheme="majorBidi" w:hAnsiTheme="majorBidi" w:cstheme="majorBidi"/>
          <w:lang w:val="en-AU" w:eastAsia="en-AU"/>
        </w:rPr>
        <w:t>order</w:t>
      </w:r>
      <w:r w:rsidR="00E00348" w:rsidRPr="004C5271">
        <w:rPr>
          <w:rFonts w:asciiTheme="majorBidi" w:hAnsiTheme="majorBidi" w:cstheme="majorBidi"/>
          <w:lang w:val="en-AU" w:eastAsia="en-AU"/>
        </w:rPr>
        <w:t xml:space="preserve"> to change the property affected</w:t>
      </w:r>
      <w:r w:rsidRPr="004C5271">
        <w:rPr>
          <w:rFonts w:asciiTheme="majorBidi" w:hAnsiTheme="majorBidi" w:cstheme="majorBidi"/>
          <w:lang w:val="en-AU" w:eastAsia="en-AU"/>
        </w:rPr>
        <w:t>.</w:t>
      </w:r>
      <w:r w:rsidRPr="004C5271">
        <w:rPr>
          <w:rStyle w:val="FootnoteReference"/>
          <w:rFonts w:asciiTheme="majorBidi" w:eastAsiaTheme="minorHAnsi" w:hAnsiTheme="majorBidi" w:cstheme="majorBidi"/>
          <w:szCs w:val="24"/>
          <w:lang w:val="en-AU"/>
        </w:rPr>
        <w:footnoteReference w:id="244"/>
      </w:r>
      <w:r w:rsidRPr="004C5271">
        <w:rPr>
          <w:rFonts w:asciiTheme="majorBidi" w:hAnsiTheme="majorBidi" w:cstheme="majorBidi"/>
          <w:lang w:val="en-AU" w:eastAsia="en-AU"/>
        </w:rPr>
        <w:t xml:space="preserve"> This enables property affected </w:t>
      </w:r>
      <w:r w:rsidR="00E00348" w:rsidRPr="004C5271">
        <w:rPr>
          <w:rFonts w:asciiTheme="majorBidi" w:hAnsiTheme="majorBidi" w:cstheme="majorBidi"/>
          <w:lang w:val="en-AU" w:eastAsia="en-AU"/>
        </w:rPr>
        <w:t xml:space="preserve">to be substituted for </w:t>
      </w:r>
      <w:r w:rsidR="003A07D1" w:rsidRPr="004C5271">
        <w:rPr>
          <w:rFonts w:asciiTheme="majorBidi" w:hAnsiTheme="majorBidi" w:cstheme="majorBidi"/>
          <w:lang w:val="en-AU" w:eastAsia="en-AU"/>
        </w:rPr>
        <w:t xml:space="preserve">alternative </w:t>
      </w:r>
      <w:r w:rsidR="00E00348" w:rsidRPr="004C5271">
        <w:rPr>
          <w:rFonts w:asciiTheme="majorBidi" w:hAnsiTheme="majorBidi" w:cstheme="majorBidi"/>
          <w:lang w:val="en-AU" w:eastAsia="en-AU"/>
        </w:rPr>
        <w:t>property</w:t>
      </w:r>
      <w:r w:rsidRPr="004C5271">
        <w:rPr>
          <w:rFonts w:asciiTheme="majorBidi" w:hAnsiTheme="majorBidi" w:cstheme="majorBidi"/>
          <w:lang w:val="en-AU" w:eastAsia="en-AU"/>
        </w:rPr>
        <w:t>.</w:t>
      </w:r>
    </w:p>
    <w:p w14:paraId="0A001FDF" w14:textId="63F4F473" w:rsidR="00852F10" w:rsidRPr="004C5271" w:rsidRDefault="00D1452E" w:rsidP="009E1D64">
      <w:pPr>
        <w:pStyle w:val="NumberedHeadingTLRI"/>
        <w:spacing w:before="360"/>
        <w:rPr>
          <w:rFonts w:asciiTheme="majorBidi" w:hAnsiTheme="majorBidi" w:cstheme="majorBidi"/>
          <w:lang w:val="en-AU"/>
        </w:rPr>
      </w:pPr>
      <w:bookmarkStart w:id="108" w:name="_Toc12268959"/>
      <w:r w:rsidRPr="004C5271">
        <w:rPr>
          <w:rFonts w:asciiTheme="majorBidi" w:hAnsiTheme="majorBidi" w:cstheme="majorBidi"/>
          <w:lang w:val="en-AU"/>
        </w:rPr>
        <w:t>Effect of notional estate</w:t>
      </w:r>
      <w:r w:rsidR="00F25567" w:rsidRPr="004C5271">
        <w:rPr>
          <w:rFonts w:asciiTheme="majorBidi" w:hAnsiTheme="majorBidi" w:cstheme="majorBidi"/>
          <w:lang w:val="en-AU"/>
        </w:rPr>
        <w:t xml:space="preserve"> order</w:t>
      </w:r>
      <w:bookmarkEnd w:id="108"/>
    </w:p>
    <w:p w14:paraId="41D35F17" w14:textId="5628D554" w:rsidR="00F25567" w:rsidRPr="004C5271" w:rsidRDefault="00611582" w:rsidP="006143EF">
      <w:pPr>
        <w:pStyle w:val="NormalNumberedTextTLRI"/>
        <w:rPr>
          <w:rFonts w:asciiTheme="majorBidi" w:hAnsiTheme="majorBidi" w:cstheme="majorBidi"/>
          <w:lang w:val="en-AU"/>
        </w:rPr>
      </w:pPr>
      <w:r w:rsidRPr="004C5271">
        <w:rPr>
          <w:rFonts w:asciiTheme="majorBidi" w:hAnsiTheme="majorBidi" w:cstheme="majorBidi"/>
          <w:lang w:val="en-AU"/>
        </w:rPr>
        <w:t>A</w:t>
      </w:r>
      <w:r w:rsidR="00F25567" w:rsidRPr="004C5271">
        <w:rPr>
          <w:rFonts w:asciiTheme="majorBidi" w:hAnsiTheme="majorBidi" w:cstheme="majorBidi"/>
          <w:lang w:val="en-AU"/>
        </w:rPr>
        <w:t>n order designat</w:t>
      </w:r>
      <w:r w:rsidRPr="004C5271">
        <w:rPr>
          <w:rFonts w:asciiTheme="majorBidi" w:hAnsiTheme="majorBidi" w:cstheme="majorBidi"/>
          <w:lang w:val="en-AU"/>
        </w:rPr>
        <w:t>ing property</w:t>
      </w:r>
      <w:r w:rsidR="00F25567" w:rsidRPr="004C5271">
        <w:rPr>
          <w:rFonts w:asciiTheme="majorBidi" w:hAnsiTheme="majorBidi" w:cstheme="majorBidi"/>
          <w:lang w:val="en-AU"/>
        </w:rPr>
        <w:t xml:space="preserve"> as notional estate</w:t>
      </w:r>
      <w:r w:rsidRPr="004C5271">
        <w:rPr>
          <w:rFonts w:asciiTheme="majorBidi" w:hAnsiTheme="majorBidi" w:cstheme="majorBidi"/>
          <w:lang w:val="en-AU"/>
        </w:rPr>
        <w:t xml:space="preserve"> </w:t>
      </w:r>
      <w:r w:rsidR="006143EF" w:rsidRPr="004C5271">
        <w:rPr>
          <w:rFonts w:asciiTheme="majorBidi" w:hAnsiTheme="majorBidi" w:cstheme="majorBidi"/>
          <w:lang w:val="en-AU"/>
        </w:rPr>
        <w:t>extinguishes</w:t>
      </w:r>
      <w:r w:rsidRPr="004C5271">
        <w:rPr>
          <w:rFonts w:asciiTheme="majorBidi" w:hAnsiTheme="majorBidi" w:cstheme="majorBidi"/>
          <w:lang w:val="en-AU"/>
        </w:rPr>
        <w:t xml:space="preserve"> </w:t>
      </w:r>
      <w:r w:rsidR="00F25567" w:rsidRPr="004C5271">
        <w:rPr>
          <w:rFonts w:asciiTheme="majorBidi" w:hAnsiTheme="majorBidi" w:cstheme="majorBidi"/>
          <w:lang w:val="en-AU"/>
        </w:rPr>
        <w:t xml:space="preserve">rights </w:t>
      </w:r>
      <w:r w:rsidRPr="004C5271">
        <w:rPr>
          <w:rFonts w:asciiTheme="majorBidi" w:hAnsiTheme="majorBidi" w:cstheme="majorBidi"/>
          <w:lang w:val="en-AU"/>
        </w:rPr>
        <w:t>to</w:t>
      </w:r>
      <w:r w:rsidR="00F25567" w:rsidRPr="004C5271">
        <w:rPr>
          <w:rFonts w:asciiTheme="majorBidi" w:hAnsiTheme="majorBidi" w:cstheme="majorBidi"/>
          <w:lang w:val="en-AU"/>
        </w:rPr>
        <w:t xml:space="preserve"> </w:t>
      </w:r>
      <w:r w:rsidR="002A1416" w:rsidRPr="004C5271">
        <w:rPr>
          <w:rFonts w:asciiTheme="majorBidi" w:hAnsiTheme="majorBidi" w:cstheme="majorBidi"/>
          <w:lang w:val="en-AU"/>
        </w:rPr>
        <w:t xml:space="preserve">that </w:t>
      </w:r>
      <w:r w:rsidR="00F25567" w:rsidRPr="004C5271">
        <w:rPr>
          <w:rFonts w:asciiTheme="majorBidi" w:hAnsiTheme="majorBidi" w:cstheme="majorBidi"/>
          <w:lang w:val="en-AU"/>
        </w:rPr>
        <w:t>property to the extent of the order.</w:t>
      </w:r>
      <w:r w:rsidRPr="004C5271">
        <w:rPr>
          <w:rStyle w:val="FootnoteReference"/>
          <w:rFonts w:asciiTheme="majorBidi" w:eastAsiaTheme="minorHAnsi" w:hAnsiTheme="majorBidi" w:cstheme="majorBidi"/>
          <w:szCs w:val="24"/>
          <w:lang w:val="en-AU"/>
        </w:rPr>
        <w:footnoteReference w:id="245"/>
      </w:r>
    </w:p>
    <w:p w14:paraId="298790CB" w14:textId="07E8FAE7" w:rsidR="00F60F5F" w:rsidRPr="004C5271" w:rsidRDefault="00F60F5F" w:rsidP="004273B6">
      <w:pPr>
        <w:pStyle w:val="NumberedHeadingTLRI"/>
        <w:rPr>
          <w:rFonts w:asciiTheme="majorBidi" w:hAnsiTheme="majorBidi" w:cstheme="majorBidi"/>
          <w:lang w:val="en-AU"/>
        </w:rPr>
      </w:pPr>
      <w:bookmarkStart w:id="109" w:name="_Toc12268960"/>
      <w:r w:rsidRPr="004C5271">
        <w:rPr>
          <w:rFonts w:asciiTheme="majorBidi" w:hAnsiTheme="majorBidi" w:cstheme="majorBidi"/>
          <w:lang w:val="en-AU"/>
        </w:rPr>
        <w:t>Critique of New South Wales’ notional estate laws</w:t>
      </w:r>
      <w:bookmarkEnd w:id="109"/>
    </w:p>
    <w:p w14:paraId="69F4720A" w14:textId="32378D89" w:rsidR="00F60F5F" w:rsidRPr="004C5271" w:rsidRDefault="00F60F5F" w:rsidP="00076B44">
      <w:pPr>
        <w:pStyle w:val="NormalNumberedTextTLRI"/>
        <w:rPr>
          <w:rFonts w:asciiTheme="majorBidi" w:hAnsiTheme="majorBidi" w:cstheme="majorBidi"/>
          <w:lang w:val="en-AU"/>
        </w:rPr>
      </w:pPr>
      <w:r w:rsidRPr="004C5271">
        <w:rPr>
          <w:rFonts w:asciiTheme="majorBidi" w:hAnsiTheme="majorBidi" w:cstheme="majorBidi"/>
          <w:lang w:val="en-AU"/>
        </w:rPr>
        <w:t xml:space="preserve">Some commentators and those practicing in succession law have raised issues with New South Wales’ notional estate laws. These critiques are included within Part 5 of this report when considering the question whether Tasmania should adopt these provisions within the </w:t>
      </w:r>
      <w:r w:rsidRPr="004C5271">
        <w:rPr>
          <w:rFonts w:asciiTheme="majorBidi" w:hAnsiTheme="majorBidi" w:cstheme="majorBidi"/>
          <w:i/>
          <w:iCs/>
          <w:lang w:val="en-AU"/>
        </w:rPr>
        <w:t>TFM Act</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246"/>
      </w:r>
    </w:p>
    <w:p w14:paraId="778CD6D2" w14:textId="0033DA2E" w:rsidR="004273B6" w:rsidRPr="004C5271" w:rsidRDefault="006909F4" w:rsidP="004273B6">
      <w:pPr>
        <w:pStyle w:val="NumberedHeadingTLRI"/>
        <w:rPr>
          <w:rFonts w:asciiTheme="majorBidi" w:hAnsiTheme="majorBidi" w:cstheme="majorBidi"/>
          <w:lang w:val="en-AU"/>
        </w:rPr>
      </w:pPr>
      <w:bookmarkStart w:id="110" w:name="_Toc12268961"/>
      <w:r w:rsidRPr="004C5271">
        <w:rPr>
          <w:rFonts w:asciiTheme="majorBidi" w:hAnsiTheme="majorBidi" w:cstheme="majorBidi"/>
          <w:lang w:val="en-AU"/>
        </w:rPr>
        <w:lastRenderedPageBreak/>
        <w:t>Summary</w:t>
      </w:r>
      <w:bookmarkEnd w:id="110"/>
    </w:p>
    <w:p w14:paraId="40A665A5" w14:textId="42AC4ADD" w:rsidR="004273B6" w:rsidRPr="004C5271" w:rsidRDefault="004273B6" w:rsidP="004273B6">
      <w:pPr>
        <w:pStyle w:val="NormalNumberedTextTLRI"/>
        <w:rPr>
          <w:rFonts w:asciiTheme="majorBidi" w:hAnsiTheme="majorBidi" w:cstheme="majorBidi"/>
          <w:lang w:val="en-AU"/>
        </w:rPr>
      </w:pPr>
      <w:r w:rsidRPr="004C5271">
        <w:rPr>
          <w:rFonts w:asciiTheme="majorBidi" w:hAnsiTheme="majorBidi" w:cstheme="majorBidi"/>
          <w:lang w:val="en-AU"/>
        </w:rPr>
        <w:t xml:space="preserve">The terms of reference ask for the Institute’s advice about whether Tasmania should </w:t>
      </w:r>
      <w:r w:rsidR="00902F3F" w:rsidRPr="004C5271">
        <w:rPr>
          <w:rFonts w:asciiTheme="majorBidi" w:hAnsiTheme="majorBidi" w:cstheme="majorBidi"/>
          <w:lang w:val="en-AU"/>
        </w:rPr>
        <w:t xml:space="preserve">enact </w:t>
      </w:r>
      <w:r w:rsidRPr="004C5271">
        <w:rPr>
          <w:rFonts w:asciiTheme="majorBidi" w:hAnsiTheme="majorBidi" w:cstheme="majorBidi"/>
          <w:lang w:val="en-AU"/>
        </w:rPr>
        <w:t>notional estate provisions. One matter asked of respondents was, if Tasmania introduced notional estate laws, should it adopt the New South Wales provisions, or should</w:t>
      </w:r>
      <w:r w:rsidR="000B0A73" w:rsidRPr="004C5271">
        <w:rPr>
          <w:rFonts w:asciiTheme="majorBidi" w:hAnsiTheme="majorBidi" w:cstheme="majorBidi"/>
          <w:lang w:val="en-AU"/>
        </w:rPr>
        <w:t xml:space="preserve"> certain</w:t>
      </w:r>
      <w:r w:rsidRPr="004C5271">
        <w:rPr>
          <w:rFonts w:asciiTheme="majorBidi" w:hAnsiTheme="majorBidi" w:cstheme="majorBidi"/>
          <w:lang w:val="en-AU"/>
        </w:rPr>
        <w:t xml:space="preserve"> aspects be different. </w:t>
      </w:r>
      <w:r w:rsidR="00F60F5F" w:rsidRPr="004C5271">
        <w:rPr>
          <w:rFonts w:asciiTheme="majorBidi" w:hAnsiTheme="majorBidi" w:cstheme="majorBidi"/>
          <w:lang w:val="en-AU"/>
        </w:rPr>
        <w:t>R</w:t>
      </w:r>
      <w:r w:rsidRPr="004C5271">
        <w:rPr>
          <w:rFonts w:asciiTheme="majorBidi" w:hAnsiTheme="majorBidi" w:cstheme="majorBidi"/>
          <w:lang w:val="en-AU"/>
        </w:rPr>
        <w:t>esponses</w:t>
      </w:r>
      <w:r w:rsidR="00F60F5F" w:rsidRPr="004C5271">
        <w:rPr>
          <w:rFonts w:asciiTheme="majorBidi" w:hAnsiTheme="majorBidi" w:cstheme="majorBidi"/>
          <w:lang w:val="en-AU"/>
        </w:rPr>
        <w:t xml:space="preserve"> to this question</w:t>
      </w:r>
      <w:r w:rsidRPr="004C5271">
        <w:rPr>
          <w:rFonts w:asciiTheme="majorBidi" w:hAnsiTheme="majorBidi" w:cstheme="majorBidi"/>
          <w:lang w:val="en-AU"/>
        </w:rPr>
        <w:t xml:space="preserve">, along with responses to the Issues Paper’s other questions are outlined in </w:t>
      </w:r>
      <w:r w:rsidR="002567A4" w:rsidRPr="004C5271">
        <w:rPr>
          <w:rFonts w:asciiTheme="majorBidi" w:hAnsiTheme="majorBidi" w:cstheme="majorBidi"/>
          <w:lang w:val="en-AU"/>
        </w:rPr>
        <w:t>P</w:t>
      </w:r>
      <w:r w:rsidRPr="004C5271">
        <w:rPr>
          <w:rFonts w:asciiTheme="majorBidi" w:hAnsiTheme="majorBidi" w:cstheme="majorBidi"/>
          <w:lang w:val="en-AU"/>
        </w:rPr>
        <w:t>art</w:t>
      </w:r>
      <w:r w:rsidR="000F4586">
        <w:rPr>
          <w:rFonts w:asciiTheme="majorBidi" w:hAnsiTheme="majorBidi" w:cstheme="majorBidi"/>
          <w:lang w:val="en-AU"/>
        </w:rPr>
        <w:t xml:space="preserve"> 5</w:t>
      </w:r>
      <w:r w:rsidRPr="004C5271">
        <w:rPr>
          <w:rFonts w:asciiTheme="majorBidi" w:hAnsiTheme="majorBidi" w:cstheme="majorBidi"/>
          <w:lang w:val="en-AU"/>
        </w:rPr>
        <w:t>.</w:t>
      </w:r>
    </w:p>
    <w:p w14:paraId="6EE54BF0" w14:textId="77777777" w:rsidR="002567A4" w:rsidRPr="004C5271" w:rsidRDefault="002567A4">
      <w:pPr>
        <w:rPr>
          <w:rFonts w:asciiTheme="majorBidi" w:hAnsiTheme="majorBidi" w:cstheme="majorBidi"/>
        </w:rPr>
        <w:sectPr w:rsidR="002567A4" w:rsidRPr="004C5271" w:rsidSect="004C5271">
          <w:headerReference w:type="default" r:id="rId44"/>
          <w:footerReference w:type="even" r:id="rId45"/>
          <w:footerReference w:type="default" r:id="rId46"/>
          <w:headerReference w:type="first" r:id="rId47"/>
          <w:footerReference w:type="first" r:id="rId48"/>
          <w:pgSz w:w="9979" w:h="14232" w:code="9"/>
          <w:pgMar w:top="1440" w:right="1440" w:bottom="1440" w:left="1440" w:header="709" w:footer="709" w:gutter="0"/>
          <w:cols w:space="708"/>
          <w:titlePg/>
          <w:docGrid w:linePitch="360"/>
        </w:sectPr>
      </w:pPr>
    </w:p>
    <w:p w14:paraId="0321245E" w14:textId="77777777" w:rsidR="00331DDB" w:rsidRPr="004C5271" w:rsidRDefault="00331DDB" w:rsidP="0042726D">
      <w:pPr>
        <w:pStyle w:val="PartNoTLRI"/>
        <w:ind w:left="0" w:firstLine="0"/>
        <w:rPr>
          <w:rFonts w:asciiTheme="majorBidi" w:hAnsiTheme="majorBidi" w:cstheme="majorBidi"/>
        </w:rPr>
      </w:pPr>
      <w:bookmarkStart w:id="111" w:name="_Toc2256873"/>
      <w:bookmarkStart w:id="112" w:name="_Toc12268962"/>
      <w:bookmarkEnd w:id="111"/>
      <w:bookmarkEnd w:id="112"/>
    </w:p>
    <w:p w14:paraId="0E85AB8B" w14:textId="6B264A36" w:rsidR="002C3DFE" w:rsidRPr="004C5271" w:rsidRDefault="00A53248" w:rsidP="00594730">
      <w:pPr>
        <w:pStyle w:val="PartHeadingTLRI"/>
        <w:rPr>
          <w:rFonts w:asciiTheme="majorBidi" w:hAnsiTheme="majorBidi" w:cstheme="majorBidi"/>
          <w:lang w:val="en-AU"/>
        </w:rPr>
      </w:pPr>
      <w:bookmarkStart w:id="113" w:name="_Toc12268963"/>
      <w:r w:rsidRPr="004C5271">
        <w:rPr>
          <w:rFonts w:asciiTheme="majorBidi" w:hAnsiTheme="majorBidi" w:cstheme="majorBidi"/>
          <w:lang w:val="en-AU"/>
        </w:rPr>
        <w:t>Should Tasmania Introduce Notional Estate L</w:t>
      </w:r>
      <w:r w:rsidR="00CC4061" w:rsidRPr="004C5271">
        <w:rPr>
          <w:rFonts w:asciiTheme="majorBidi" w:hAnsiTheme="majorBidi" w:cstheme="majorBidi"/>
          <w:lang w:val="en-AU"/>
        </w:rPr>
        <w:t>aws</w:t>
      </w:r>
      <w:r w:rsidRPr="004C5271">
        <w:rPr>
          <w:rFonts w:asciiTheme="majorBidi" w:hAnsiTheme="majorBidi" w:cstheme="majorBidi"/>
          <w:lang w:val="en-AU"/>
        </w:rPr>
        <w:t>?</w:t>
      </w:r>
      <w:bookmarkEnd w:id="113"/>
    </w:p>
    <w:p w14:paraId="1D571C37" w14:textId="3991B44A" w:rsidR="002F108C" w:rsidRPr="004C5271" w:rsidRDefault="002F108C" w:rsidP="00E60B10">
      <w:pPr>
        <w:pStyle w:val="NumberedHeadingTLRI"/>
        <w:rPr>
          <w:rFonts w:asciiTheme="majorBidi" w:hAnsiTheme="majorBidi" w:cstheme="majorBidi"/>
          <w:lang w:val="en-AU"/>
        </w:rPr>
      </w:pPr>
      <w:bookmarkStart w:id="114" w:name="_Toc12268964"/>
      <w:r w:rsidRPr="004C5271">
        <w:rPr>
          <w:rFonts w:asciiTheme="majorBidi" w:hAnsiTheme="majorBidi" w:cstheme="majorBidi"/>
          <w:lang w:val="en-AU"/>
        </w:rPr>
        <w:t>Introduction</w:t>
      </w:r>
      <w:bookmarkEnd w:id="114"/>
    </w:p>
    <w:p w14:paraId="6718E703" w14:textId="1A4BB66F" w:rsidR="004273B6" w:rsidRPr="004C5271" w:rsidRDefault="00CC4061" w:rsidP="00781682">
      <w:pPr>
        <w:pStyle w:val="NormalNumberedTextTLRI"/>
        <w:rPr>
          <w:rFonts w:asciiTheme="majorBidi" w:hAnsiTheme="majorBidi" w:cstheme="majorBidi"/>
          <w:lang w:val="en-AU"/>
        </w:rPr>
      </w:pPr>
      <w:r w:rsidRPr="004C5271">
        <w:rPr>
          <w:rFonts w:asciiTheme="majorBidi" w:hAnsiTheme="majorBidi" w:cstheme="majorBidi"/>
          <w:lang w:val="en-AU"/>
        </w:rPr>
        <w:t xml:space="preserve">The Issues Paper asked a series of questions to ascertain the need, and degree of community support, </w:t>
      </w:r>
      <w:r w:rsidR="009311D0" w:rsidRPr="004C5271">
        <w:rPr>
          <w:rFonts w:asciiTheme="majorBidi" w:hAnsiTheme="majorBidi" w:cstheme="majorBidi"/>
          <w:lang w:val="en-AU"/>
        </w:rPr>
        <w:t xml:space="preserve">for </w:t>
      </w:r>
      <w:r w:rsidR="008167FE" w:rsidRPr="004C5271">
        <w:rPr>
          <w:rFonts w:asciiTheme="majorBidi" w:hAnsiTheme="majorBidi" w:cstheme="majorBidi"/>
          <w:lang w:val="en-AU"/>
        </w:rPr>
        <w:t xml:space="preserve">the </w:t>
      </w:r>
      <w:r w:rsidRPr="004C5271">
        <w:rPr>
          <w:rFonts w:asciiTheme="majorBidi" w:hAnsiTheme="majorBidi" w:cstheme="majorBidi"/>
          <w:lang w:val="en-AU"/>
        </w:rPr>
        <w:t>introduction of notional estate laws in Tasmania. It ask</w:t>
      </w:r>
      <w:r w:rsidR="00EB75D8" w:rsidRPr="004C5271">
        <w:rPr>
          <w:rFonts w:asciiTheme="majorBidi" w:hAnsiTheme="majorBidi" w:cstheme="majorBidi"/>
          <w:lang w:val="en-AU"/>
        </w:rPr>
        <w:t>ed</w:t>
      </w:r>
      <w:r w:rsidRPr="004C5271">
        <w:rPr>
          <w:rFonts w:asciiTheme="majorBidi" w:hAnsiTheme="majorBidi" w:cstheme="majorBidi"/>
          <w:lang w:val="en-AU"/>
        </w:rPr>
        <w:t xml:space="preserve"> </w:t>
      </w:r>
      <w:r w:rsidR="00481469" w:rsidRPr="004C5271">
        <w:rPr>
          <w:rFonts w:asciiTheme="majorBidi" w:hAnsiTheme="majorBidi" w:cstheme="majorBidi"/>
          <w:lang w:val="en-AU"/>
        </w:rPr>
        <w:t xml:space="preserve">respondents </w:t>
      </w:r>
      <w:r w:rsidRPr="004C5271">
        <w:rPr>
          <w:rFonts w:asciiTheme="majorBidi" w:hAnsiTheme="majorBidi" w:cstheme="majorBidi"/>
          <w:lang w:val="en-AU"/>
        </w:rPr>
        <w:t>whether</w:t>
      </w:r>
      <w:r w:rsidR="00B2743B" w:rsidRPr="004C5271">
        <w:rPr>
          <w:rFonts w:asciiTheme="majorBidi" w:hAnsiTheme="majorBidi" w:cstheme="majorBidi"/>
          <w:lang w:val="en-AU"/>
        </w:rPr>
        <w:t xml:space="preserve"> they considered</w:t>
      </w:r>
      <w:r w:rsidR="00BE79FF" w:rsidRPr="004C5271">
        <w:rPr>
          <w:rFonts w:asciiTheme="majorBidi" w:hAnsiTheme="majorBidi" w:cstheme="majorBidi"/>
          <w:lang w:val="en-AU"/>
        </w:rPr>
        <w:t xml:space="preserve"> </w:t>
      </w:r>
      <w:r w:rsidR="00717B65" w:rsidRPr="004C5271">
        <w:rPr>
          <w:rFonts w:asciiTheme="majorBidi" w:hAnsiTheme="majorBidi" w:cstheme="majorBidi"/>
          <w:lang w:val="en-AU"/>
        </w:rPr>
        <w:t xml:space="preserve">that </w:t>
      </w:r>
      <w:r w:rsidR="00BE79FF" w:rsidRPr="004C5271">
        <w:rPr>
          <w:rFonts w:asciiTheme="majorBidi" w:hAnsiTheme="majorBidi" w:cstheme="majorBidi"/>
          <w:lang w:val="en-AU"/>
        </w:rPr>
        <w:t xml:space="preserve">notional estate laws </w:t>
      </w:r>
      <w:r w:rsidR="00717B65" w:rsidRPr="004C5271">
        <w:rPr>
          <w:rFonts w:asciiTheme="majorBidi" w:hAnsiTheme="majorBidi" w:cstheme="majorBidi"/>
          <w:lang w:val="en-AU"/>
        </w:rPr>
        <w:t>w</w:t>
      </w:r>
      <w:r w:rsidR="009B7A60" w:rsidRPr="004C5271">
        <w:rPr>
          <w:rFonts w:asciiTheme="majorBidi" w:hAnsiTheme="majorBidi" w:cstheme="majorBidi"/>
          <w:lang w:val="en-AU"/>
        </w:rPr>
        <w:t>ould create any adverse consequences</w:t>
      </w:r>
      <w:r w:rsidR="000B0A73" w:rsidRPr="004C5271">
        <w:rPr>
          <w:rFonts w:asciiTheme="majorBidi" w:hAnsiTheme="majorBidi" w:cstheme="majorBidi"/>
          <w:lang w:val="en-AU"/>
        </w:rPr>
        <w:t>. Respondents were also asked</w:t>
      </w:r>
      <w:r w:rsidR="006270F8" w:rsidRPr="004C5271">
        <w:rPr>
          <w:rFonts w:asciiTheme="majorBidi" w:hAnsiTheme="majorBidi" w:cstheme="majorBidi"/>
          <w:lang w:val="en-AU"/>
        </w:rPr>
        <w:t xml:space="preserve"> </w:t>
      </w:r>
      <w:r w:rsidR="00460556" w:rsidRPr="004C5271">
        <w:rPr>
          <w:rFonts w:asciiTheme="majorBidi" w:hAnsiTheme="majorBidi" w:cstheme="majorBidi"/>
          <w:lang w:val="en-AU"/>
        </w:rPr>
        <w:t xml:space="preserve">whether, in their view, </w:t>
      </w:r>
      <w:r w:rsidR="004E70B7" w:rsidRPr="004C5271">
        <w:rPr>
          <w:rFonts w:asciiTheme="majorBidi" w:hAnsiTheme="majorBidi" w:cstheme="majorBidi"/>
          <w:lang w:val="en-AU"/>
        </w:rPr>
        <w:t xml:space="preserve">the New South Wales provisions </w:t>
      </w:r>
      <w:r w:rsidR="00BE79FF" w:rsidRPr="004C5271">
        <w:rPr>
          <w:rFonts w:asciiTheme="majorBidi" w:hAnsiTheme="majorBidi" w:cstheme="majorBidi"/>
          <w:lang w:val="en-AU"/>
        </w:rPr>
        <w:t>ought to</w:t>
      </w:r>
      <w:r w:rsidR="004E70B7" w:rsidRPr="004C5271">
        <w:rPr>
          <w:rFonts w:asciiTheme="majorBidi" w:hAnsiTheme="majorBidi" w:cstheme="majorBidi"/>
          <w:lang w:val="en-AU"/>
        </w:rPr>
        <w:t xml:space="preserve"> be </w:t>
      </w:r>
      <w:r w:rsidR="00F27829" w:rsidRPr="004C5271">
        <w:rPr>
          <w:rFonts w:asciiTheme="majorBidi" w:hAnsiTheme="majorBidi" w:cstheme="majorBidi"/>
          <w:lang w:val="en-AU"/>
        </w:rPr>
        <w:t>adopted</w:t>
      </w:r>
      <w:r w:rsidR="00460556" w:rsidRPr="004C5271">
        <w:rPr>
          <w:rFonts w:asciiTheme="majorBidi" w:hAnsiTheme="majorBidi" w:cstheme="majorBidi"/>
          <w:lang w:val="en-AU"/>
        </w:rPr>
        <w:t xml:space="preserve"> unchanged or whether there were certain</w:t>
      </w:r>
      <w:r w:rsidR="004E70B7" w:rsidRPr="004C5271">
        <w:rPr>
          <w:rFonts w:asciiTheme="majorBidi" w:hAnsiTheme="majorBidi" w:cstheme="majorBidi"/>
          <w:lang w:val="en-AU"/>
        </w:rPr>
        <w:t xml:space="preserve"> </w:t>
      </w:r>
      <w:r w:rsidR="006270F8" w:rsidRPr="004C5271">
        <w:rPr>
          <w:rFonts w:asciiTheme="majorBidi" w:hAnsiTheme="majorBidi" w:cstheme="majorBidi"/>
          <w:lang w:val="en-AU"/>
        </w:rPr>
        <w:t>elements</w:t>
      </w:r>
      <w:r w:rsidR="004E70B7" w:rsidRPr="004C5271">
        <w:rPr>
          <w:rFonts w:asciiTheme="majorBidi" w:hAnsiTheme="majorBidi" w:cstheme="majorBidi"/>
          <w:lang w:val="en-AU"/>
        </w:rPr>
        <w:t xml:space="preserve"> that should be </w:t>
      </w:r>
      <w:r w:rsidR="00460556" w:rsidRPr="004C5271">
        <w:rPr>
          <w:rFonts w:asciiTheme="majorBidi" w:hAnsiTheme="majorBidi" w:cstheme="majorBidi"/>
          <w:lang w:val="en-AU"/>
        </w:rPr>
        <w:t>amended</w:t>
      </w:r>
      <w:r w:rsidR="004E70B7" w:rsidRPr="004C5271">
        <w:rPr>
          <w:rFonts w:asciiTheme="majorBidi" w:hAnsiTheme="majorBidi" w:cstheme="majorBidi"/>
          <w:lang w:val="en-AU"/>
        </w:rPr>
        <w:t>.</w:t>
      </w:r>
      <w:r w:rsidRPr="004C5271">
        <w:rPr>
          <w:rFonts w:asciiTheme="majorBidi" w:hAnsiTheme="majorBidi" w:cstheme="majorBidi"/>
          <w:lang w:val="en-AU"/>
        </w:rPr>
        <w:t xml:space="preserve"> </w:t>
      </w:r>
    </w:p>
    <w:p w14:paraId="238D4B33" w14:textId="10CF58E7" w:rsidR="00223346" w:rsidRPr="004C5271" w:rsidRDefault="00781682" w:rsidP="00781682">
      <w:pPr>
        <w:pStyle w:val="NormalNumberedTextTLRI"/>
        <w:rPr>
          <w:rFonts w:asciiTheme="majorBidi" w:hAnsiTheme="majorBidi" w:cstheme="majorBidi"/>
          <w:lang w:val="en-AU"/>
        </w:rPr>
      </w:pPr>
      <w:r w:rsidRPr="004C5271">
        <w:rPr>
          <w:rFonts w:asciiTheme="majorBidi" w:hAnsiTheme="majorBidi" w:cstheme="majorBidi"/>
          <w:lang w:val="en-AU"/>
        </w:rPr>
        <w:t xml:space="preserve">The Issues Paper generated significant community interest, with </w:t>
      </w:r>
      <w:r w:rsidR="00A35F7D" w:rsidRPr="004C5271">
        <w:rPr>
          <w:rFonts w:asciiTheme="majorBidi" w:hAnsiTheme="majorBidi" w:cstheme="majorBidi"/>
          <w:lang w:val="en-AU"/>
        </w:rPr>
        <w:t>3</w:t>
      </w:r>
      <w:r w:rsidR="00F60F5F" w:rsidRPr="004C5271">
        <w:rPr>
          <w:rFonts w:asciiTheme="majorBidi" w:hAnsiTheme="majorBidi" w:cstheme="majorBidi"/>
          <w:lang w:val="en-AU"/>
        </w:rPr>
        <w:t>2</w:t>
      </w:r>
      <w:r w:rsidRPr="004C5271">
        <w:rPr>
          <w:rFonts w:asciiTheme="majorBidi" w:hAnsiTheme="majorBidi" w:cstheme="majorBidi"/>
          <w:lang w:val="en-AU"/>
        </w:rPr>
        <w:t xml:space="preserve"> formal submissions received</w:t>
      </w:r>
      <w:r w:rsidR="001C527D" w:rsidRPr="004C5271">
        <w:rPr>
          <w:rFonts w:asciiTheme="majorBidi" w:hAnsiTheme="majorBidi" w:cstheme="majorBidi"/>
          <w:lang w:val="en-AU"/>
        </w:rPr>
        <w:t xml:space="preserve">, representing the views of </w:t>
      </w:r>
      <w:r w:rsidR="00F60F5F" w:rsidRPr="004C5271">
        <w:rPr>
          <w:rFonts w:asciiTheme="majorBidi" w:hAnsiTheme="majorBidi" w:cstheme="majorBidi"/>
          <w:lang w:val="en-AU"/>
        </w:rPr>
        <w:t xml:space="preserve">67 </w:t>
      </w:r>
      <w:r w:rsidR="001C527D" w:rsidRPr="004C5271">
        <w:rPr>
          <w:rFonts w:asciiTheme="majorBidi" w:hAnsiTheme="majorBidi" w:cstheme="majorBidi"/>
          <w:lang w:val="en-AU"/>
        </w:rPr>
        <w:t xml:space="preserve">individuals and </w:t>
      </w:r>
      <w:r w:rsidR="005E05E7" w:rsidRPr="004C5271">
        <w:rPr>
          <w:rFonts w:asciiTheme="majorBidi" w:hAnsiTheme="majorBidi" w:cstheme="majorBidi"/>
          <w:lang w:val="en-AU"/>
        </w:rPr>
        <w:t>two</w:t>
      </w:r>
      <w:r w:rsidR="003D2E21" w:rsidRPr="004C5271">
        <w:rPr>
          <w:rFonts w:asciiTheme="majorBidi" w:hAnsiTheme="majorBidi" w:cstheme="majorBidi"/>
          <w:lang w:val="en-AU"/>
        </w:rPr>
        <w:t xml:space="preserve"> organisations.</w:t>
      </w:r>
      <w:r w:rsidRPr="004C5271">
        <w:rPr>
          <w:rFonts w:asciiTheme="majorBidi" w:hAnsiTheme="majorBidi" w:cstheme="majorBidi"/>
          <w:lang w:val="en-AU"/>
        </w:rPr>
        <w:t xml:space="preserve"> </w:t>
      </w:r>
      <w:r w:rsidR="00CC4061" w:rsidRPr="004C5271">
        <w:rPr>
          <w:rFonts w:asciiTheme="majorBidi" w:hAnsiTheme="majorBidi" w:cstheme="majorBidi"/>
          <w:lang w:val="en-AU"/>
        </w:rPr>
        <w:t xml:space="preserve">This </w:t>
      </w:r>
      <w:r w:rsidR="00564E44" w:rsidRPr="004C5271">
        <w:rPr>
          <w:rFonts w:asciiTheme="majorBidi" w:hAnsiTheme="majorBidi" w:cstheme="majorBidi"/>
          <w:lang w:val="en-AU"/>
        </w:rPr>
        <w:t>p</w:t>
      </w:r>
      <w:r w:rsidR="00CC4061" w:rsidRPr="004C5271">
        <w:rPr>
          <w:rFonts w:asciiTheme="majorBidi" w:hAnsiTheme="majorBidi" w:cstheme="majorBidi"/>
          <w:lang w:val="en-AU"/>
        </w:rPr>
        <w:t>art outlines</w:t>
      </w:r>
      <w:r w:rsidR="00FA6675" w:rsidRPr="004C5271">
        <w:rPr>
          <w:rFonts w:asciiTheme="majorBidi" w:hAnsiTheme="majorBidi" w:cstheme="majorBidi"/>
          <w:lang w:val="en-AU"/>
        </w:rPr>
        <w:t xml:space="preserve"> </w:t>
      </w:r>
      <w:r w:rsidR="00CC4061" w:rsidRPr="004C5271">
        <w:rPr>
          <w:rFonts w:asciiTheme="majorBidi" w:hAnsiTheme="majorBidi" w:cstheme="majorBidi"/>
          <w:lang w:val="en-AU"/>
        </w:rPr>
        <w:t xml:space="preserve">responses </w:t>
      </w:r>
      <w:r w:rsidR="004E70B7" w:rsidRPr="004C5271">
        <w:rPr>
          <w:rFonts w:asciiTheme="majorBidi" w:hAnsiTheme="majorBidi" w:cstheme="majorBidi"/>
          <w:lang w:val="en-AU"/>
        </w:rPr>
        <w:t>received</w:t>
      </w:r>
      <w:r w:rsidR="005E05E7" w:rsidRPr="004C5271">
        <w:rPr>
          <w:rFonts w:asciiTheme="majorBidi" w:hAnsiTheme="majorBidi" w:cstheme="majorBidi"/>
          <w:lang w:val="en-AU"/>
        </w:rPr>
        <w:t xml:space="preserve"> and</w:t>
      </w:r>
      <w:r w:rsidR="00B42D21" w:rsidRPr="004C5271">
        <w:rPr>
          <w:rFonts w:asciiTheme="majorBidi" w:hAnsiTheme="majorBidi" w:cstheme="majorBidi"/>
          <w:lang w:val="en-AU"/>
        </w:rPr>
        <w:t xml:space="preserve"> concludes with an analysis of the merits of notional estate-style provisions</w:t>
      </w:r>
      <w:r w:rsidR="005E05E7" w:rsidRPr="004C5271">
        <w:rPr>
          <w:rFonts w:asciiTheme="majorBidi" w:hAnsiTheme="majorBidi" w:cstheme="majorBidi"/>
          <w:lang w:val="en-AU"/>
        </w:rPr>
        <w:t xml:space="preserve">. The </w:t>
      </w:r>
      <w:r w:rsidR="00460556" w:rsidRPr="004C5271">
        <w:rPr>
          <w:rFonts w:asciiTheme="majorBidi" w:hAnsiTheme="majorBidi" w:cstheme="majorBidi"/>
          <w:lang w:val="en-AU"/>
        </w:rPr>
        <w:t>Institute’s</w:t>
      </w:r>
      <w:r w:rsidR="005E05E7" w:rsidRPr="004C5271">
        <w:rPr>
          <w:rFonts w:asciiTheme="majorBidi" w:hAnsiTheme="majorBidi" w:cstheme="majorBidi"/>
          <w:lang w:val="en-AU"/>
        </w:rPr>
        <w:t xml:space="preserve"> view is </w:t>
      </w:r>
      <w:r w:rsidR="00B42D21" w:rsidRPr="004C5271">
        <w:rPr>
          <w:rFonts w:asciiTheme="majorBidi" w:hAnsiTheme="majorBidi" w:cstheme="majorBidi"/>
          <w:lang w:val="en-AU"/>
        </w:rPr>
        <w:t xml:space="preserve">that, at this time, </w:t>
      </w:r>
      <w:r w:rsidR="003C7C40" w:rsidRPr="004C5271">
        <w:rPr>
          <w:rFonts w:asciiTheme="majorBidi" w:hAnsiTheme="majorBidi" w:cstheme="majorBidi"/>
          <w:lang w:val="en-AU"/>
        </w:rPr>
        <w:t xml:space="preserve">notional estate legislation would have limited impact in resolving an unquantified </w:t>
      </w:r>
      <w:r w:rsidR="00E86764" w:rsidRPr="004C5271">
        <w:rPr>
          <w:rFonts w:asciiTheme="majorBidi" w:hAnsiTheme="majorBidi" w:cstheme="majorBidi"/>
          <w:lang w:val="en-AU"/>
        </w:rPr>
        <w:t>problem</w:t>
      </w:r>
      <w:r w:rsidR="003C7C40" w:rsidRPr="004C5271">
        <w:rPr>
          <w:rFonts w:asciiTheme="majorBidi" w:hAnsiTheme="majorBidi" w:cstheme="majorBidi"/>
          <w:lang w:val="en-AU"/>
        </w:rPr>
        <w:t>.</w:t>
      </w:r>
    </w:p>
    <w:p w14:paraId="632E5394" w14:textId="28254E9D" w:rsidR="00477464" w:rsidRPr="004C5271" w:rsidRDefault="00477464" w:rsidP="001E64E7">
      <w:pPr>
        <w:pStyle w:val="NumberedHeadingTLRI"/>
        <w:rPr>
          <w:rFonts w:asciiTheme="majorBidi" w:hAnsiTheme="majorBidi" w:cstheme="majorBidi"/>
          <w:lang w:val="en-AU"/>
        </w:rPr>
      </w:pPr>
      <w:bookmarkStart w:id="115" w:name="_Toc12268965"/>
      <w:r w:rsidRPr="004C5271">
        <w:rPr>
          <w:rFonts w:asciiTheme="majorBidi" w:hAnsiTheme="majorBidi" w:cstheme="majorBidi"/>
          <w:lang w:val="en-AU"/>
        </w:rPr>
        <w:t>Is there a problem?</w:t>
      </w:r>
      <w:bookmarkEnd w:id="115"/>
    </w:p>
    <w:p w14:paraId="2E7E8914" w14:textId="58B4164B" w:rsidR="00477464" w:rsidRPr="004C5271" w:rsidRDefault="00781682" w:rsidP="00781682">
      <w:pPr>
        <w:pStyle w:val="NormalNumberedTextTLRI"/>
        <w:rPr>
          <w:rFonts w:asciiTheme="majorBidi" w:hAnsiTheme="majorBidi" w:cstheme="majorBidi"/>
          <w:lang w:val="en-AU"/>
        </w:rPr>
      </w:pPr>
      <w:r w:rsidRPr="004C5271">
        <w:rPr>
          <w:rFonts w:asciiTheme="majorBidi" w:hAnsiTheme="majorBidi" w:cstheme="majorBidi"/>
          <w:lang w:val="en-AU"/>
        </w:rPr>
        <w:t xml:space="preserve">The Issues Paper commented that, to decide </w:t>
      </w:r>
      <w:r w:rsidR="00477464" w:rsidRPr="004C5271">
        <w:rPr>
          <w:rFonts w:asciiTheme="majorBidi" w:hAnsiTheme="majorBidi" w:cstheme="majorBidi"/>
          <w:lang w:val="en-AU"/>
        </w:rPr>
        <w:t>whether to introduce notional estate legislation</w:t>
      </w:r>
      <w:r w:rsidR="00EA55E9" w:rsidRPr="004C5271">
        <w:rPr>
          <w:rFonts w:asciiTheme="majorBidi" w:hAnsiTheme="majorBidi" w:cstheme="majorBidi"/>
          <w:lang w:val="en-AU"/>
        </w:rPr>
        <w:t>,</w:t>
      </w:r>
      <w:r w:rsidR="00477464" w:rsidRPr="004C5271">
        <w:rPr>
          <w:rFonts w:asciiTheme="majorBidi" w:hAnsiTheme="majorBidi" w:cstheme="majorBidi"/>
          <w:lang w:val="en-AU"/>
        </w:rPr>
        <w:t xml:space="preserve"> the </w:t>
      </w:r>
      <w:r w:rsidR="001C5D76" w:rsidRPr="004C5271">
        <w:rPr>
          <w:rFonts w:asciiTheme="majorBidi" w:hAnsiTheme="majorBidi" w:cstheme="majorBidi"/>
          <w:lang w:val="en-AU"/>
        </w:rPr>
        <w:t>first</w:t>
      </w:r>
      <w:r w:rsidR="00477464" w:rsidRPr="004C5271">
        <w:rPr>
          <w:rFonts w:asciiTheme="majorBidi" w:hAnsiTheme="majorBidi" w:cstheme="majorBidi"/>
          <w:lang w:val="en-AU"/>
        </w:rPr>
        <w:t xml:space="preserve"> question </w:t>
      </w:r>
      <w:r w:rsidR="00460556" w:rsidRPr="004C5271">
        <w:rPr>
          <w:rFonts w:asciiTheme="majorBidi" w:hAnsiTheme="majorBidi" w:cstheme="majorBidi"/>
          <w:lang w:val="en-AU"/>
        </w:rPr>
        <w:t>that should be asked is</w:t>
      </w:r>
      <w:r w:rsidR="007955D9" w:rsidRPr="004C5271">
        <w:rPr>
          <w:rFonts w:asciiTheme="majorBidi" w:hAnsiTheme="majorBidi" w:cstheme="majorBidi"/>
          <w:lang w:val="en-AU"/>
        </w:rPr>
        <w:t>,</w:t>
      </w:r>
      <w:r w:rsidR="00460556" w:rsidRPr="004C5271">
        <w:rPr>
          <w:rFonts w:asciiTheme="majorBidi" w:hAnsiTheme="majorBidi" w:cstheme="majorBidi"/>
          <w:lang w:val="en-AU"/>
        </w:rPr>
        <w:t xml:space="preserve"> </w:t>
      </w:r>
      <w:r w:rsidR="00477464" w:rsidRPr="004C5271">
        <w:rPr>
          <w:rFonts w:asciiTheme="majorBidi" w:hAnsiTheme="majorBidi" w:cstheme="majorBidi"/>
          <w:lang w:val="en-AU"/>
        </w:rPr>
        <w:t xml:space="preserve">‘is </w:t>
      </w:r>
      <w:r w:rsidRPr="004C5271">
        <w:rPr>
          <w:rFonts w:asciiTheme="majorBidi" w:hAnsiTheme="majorBidi" w:cstheme="majorBidi"/>
          <w:lang w:val="en-AU"/>
        </w:rPr>
        <w:t>there a need</w:t>
      </w:r>
      <w:r w:rsidR="00477464" w:rsidRPr="004C5271">
        <w:rPr>
          <w:rFonts w:asciiTheme="majorBidi" w:hAnsiTheme="majorBidi" w:cstheme="majorBidi"/>
          <w:lang w:val="en-AU"/>
        </w:rPr>
        <w:t xml:space="preserve">?’ </w:t>
      </w:r>
      <w:r w:rsidR="00F27829" w:rsidRPr="004C5271">
        <w:rPr>
          <w:rFonts w:asciiTheme="majorBidi" w:hAnsiTheme="majorBidi" w:cstheme="majorBidi"/>
          <w:lang w:val="en-AU"/>
        </w:rPr>
        <w:t xml:space="preserve">One difficulty </w:t>
      </w:r>
      <w:r w:rsidR="00460556" w:rsidRPr="004C5271">
        <w:rPr>
          <w:rFonts w:asciiTheme="majorBidi" w:hAnsiTheme="majorBidi" w:cstheme="majorBidi"/>
          <w:lang w:val="en-AU"/>
        </w:rPr>
        <w:t xml:space="preserve">in answering this question </w:t>
      </w:r>
      <w:r w:rsidR="00F27829" w:rsidRPr="004C5271">
        <w:rPr>
          <w:rFonts w:asciiTheme="majorBidi" w:hAnsiTheme="majorBidi" w:cstheme="majorBidi"/>
          <w:lang w:val="en-AU"/>
        </w:rPr>
        <w:t xml:space="preserve">is the </w:t>
      </w:r>
      <w:r w:rsidR="00183938" w:rsidRPr="004C5271">
        <w:rPr>
          <w:rFonts w:asciiTheme="majorBidi" w:hAnsiTheme="majorBidi" w:cstheme="majorBidi"/>
          <w:lang w:val="en-AU"/>
        </w:rPr>
        <w:t>lack</w:t>
      </w:r>
      <w:r w:rsidR="00F27829" w:rsidRPr="004C5271">
        <w:rPr>
          <w:rFonts w:asciiTheme="majorBidi" w:hAnsiTheme="majorBidi" w:cstheme="majorBidi"/>
          <w:lang w:val="en-AU"/>
        </w:rPr>
        <w:t xml:space="preserve"> of</w:t>
      </w:r>
      <w:r w:rsidR="00D716B9" w:rsidRPr="004C5271">
        <w:rPr>
          <w:rFonts w:asciiTheme="majorBidi" w:hAnsiTheme="majorBidi" w:cstheme="majorBidi"/>
          <w:lang w:val="en-AU"/>
        </w:rPr>
        <w:t xml:space="preserve"> empirical evidence about the extent of disputes </w:t>
      </w:r>
      <w:r w:rsidR="0067041A" w:rsidRPr="004C5271">
        <w:rPr>
          <w:rFonts w:asciiTheme="majorBidi" w:hAnsiTheme="majorBidi" w:cstheme="majorBidi"/>
          <w:lang w:val="en-AU"/>
        </w:rPr>
        <w:t xml:space="preserve">occurring </w:t>
      </w:r>
      <w:r w:rsidR="00D716B9" w:rsidRPr="004C5271">
        <w:rPr>
          <w:rFonts w:asciiTheme="majorBidi" w:hAnsiTheme="majorBidi" w:cstheme="majorBidi"/>
          <w:lang w:val="en-AU"/>
        </w:rPr>
        <w:t xml:space="preserve">in Tasmania </w:t>
      </w:r>
      <w:r w:rsidR="009C31E8" w:rsidRPr="004C5271">
        <w:rPr>
          <w:rFonts w:asciiTheme="majorBidi" w:hAnsiTheme="majorBidi" w:cstheme="majorBidi"/>
          <w:lang w:val="en-AU"/>
        </w:rPr>
        <w:t xml:space="preserve">including </w:t>
      </w:r>
      <w:r w:rsidR="00D716B9" w:rsidRPr="004C5271">
        <w:rPr>
          <w:rFonts w:asciiTheme="majorBidi" w:hAnsiTheme="majorBidi" w:cstheme="majorBidi"/>
          <w:lang w:val="en-AU"/>
        </w:rPr>
        <w:t xml:space="preserve">the number </w:t>
      </w:r>
      <w:r w:rsidR="00224C5A" w:rsidRPr="004C5271">
        <w:rPr>
          <w:rFonts w:asciiTheme="majorBidi" w:hAnsiTheme="majorBidi" w:cstheme="majorBidi"/>
          <w:lang w:val="en-AU"/>
        </w:rPr>
        <w:t xml:space="preserve">that </w:t>
      </w:r>
      <w:r w:rsidR="00183938" w:rsidRPr="004C5271">
        <w:rPr>
          <w:rFonts w:asciiTheme="majorBidi" w:hAnsiTheme="majorBidi" w:cstheme="majorBidi"/>
          <w:lang w:val="en-AU"/>
        </w:rPr>
        <w:t>are resolved informally, those that result in</w:t>
      </w:r>
      <w:r w:rsidR="00C74487" w:rsidRPr="004C5271">
        <w:rPr>
          <w:rFonts w:asciiTheme="majorBidi" w:hAnsiTheme="majorBidi" w:cstheme="majorBidi"/>
          <w:lang w:val="en-AU"/>
        </w:rPr>
        <w:t xml:space="preserve"> the commencement of</w:t>
      </w:r>
      <w:r w:rsidR="00183938" w:rsidRPr="004C5271">
        <w:rPr>
          <w:rFonts w:asciiTheme="majorBidi" w:hAnsiTheme="majorBidi" w:cstheme="majorBidi"/>
          <w:lang w:val="en-AU"/>
        </w:rPr>
        <w:t xml:space="preserve"> </w:t>
      </w:r>
      <w:r w:rsidR="009C31E8" w:rsidRPr="004C5271">
        <w:rPr>
          <w:rFonts w:asciiTheme="majorBidi" w:hAnsiTheme="majorBidi" w:cstheme="majorBidi"/>
          <w:lang w:val="en-AU"/>
        </w:rPr>
        <w:t>c</w:t>
      </w:r>
      <w:r w:rsidR="00224C5A" w:rsidRPr="004C5271">
        <w:rPr>
          <w:rFonts w:asciiTheme="majorBidi" w:hAnsiTheme="majorBidi" w:cstheme="majorBidi"/>
          <w:lang w:val="en-AU"/>
        </w:rPr>
        <w:t>ourt proceedings</w:t>
      </w:r>
      <w:r w:rsidR="00D716B9" w:rsidRPr="004C5271">
        <w:rPr>
          <w:rFonts w:asciiTheme="majorBidi" w:hAnsiTheme="majorBidi" w:cstheme="majorBidi"/>
          <w:lang w:val="en-AU"/>
        </w:rPr>
        <w:t xml:space="preserve"> and the percentage that</w:t>
      </w:r>
      <w:r w:rsidR="0067041A" w:rsidRPr="004C5271">
        <w:rPr>
          <w:rFonts w:asciiTheme="majorBidi" w:hAnsiTheme="majorBidi" w:cstheme="majorBidi"/>
          <w:lang w:val="en-AU"/>
        </w:rPr>
        <w:t xml:space="preserve"> </w:t>
      </w:r>
      <w:r w:rsidR="00D716B9" w:rsidRPr="004C5271">
        <w:rPr>
          <w:rFonts w:asciiTheme="majorBidi" w:hAnsiTheme="majorBidi" w:cstheme="majorBidi"/>
          <w:lang w:val="en-AU"/>
        </w:rPr>
        <w:t>proceed to trial.</w:t>
      </w:r>
      <w:r w:rsidR="00335A9D" w:rsidRPr="004C5271">
        <w:rPr>
          <w:rFonts w:asciiTheme="majorBidi" w:hAnsiTheme="majorBidi" w:cstheme="majorBidi"/>
          <w:lang w:val="en-AU"/>
        </w:rPr>
        <w:t xml:space="preserve"> Available data is outlined </w:t>
      </w:r>
      <w:r w:rsidR="00460556" w:rsidRPr="004C5271">
        <w:rPr>
          <w:rFonts w:asciiTheme="majorBidi" w:hAnsiTheme="majorBidi" w:cstheme="majorBidi"/>
          <w:lang w:val="en-AU"/>
        </w:rPr>
        <w:t>below</w:t>
      </w:r>
      <w:r w:rsidR="00335A9D" w:rsidRPr="004C5271">
        <w:rPr>
          <w:rFonts w:asciiTheme="majorBidi" w:hAnsiTheme="majorBidi" w:cstheme="majorBidi"/>
          <w:lang w:val="en-AU"/>
        </w:rPr>
        <w:t xml:space="preserve">. </w:t>
      </w:r>
    </w:p>
    <w:p w14:paraId="7509091E" w14:textId="532FA144" w:rsidR="00C74487" w:rsidRPr="004C5271" w:rsidRDefault="00C74487" w:rsidP="00AE2B8C">
      <w:pPr>
        <w:pStyle w:val="Sub-HeadingTLRI"/>
      </w:pPr>
      <w:r w:rsidRPr="004C5271">
        <w:lastRenderedPageBreak/>
        <w:t xml:space="preserve">Prevalence of claims </w:t>
      </w:r>
    </w:p>
    <w:p w14:paraId="151A1756" w14:textId="77777777" w:rsidR="00715044" w:rsidRPr="004C5271" w:rsidRDefault="00715044" w:rsidP="00C74487">
      <w:pPr>
        <w:pStyle w:val="NormalNumberedTextTLRI"/>
        <w:rPr>
          <w:rFonts w:asciiTheme="majorBidi" w:hAnsiTheme="majorBidi" w:cstheme="majorBidi"/>
          <w:lang w:val="en-AU"/>
        </w:rPr>
      </w:pPr>
      <w:r w:rsidRPr="004C5271">
        <w:rPr>
          <w:rFonts w:asciiTheme="majorBidi" w:hAnsiTheme="majorBidi" w:cstheme="majorBidi"/>
          <w:lang w:val="en-AU"/>
        </w:rPr>
        <w:t xml:space="preserve">The number of reported Supreme Court decisions provides some evidence of the prevalence of family provision disputes in Tasmania. </w:t>
      </w:r>
    </w:p>
    <w:p w14:paraId="7CE9AFFC" w14:textId="2D718BC4" w:rsidR="00D716B9" w:rsidRPr="004C5271" w:rsidRDefault="00D716B9" w:rsidP="00C06786">
      <w:pPr>
        <w:pStyle w:val="NormalNumberedTextTLRI"/>
        <w:spacing w:after="120"/>
        <w:rPr>
          <w:rFonts w:asciiTheme="majorBidi" w:hAnsiTheme="majorBidi" w:cstheme="majorBidi"/>
          <w:lang w:val="en-AU"/>
        </w:rPr>
      </w:pPr>
      <w:r w:rsidRPr="004C5271">
        <w:rPr>
          <w:rFonts w:asciiTheme="majorBidi" w:hAnsiTheme="majorBidi" w:cstheme="majorBidi"/>
          <w:lang w:val="en-AU"/>
        </w:rPr>
        <w:t xml:space="preserve">Appendix </w:t>
      </w:r>
      <w:r w:rsidR="003C7C40" w:rsidRPr="004C5271">
        <w:rPr>
          <w:rFonts w:asciiTheme="majorBidi" w:hAnsiTheme="majorBidi" w:cstheme="majorBidi"/>
          <w:lang w:val="en-AU"/>
        </w:rPr>
        <w:t>3</w:t>
      </w:r>
      <w:r w:rsidR="00BA29F3" w:rsidRPr="004C5271">
        <w:rPr>
          <w:rFonts w:asciiTheme="majorBidi" w:hAnsiTheme="majorBidi" w:cstheme="majorBidi"/>
          <w:lang w:val="en-AU"/>
        </w:rPr>
        <w:t xml:space="preserve"> </w:t>
      </w:r>
      <w:r w:rsidRPr="004C5271">
        <w:rPr>
          <w:rFonts w:asciiTheme="majorBidi" w:hAnsiTheme="majorBidi" w:cstheme="majorBidi"/>
          <w:lang w:val="en-AU"/>
        </w:rPr>
        <w:t xml:space="preserve">summarises </w:t>
      </w:r>
      <w:r w:rsidR="00715044" w:rsidRPr="004C5271">
        <w:rPr>
          <w:rFonts w:asciiTheme="majorBidi" w:hAnsiTheme="majorBidi" w:cstheme="majorBidi"/>
          <w:lang w:val="en-AU"/>
        </w:rPr>
        <w:t xml:space="preserve">the </w:t>
      </w:r>
      <w:r w:rsidR="001C5D76" w:rsidRPr="004C5271">
        <w:rPr>
          <w:rFonts w:asciiTheme="majorBidi" w:hAnsiTheme="majorBidi" w:cstheme="majorBidi"/>
          <w:lang w:val="en-AU"/>
        </w:rPr>
        <w:t xml:space="preserve">reported </w:t>
      </w:r>
      <w:r w:rsidR="00183938" w:rsidRPr="004C5271">
        <w:rPr>
          <w:rFonts w:asciiTheme="majorBidi" w:hAnsiTheme="majorBidi" w:cstheme="majorBidi"/>
          <w:lang w:val="en-AU"/>
        </w:rPr>
        <w:t>decisions</w:t>
      </w:r>
      <w:r w:rsidRPr="004C5271">
        <w:rPr>
          <w:rFonts w:asciiTheme="majorBidi" w:hAnsiTheme="majorBidi" w:cstheme="majorBidi"/>
          <w:lang w:val="en-AU"/>
        </w:rPr>
        <w:t xml:space="preserve"> between April 2009 and April 2019. The following observations are made:</w:t>
      </w:r>
    </w:p>
    <w:p w14:paraId="52AA4DFC" w14:textId="39D88FF9" w:rsidR="001C5D76" w:rsidRPr="004C5271" w:rsidRDefault="009C31E8"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during</w:t>
      </w:r>
      <w:r w:rsidR="001C5D76" w:rsidRPr="004C5271">
        <w:rPr>
          <w:rFonts w:asciiTheme="majorBidi" w:hAnsiTheme="majorBidi" w:cstheme="majorBidi"/>
          <w:lang w:val="en-AU"/>
        </w:rPr>
        <w:t xml:space="preserve"> th</w:t>
      </w:r>
      <w:r w:rsidR="001367B2" w:rsidRPr="004C5271">
        <w:rPr>
          <w:rFonts w:asciiTheme="majorBidi" w:hAnsiTheme="majorBidi" w:cstheme="majorBidi"/>
          <w:lang w:val="en-AU"/>
        </w:rPr>
        <w:t>is</w:t>
      </w:r>
      <w:r w:rsidRPr="004C5271">
        <w:rPr>
          <w:rFonts w:asciiTheme="majorBidi" w:hAnsiTheme="majorBidi" w:cstheme="majorBidi"/>
          <w:lang w:val="en-AU"/>
        </w:rPr>
        <w:t xml:space="preserve"> </w:t>
      </w:r>
      <w:r w:rsidR="0067041A" w:rsidRPr="004C5271">
        <w:rPr>
          <w:rFonts w:asciiTheme="majorBidi" w:hAnsiTheme="majorBidi" w:cstheme="majorBidi"/>
          <w:lang w:val="en-AU"/>
        </w:rPr>
        <w:t>period</w:t>
      </w:r>
      <w:r w:rsidR="001C5D76" w:rsidRPr="004C5271">
        <w:rPr>
          <w:rFonts w:asciiTheme="majorBidi" w:hAnsiTheme="majorBidi" w:cstheme="majorBidi"/>
          <w:lang w:val="en-AU"/>
        </w:rPr>
        <w:t xml:space="preserve">, there were </w:t>
      </w:r>
      <w:r w:rsidR="00D716B9" w:rsidRPr="004C5271">
        <w:rPr>
          <w:rFonts w:asciiTheme="majorBidi" w:hAnsiTheme="majorBidi" w:cstheme="majorBidi"/>
          <w:lang w:val="en-AU"/>
        </w:rPr>
        <w:t xml:space="preserve">13 </w:t>
      </w:r>
      <w:r w:rsidR="001C5D76" w:rsidRPr="004C5271">
        <w:rPr>
          <w:rFonts w:asciiTheme="majorBidi" w:hAnsiTheme="majorBidi" w:cstheme="majorBidi"/>
          <w:lang w:val="en-AU"/>
        </w:rPr>
        <w:t xml:space="preserve">reported </w:t>
      </w:r>
      <w:r w:rsidR="00777832" w:rsidRPr="004C5271">
        <w:rPr>
          <w:rFonts w:asciiTheme="majorBidi" w:hAnsiTheme="majorBidi" w:cstheme="majorBidi"/>
          <w:lang w:val="en-AU"/>
        </w:rPr>
        <w:t>decisions</w:t>
      </w:r>
      <w:r w:rsidR="001C5D76" w:rsidRPr="004C5271">
        <w:rPr>
          <w:rFonts w:asciiTheme="majorBidi" w:hAnsiTheme="majorBidi" w:cstheme="majorBidi"/>
          <w:lang w:val="en-AU"/>
        </w:rPr>
        <w:t xml:space="preserve"> (1.3 per year average);</w:t>
      </w:r>
    </w:p>
    <w:p w14:paraId="36D0103C" w14:textId="44180A1D" w:rsidR="00D0344E" w:rsidRPr="004C5271" w:rsidRDefault="00FF7D8A" w:rsidP="004273B6">
      <w:pPr>
        <w:pStyle w:val="DotPointTLRI"/>
        <w:numPr>
          <w:ilvl w:val="0"/>
          <w:numId w:val="50"/>
        </w:numPr>
        <w:ind w:left="709" w:hanging="425"/>
        <w:rPr>
          <w:rFonts w:asciiTheme="majorBidi" w:hAnsiTheme="majorBidi" w:cstheme="majorBidi"/>
          <w:lang w:val="en-AU"/>
        </w:rPr>
      </w:pPr>
      <w:proofErr w:type="gramStart"/>
      <w:r w:rsidRPr="004C5271">
        <w:rPr>
          <w:rFonts w:asciiTheme="majorBidi" w:hAnsiTheme="majorBidi" w:cstheme="majorBidi"/>
          <w:lang w:val="en-AU"/>
        </w:rPr>
        <w:t>t</w:t>
      </w:r>
      <w:r w:rsidR="008E2EB9" w:rsidRPr="004C5271">
        <w:rPr>
          <w:rFonts w:asciiTheme="majorBidi" w:hAnsiTheme="majorBidi" w:cstheme="majorBidi"/>
          <w:lang w:val="en-AU"/>
        </w:rPr>
        <w:t>aking into account</w:t>
      </w:r>
      <w:proofErr w:type="gramEnd"/>
      <w:r w:rsidR="008E2EB9" w:rsidRPr="004C5271">
        <w:rPr>
          <w:rFonts w:asciiTheme="majorBidi" w:hAnsiTheme="majorBidi" w:cstheme="majorBidi"/>
          <w:lang w:val="en-AU"/>
        </w:rPr>
        <w:t xml:space="preserve"> the</w:t>
      </w:r>
      <w:r w:rsidRPr="004C5271">
        <w:rPr>
          <w:rFonts w:asciiTheme="majorBidi" w:hAnsiTheme="majorBidi" w:cstheme="majorBidi"/>
          <w:lang w:val="en-AU"/>
        </w:rPr>
        <w:t xml:space="preserve"> two</w:t>
      </w:r>
      <w:r w:rsidR="008E2EB9" w:rsidRPr="004C5271">
        <w:rPr>
          <w:rFonts w:asciiTheme="majorBidi" w:hAnsiTheme="majorBidi" w:cstheme="majorBidi"/>
          <w:lang w:val="en-AU"/>
        </w:rPr>
        <w:t xml:space="preserve"> </w:t>
      </w:r>
      <w:r w:rsidR="00183938" w:rsidRPr="004C5271">
        <w:rPr>
          <w:rFonts w:asciiTheme="majorBidi" w:hAnsiTheme="majorBidi" w:cstheme="majorBidi"/>
          <w:lang w:val="en-AU"/>
        </w:rPr>
        <w:t>cases</w:t>
      </w:r>
      <w:r w:rsidR="008E2EB9" w:rsidRPr="004C5271">
        <w:rPr>
          <w:rFonts w:asciiTheme="majorBidi" w:hAnsiTheme="majorBidi" w:cstheme="majorBidi"/>
          <w:lang w:val="en-AU"/>
        </w:rPr>
        <w:t xml:space="preserve"> involving multiple applicants,</w:t>
      </w:r>
      <w:bookmarkStart w:id="116" w:name="_Ref13309222"/>
      <w:r w:rsidRPr="004C5271">
        <w:rPr>
          <w:rStyle w:val="FootnoteReference"/>
          <w:rFonts w:asciiTheme="majorBidi" w:eastAsia="Times" w:hAnsiTheme="majorBidi" w:cstheme="majorBidi"/>
          <w:lang w:val="en-AU"/>
        </w:rPr>
        <w:footnoteReference w:id="247"/>
      </w:r>
      <w:bookmarkEnd w:id="116"/>
      <w:r w:rsidR="008E2EB9" w:rsidRPr="004C5271">
        <w:rPr>
          <w:rFonts w:asciiTheme="majorBidi" w:hAnsiTheme="majorBidi" w:cstheme="majorBidi"/>
          <w:lang w:val="en-AU"/>
        </w:rPr>
        <w:t xml:space="preserve"> there were 17 individual claims</w:t>
      </w:r>
      <w:r w:rsidR="00CD2A93" w:rsidRPr="004C5271">
        <w:rPr>
          <w:rFonts w:asciiTheme="majorBidi" w:hAnsiTheme="majorBidi" w:cstheme="majorBidi"/>
          <w:lang w:val="en-AU"/>
        </w:rPr>
        <w:t xml:space="preserve"> </w:t>
      </w:r>
      <w:r w:rsidR="00715044" w:rsidRPr="004C5271">
        <w:rPr>
          <w:rFonts w:asciiTheme="majorBidi" w:hAnsiTheme="majorBidi" w:cstheme="majorBidi"/>
          <w:lang w:val="en-AU"/>
        </w:rPr>
        <w:t xml:space="preserve">determined </w:t>
      </w:r>
      <w:r w:rsidR="00CD2A93" w:rsidRPr="004C5271">
        <w:rPr>
          <w:rFonts w:asciiTheme="majorBidi" w:hAnsiTheme="majorBidi" w:cstheme="majorBidi"/>
          <w:lang w:val="en-AU"/>
        </w:rPr>
        <w:t xml:space="preserve">(average </w:t>
      </w:r>
      <w:r w:rsidR="004B186A" w:rsidRPr="004C5271">
        <w:rPr>
          <w:rFonts w:asciiTheme="majorBidi" w:hAnsiTheme="majorBidi" w:cstheme="majorBidi"/>
          <w:lang w:val="en-AU"/>
        </w:rPr>
        <w:t>1.7 per year)</w:t>
      </w:r>
      <w:r w:rsidR="008E2EB9" w:rsidRPr="004C5271">
        <w:rPr>
          <w:rFonts w:asciiTheme="majorBidi" w:hAnsiTheme="majorBidi" w:cstheme="majorBidi"/>
          <w:lang w:val="en-AU"/>
        </w:rPr>
        <w:t xml:space="preserve">, </w:t>
      </w:r>
      <w:r w:rsidR="008C5433" w:rsidRPr="004C5271">
        <w:rPr>
          <w:rFonts w:asciiTheme="majorBidi" w:hAnsiTheme="majorBidi" w:cstheme="majorBidi"/>
          <w:lang w:val="en-AU"/>
        </w:rPr>
        <w:t xml:space="preserve">with </w:t>
      </w:r>
      <w:r w:rsidR="00C74487" w:rsidRPr="004C5271">
        <w:rPr>
          <w:rFonts w:asciiTheme="majorBidi" w:hAnsiTheme="majorBidi" w:cstheme="majorBidi"/>
          <w:lang w:val="en-AU"/>
        </w:rPr>
        <w:t>nine</w:t>
      </w:r>
      <w:r w:rsidR="008C5433" w:rsidRPr="004C5271">
        <w:rPr>
          <w:rFonts w:asciiTheme="majorBidi" w:hAnsiTheme="majorBidi" w:cstheme="majorBidi"/>
          <w:lang w:val="en-AU"/>
        </w:rPr>
        <w:t xml:space="preserve"> of those </w:t>
      </w:r>
      <w:r w:rsidR="001367B2" w:rsidRPr="004C5271">
        <w:rPr>
          <w:rFonts w:asciiTheme="majorBidi" w:hAnsiTheme="majorBidi" w:cstheme="majorBidi"/>
          <w:lang w:val="en-AU"/>
        </w:rPr>
        <w:t xml:space="preserve">claims being </w:t>
      </w:r>
      <w:r w:rsidR="008C5433" w:rsidRPr="004C5271">
        <w:rPr>
          <w:rFonts w:asciiTheme="majorBidi" w:hAnsiTheme="majorBidi" w:cstheme="majorBidi"/>
          <w:lang w:val="en-AU"/>
        </w:rPr>
        <w:t>successful (</w:t>
      </w:r>
      <w:r w:rsidRPr="004C5271">
        <w:rPr>
          <w:rFonts w:asciiTheme="majorBidi" w:hAnsiTheme="majorBidi" w:cstheme="majorBidi"/>
          <w:lang w:val="en-AU"/>
        </w:rPr>
        <w:t>52.9%);</w:t>
      </w:r>
    </w:p>
    <w:p w14:paraId="754D4014" w14:textId="2974CF44" w:rsidR="00D0344E" w:rsidRPr="004C5271" w:rsidRDefault="00777832"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w:t>
      </w:r>
      <w:r w:rsidR="00D0344E" w:rsidRPr="004C5271">
        <w:rPr>
          <w:rFonts w:asciiTheme="majorBidi" w:hAnsiTheme="majorBidi" w:cstheme="majorBidi"/>
          <w:lang w:val="en-AU"/>
        </w:rPr>
        <w:t xml:space="preserve">wo </w:t>
      </w:r>
      <w:r w:rsidR="00183938" w:rsidRPr="004C5271">
        <w:rPr>
          <w:rFonts w:asciiTheme="majorBidi" w:hAnsiTheme="majorBidi" w:cstheme="majorBidi"/>
          <w:lang w:val="en-AU"/>
        </w:rPr>
        <w:t>matters</w:t>
      </w:r>
      <w:r w:rsidRPr="004C5271">
        <w:rPr>
          <w:rFonts w:asciiTheme="majorBidi" w:hAnsiTheme="majorBidi" w:cstheme="majorBidi"/>
          <w:lang w:val="en-AU"/>
        </w:rPr>
        <w:t xml:space="preserve"> involved claims by surviving </w:t>
      </w:r>
      <w:r w:rsidR="00224C5A" w:rsidRPr="004C5271">
        <w:rPr>
          <w:rFonts w:asciiTheme="majorBidi" w:hAnsiTheme="majorBidi" w:cstheme="majorBidi"/>
          <w:lang w:val="en-AU"/>
        </w:rPr>
        <w:t>spouses</w:t>
      </w:r>
      <w:r w:rsidRPr="004C5271">
        <w:rPr>
          <w:rFonts w:asciiTheme="majorBidi" w:hAnsiTheme="majorBidi" w:cstheme="majorBidi"/>
          <w:lang w:val="en-AU"/>
        </w:rPr>
        <w:t xml:space="preserve"> (</w:t>
      </w:r>
      <w:r w:rsidR="00FF7D8A" w:rsidRPr="004C5271">
        <w:rPr>
          <w:rFonts w:asciiTheme="majorBidi" w:hAnsiTheme="majorBidi" w:cstheme="majorBidi"/>
          <w:lang w:val="en-AU"/>
        </w:rPr>
        <w:t>11.8</w:t>
      </w:r>
      <w:r w:rsidRPr="004C5271">
        <w:rPr>
          <w:rFonts w:asciiTheme="majorBidi" w:hAnsiTheme="majorBidi" w:cstheme="majorBidi"/>
          <w:lang w:val="en-AU"/>
        </w:rPr>
        <w:t xml:space="preserve">%), with the substantial majority </w:t>
      </w:r>
      <w:r w:rsidR="00FF7D8A" w:rsidRPr="004C5271">
        <w:rPr>
          <w:rFonts w:asciiTheme="majorBidi" w:hAnsiTheme="majorBidi" w:cstheme="majorBidi"/>
          <w:lang w:val="en-AU"/>
        </w:rPr>
        <w:t xml:space="preserve">commenced by </w:t>
      </w:r>
      <w:r w:rsidRPr="004C5271">
        <w:rPr>
          <w:rFonts w:asciiTheme="majorBidi" w:hAnsiTheme="majorBidi" w:cstheme="majorBidi"/>
          <w:lang w:val="en-AU"/>
        </w:rPr>
        <w:t>adult children (</w:t>
      </w:r>
      <w:r w:rsidR="00FF7D8A" w:rsidRPr="004C5271">
        <w:rPr>
          <w:rFonts w:asciiTheme="majorBidi" w:hAnsiTheme="majorBidi" w:cstheme="majorBidi"/>
          <w:lang w:val="en-AU"/>
        </w:rPr>
        <w:t>88.2</w:t>
      </w:r>
      <w:r w:rsidRPr="004C5271">
        <w:rPr>
          <w:rFonts w:asciiTheme="majorBidi" w:hAnsiTheme="majorBidi" w:cstheme="majorBidi"/>
          <w:lang w:val="en-AU"/>
        </w:rPr>
        <w:t xml:space="preserve">%); </w:t>
      </w:r>
      <w:r w:rsidR="00224C5A" w:rsidRPr="004C5271">
        <w:rPr>
          <w:rFonts w:asciiTheme="majorBidi" w:hAnsiTheme="majorBidi" w:cstheme="majorBidi"/>
          <w:lang w:val="en-AU"/>
        </w:rPr>
        <w:t>and</w:t>
      </w:r>
    </w:p>
    <w:p w14:paraId="2911ACDA" w14:textId="596A0B31" w:rsidR="00224C5A" w:rsidRPr="004C5271" w:rsidRDefault="00224C5A"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both claims by spouses were successful (100%)</w:t>
      </w:r>
      <w:r w:rsidR="00C06786" w:rsidRPr="004C5271">
        <w:rPr>
          <w:rFonts w:asciiTheme="majorBidi" w:hAnsiTheme="majorBidi" w:cstheme="majorBidi"/>
          <w:lang w:val="en-AU"/>
        </w:rPr>
        <w:t>,</w:t>
      </w:r>
      <w:r w:rsidRPr="004C5271">
        <w:rPr>
          <w:rFonts w:asciiTheme="majorBidi" w:hAnsiTheme="majorBidi" w:cstheme="majorBidi"/>
          <w:lang w:val="en-AU"/>
        </w:rPr>
        <w:t xml:space="preserve"> whilst </w:t>
      </w:r>
      <w:r w:rsidR="00C74487" w:rsidRPr="004C5271">
        <w:rPr>
          <w:rFonts w:asciiTheme="majorBidi" w:hAnsiTheme="majorBidi" w:cstheme="majorBidi"/>
          <w:lang w:val="en-AU"/>
        </w:rPr>
        <w:t>seven</w:t>
      </w:r>
      <w:r w:rsidRPr="004C5271">
        <w:rPr>
          <w:rFonts w:asciiTheme="majorBidi" w:hAnsiTheme="majorBidi" w:cstheme="majorBidi"/>
          <w:lang w:val="en-AU"/>
        </w:rPr>
        <w:t xml:space="preserve"> out of the 15 adult children claims </w:t>
      </w:r>
      <w:r w:rsidR="00460556" w:rsidRPr="004C5271">
        <w:rPr>
          <w:rFonts w:asciiTheme="majorBidi" w:hAnsiTheme="majorBidi" w:cstheme="majorBidi"/>
          <w:lang w:val="en-AU"/>
        </w:rPr>
        <w:t>were successful</w:t>
      </w:r>
      <w:r w:rsidRPr="004C5271">
        <w:rPr>
          <w:rFonts w:asciiTheme="majorBidi" w:hAnsiTheme="majorBidi" w:cstheme="majorBidi"/>
          <w:lang w:val="en-AU"/>
        </w:rPr>
        <w:t xml:space="preserve"> (46.7%)</w:t>
      </w:r>
      <w:r w:rsidR="009630C6" w:rsidRPr="004C5271">
        <w:rPr>
          <w:rFonts w:asciiTheme="majorBidi" w:hAnsiTheme="majorBidi" w:cstheme="majorBidi"/>
          <w:lang w:val="en-AU"/>
        </w:rPr>
        <w:t xml:space="preserve"> (total success rate 53%)</w:t>
      </w:r>
      <w:r w:rsidRPr="004C5271">
        <w:rPr>
          <w:rFonts w:asciiTheme="majorBidi" w:hAnsiTheme="majorBidi" w:cstheme="majorBidi"/>
          <w:lang w:val="en-AU"/>
        </w:rPr>
        <w:t>.</w:t>
      </w:r>
    </w:p>
    <w:p w14:paraId="32C7AAB6" w14:textId="1A388E44" w:rsidR="0067041A" w:rsidRPr="004C5271" w:rsidRDefault="00183938" w:rsidP="0048009B">
      <w:pPr>
        <w:pStyle w:val="NormalNumberedTextTLRI"/>
        <w:rPr>
          <w:rFonts w:asciiTheme="majorBidi" w:hAnsiTheme="majorBidi" w:cstheme="majorBidi"/>
          <w:lang w:val="en-AU"/>
        </w:rPr>
      </w:pPr>
      <w:r w:rsidRPr="004C5271">
        <w:rPr>
          <w:rFonts w:asciiTheme="majorBidi" w:hAnsiTheme="majorBidi" w:cstheme="majorBidi"/>
          <w:lang w:val="en-AU"/>
        </w:rPr>
        <w:t xml:space="preserve">To gauge the prevalence of disputes, it is useful to review the number of deaths </w:t>
      </w:r>
      <w:r w:rsidR="00C74487" w:rsidRPr="004C5271">
        <w:rPr>
          <w:rFonts w:asciiTheme="majorBidi" w:hAnsiTheme="majorBidi" w:cstheme="majorBidi"/>
          <w:lang w:val="en-AU"/>
        </w:rPr>
        <w:t xml:space="preserve">occurring </w:t>
      </w:r>
      <w:r w:rsidRPr="004C5271">
        <w:rPr>
          <w:rFonts w:asciiTheme="majorBidi" w:hAnsiTheme="majorBidi" w:cstheme="majorBidi"/>
          <w:lang w:val="en-AU"/>
        </w:rPr>
        <w:t xml:space="preserve">during that period. </w:t>
      </w:r>
      <w:r w:rsidR="00BB7B0C" w:rsidRPr="004C5271">
        <w:rPr>
          <w:rFonts w:asciiTheme="majorBidi" w:hAnsiTheme="majorBidi" w:cstheme="majorBidi"/>
          <w:lang w:val="en-AU"/>
        </w:rPr>
        <w:t xml:space="preserve">Australian Bureau of Statistics data </w:t>
      </w:r>
      <w:r w:rsidR="00C11EB6" w:rsidRPr="004C5271">
        <w:rPr>
          <w:rFonts w:asciiTheme="majorBidi" w:hAnsiTheme="majorBidi" w:cstheme="majorBidi"/>
          <w:lang w:val="en-AU"/>
        </w:rPr>
        <w:t>reveals</w:t>
      </w:r>
      <w:r w:rsidR="00BD03C4" w:rsidRPr="004C5271">
        <w:rPr>
          <w:rFonts w:asciiTheme="majorBidi" w:hAnsiTheme="majorBidi" w:cstheme="majorBidi"/>
          <w:lang w:val="en-AU"/>
        </w:rPr>
        <w:t xml:space="preserve"> that there were </w:t>
      </w:r>
      <w:r w:rsidR="00D243B2" w:rsidRPr="004C5271">
        <w:rPr>
          <w:rFonts w:asciiTheme="majorBidi" w:hAnsiTheme="majorBidi" w:cstheme="majorBidi"/>
          <w:lang w:val="en-AU"/>
        </w:rPr>
        <w:t>49</w:t>
      </w:r>
      <w:r w:rsidR="009700F4">
        <w:rPr>
          <w:rFonts w:asciiTheme="majorBidi" w:hAnsiTheme="majorBidi" w:cstheme="majorBidi"/>
          <w:lang w:val="en-AU"/>
        </w:rPr>
        <w:t>,</w:t>
      </w:r>
      <w:r w:rsidR="00D243B2" w:rsidRPr="004C5271">
        <w:rPr>
          <w:rFonts w:asciiTheme="majorBidi" w:hAnsiTheme="majorBidi" w:cstheme="majorBidi"/>
          <w:lang w:val="en-AU"/>
        </w:rPr>
        <w:t>889</w:t>
      </w:r>
      <w:r w:rsidR="00BD03C4" w:rsidRPr="004C5271">
        <w:rPr>
          <w:rFonts w:asciiTheme="majorBidi" w:hAnsiTheme="majorBidi" w:cstheme="majorBidi"/>
          <w:lang w:val="en-AU"/>
        </w:rPr>
        <w:t xml:space="preserve"> deaths in </w:t>
      </w:r>
      <w:r w:rsidR="009C31E8" w:rsidRPr="004C5271">
        <w:rPr>
          <w:rFonts w:asciiTheme="majorBidi" w:hAnsiTheme="majorBidi" w:cstheme="majorBidi"/>
          <w:lang w:val="en-AU"/>
        </w:rPr>
        <w:t xml:space="preserve">Tasmania </w:t>
      </w:r>
      <w:r w:rsidR="00BD03C4" w:rsidRPr="004C5271">
        <w:rPr>
          <w:rFonts w:asciiTheme="majorBidi" w:hAnsiTheme="majorBidi" w:cstheme="majorBidi"/>
          <w:lang w:val="en-AU"/>
        </w:rPr>
        <w:t xml:space="preserve">between 2009 and 2017 (statistics </w:t>
      </w:r>
      <w:r w:rsidR="007B591A" w:rsidRPr="004C5271">
        <w:rPr>
          <w:rFonts w:asciiTheme="majorBidi" w:hAnsiTheme="majorBidi" w:cstheme="majorBidi"/>
          <w:lang w:val="en-AU"/>
        </w:rPr>
        <w:t xml:space="preserve">are </w:t>
      </w:r>
      <w:r w:rsidR="00BD03C4" w:rsidRPr="004C5271">
        <w:rPr>
          <w:rFonts w:asciiTheme="majorBidi" w:hAnsiTheme="majorBidi" w:cstheme="majorBidi"/>
          <w:lang w:val="en-AU"/>
        </w:rPr>
        <w:t>unavailable for 2018 and 2019).</w:t>
      </w:r>
      <w:r w:rsidR="00BD03C4" w:rsidRPr="004C5271">
        <w:rPr>
          <w:rStyle w:val="FootnoteReference"/>
          <w:rFonts w:asciiTheme="majorBidi" w:hAnsiTheme="majorBidi" w:cstheme="majorBidi"/>
          <w:lang w:val="en-AU"/>
        </w:rPr>
        <w:footnoteReference w:id="248"/>
      </w:r>
      <w:r w:rsidR="00BD03C4" w:rsidRPr="004C5271">
        <w:rPr>
          <w:rFonts w:asciiTheme="majorBidi" w:hAnsiTheme="majorBidi" w:cstheme="majorBidi"/>
          <w:lang w:val="en-AU"/>
        </w:rPr>
        <w:t xml:space="preserve"> </w:t>
      </w:r>
      <w:r w:rsidR="0048009B" w:rsidRPr="004C5271">
        <w:rPr>
          <w:rFonts w:asciiTheme="majorBidi" w:hAnsiTheme="majorBidi" w:cstheme="majorBidi"/>
          <w:lang w:val="en-AU"/>
        </w:rPr>
        <w:t xml:space="preserve">Whilst it is not possible to draw accurate conclusions, it is apparent that the frequency </w:t>
      </w:r>
      <w:r w:rsidR="001367B2" w:rsidRPr="004C5271">
        <w:rPr>
          <w:rFonts w:asciiTheme="majorBidi" w:hAnsiTheme="majorBidi" w:cstheme="majorBidi"/>
          <w:lang w:val="en-AU"/>
        </w:rPr>
        <w:t xml:space="preserve">with </w:t>
      </w:r>
      <w:r w:rsidR="0048009B" w:rsidRPr="004C5271">
        <w:rPr>
          <w:rFonts w:asciiTheme="majorBidi" w:hAnsiTheme="majorBidi" w:cstheme="majorBidi"/>
          <w:lang w:val="en-AU"/>
        </w:rPr>
        <w:t xml:space="preserve">which family provision </w:t>
      </w:r>
      <w:r w:rsidR="00C74487" w:rsidRPr="004C5271">
        <w:rPr>
          <w:rFonts w:asciiTheme="majorBidi" w:hAnsiTheme="majorBidi" w:cstheme="majorBidi"/>
          <w:lang w:val="en-AU"/>
        </w:rPr>
        <w:t>hearings</w:t>
      </w:r>
      <w:r w:rsidR="0048009B" w:rsidRPr="004C5271">
        <w:rPr>
          <w:rFonts w:asciiTheme="majorBidi" w:hAnsiTheme="majorBidi" w:cstheme="majorBidi"/>
          <w:lang w:val="en-AU"/>
        </w:rPr>
        <w:t xml:space="preserve"> occur </w:t>
      </w:r>
      <w:r w:rsidR="0015651D" w:rsidRPr="004C5271">
        <w:rPr>
          <w:rFonts w:asciiTheme="majorBidi" w:hAnsiTheme="majorBidi" w:cstheme="majorBidi"/>
          <w:lang w:val="en-AU"/>
        </w:rPr>
        <w:t xml:space="preserve">as a percentage of all deaths </w:t>
      </w:r>
      <w:r w:rsidR="0048009B" w:rsidRPr="004C5271">
        <w:rPr>
          <w:rFonts w:asciiTheme="majorBidi" w:hAnsiTheme="majorBidi" w:cstheme="majorBidi"/>
          <w:lang w:val="en-AU"/>
        </w:rPr>
        <w:t xml:space="preserve">in Tasmania is relatively rare. </w:t>
      </w:r>
    </w:p>
    <w:p w14:paraId="35FC6C72" w14:textId="2192C448" w:rsidR="004273B6" w:rsidRPr="004C5271" w:rsidRDefault="0048009B" w:rsidP="0048009B">
      <w:pPr>
        <w:pStyle w:val="NormalNumberedTextTLRI"/>
        <w:rPr>
          <w:rFonts w:asciiTheme="majorBidi" w:hAnsiTheme="majorBidi" w:cstheme="majorBidi"/>
          <w:lang w:val="en-AU"/>
        </w:rPr>
      </w:pPr>
      <w:bookmarkStart w:id="117" w:name="_Ref13413555"/>
      <w:r w:rsidRPr="004C5271">
        <w:rPr>
          <w:rFonts w:asciiTheme="majorBidi" w:hAnsiTheme="majorBidi" w:cstheme="majorBidi"/>
          <w:lang w:val="en-AU"/>
        </w:rPr>
        <w:t>The fact that there are few matters that proceed to trial does not, however, mean that there is no</w:t>
      </w:r>
      <w:r w:rsidR="00D95C53" w:rsidRPr="004C5271">
        <w:rPr>
          <w:rFonts w:asciiTheme="majorBidi" w:hAnsiTheme="majorBidi" w:cstheme="majorBidi"/>
          <w:lang w:val="en-AU"/>
        </w:rPr>
        <w:t xml:space="preserve">t a </w:t>
      </w:r>
      <w:r w:rsidRPr="004C5271">
        <w:rPr>
          <w:rFonts w:asciiTheme="majorBidi" w:hAnsiTheme="majorBidi" w:cstheme="majorBidi"/>
          <w:lang w:val="en-AU"/>
        </w:rPr>
        <w:t>problem</w:t>
      </w:r>
      <w:r w:rsidR="009447CD" w:rsidRPr="004C5271">
        <w:rPr>
          <w:rFonts w:asciiTheme="majorBidi" w:hAnsiTheme="majorBidi" w:cstheme="majorBidi"/>
          <w:lang w:val="en-AU"/>
        </w:rPr>
        <w:t>.</w:t>
      </w:r>
      <w:r w:rsidRPr="004C5271">
        <w:rPr>
          <w:rFonts w:asciiTheme="majorBidi" w:hAnsiTheme="majorBidi" w:cstheme="majorBidi"/>
          <w:lang w:val="en-AU"/>
        </w:rPr>
        <w:t xml:space="preserve"> Many disputes may be resolved informally within families and between beneficiaries without </w:t>
      </w:r>
      <w:r w:rsidR="009C31E8" w:rsidRPr="004C5271">
        <w:rPr>
          <w:rFonts w:asciiTheme="majorBidi" w:hAnsiTheme="majorBidi" w:cstheme="majorBidi"/>
          <w:lang w:val="en-AU"/>
        </w:rPr>
        <w:t>c</w:t>
      </w:r>
      <w:r w:rsidR="0067041A" w:rsidRPr="004C5271">
        <w:rPr>
          <w:rFonts w:asciiTheme="majorBidi" w:hAnsiTheme="majorBidi" w:cstheme="majorBidi"/>
          <w:lang w:val="en-AU"/>
        </w:rPr>
        <w:t>ourt action</w:t>
      </w:r>
      <w:r w:rsidR="00715044" w:rsidRPr="004C5271">
        <w:rPr>
          <w:rFonts w:asciiTheme="majorBidi" w:hAnsiTheme="majorBidi" w:cstheme="majorBidi"/>
          <w:lang w:val="en-AU"/>
        </w:rPr>
        <w:t xml:space="preserve"> becoming necessary</w:t>
      </w:r>
      <w:r w:rsidRPr="004C5271">
        <w:rPr>
          <w:rFonts w:asciiTheme="majorBidi" w:hAnsiTheme="majorBidi" w:cstheme="majorBidi"/>
          <w:lang w:val="en-AU"/>
        </w:rPr>
        <w:t xml:space="preserve">. And </w:t>
      </w:r>
      <w:r w:rsidR="004273B6" w:rsidRPr="004C5271">
        <w:rPr>
          <w:rFonts w:asciiTheme="majorBidi" w:hAnsiTheme="majorBidi" w:cstheme="majorBidi"/>
          <w:lang w:val="en-AU"/>
        </w:rPr>
        <w:t>the statistics do</w:t>
      </w:r>
      <w:r w:rsidRPr="004C5271">
        <w:rPr>
          <w:rFonts w:asciiTheme="majorBidi" w:hAnsiTheme="majorBidi" w:cstheme="majorBidi"/>
          <w:lang w:val="en-AU"/>
        </w:rPr>
        <w:t xml:space="preserve"> not reveal the percentage of claims</w:t>
      </w:r>
      <w:r w:rsidR="0067041A" w:rsidRPr="004C5271">
        <w:rPr>
          <w:rFonts w:asciiTheme="majorBidi" w:hAnsiTheme="majorBidi" w:cstheme="majorBidi"/>
          <w:lang w:val="en-AU"/>
        </w:rPr>
        <w:t xml:space="preserve"> </w:t>
      </w:r>
      <w:r w:rsidR="0067041A" w:rsidRPr="004C5271">
        <w:rPr>
          <w:rFonts w:asciiTheme="majorBidi" w:hAnsiTheme="majorBidi" w:cstheme="majorBidi"/>
          <w:lang w:val="en-AU"/>
        </w:rPr>
        <w:lastRenderedPageBreak/>
        <w:t>that are</w:t>
      </w:r>
      <w:r w:rsidRPr="004C5271">
        <w:rPr>
          <w:rFonts w:asciiTheme="majorBidi" w:hAnsiTheme="majorBidi" w:cstheme="majorBidi"/>
          <w:lang w:val="en-AU"/>
        </w:rPr>
        <w:t xml:space="preserve"> commenced </w:t>
      </w:r>
      <w:r w:rsidR="0067041A" w:rsidRPr="004C5271">
        <w:rPr>
          <w:rFonts w:asciiTheme="majorBidi" w:hAnsiTheme="majorBidi" w:cstheme="majorBidi"/>
          <w:lang w:val="en-AU"/>
        </w:rPr>
        <w:t>but</w:t>
      </w:r>
      <w:r w:rsidRPr="004C5271">
        <w:rPr>
          <w:rFonts w:asciiTheme="majorBidi" w:hAnsiTheme="majorBidi" w:cstheme="majorBidi"/>
          <w:lang w:val="en-AU"/>
        </w:rPr>
        <w:t xml:space="preserve"> </w:t>
      </w:r>
      <w:r w:rsidR="0067041A" w:rsidRPr="004C5271">
        <w:rPr>
          <w:rFonts w:asciiTheme="majorBidi" w:hAnsiTheme="majorBidi" w:cstheme="majorBidi"/>
          <w:lang w:val="en-AU"/>
        </w:rPr>
        <w:t xml:space="preserve">are </w:t>
      </w:r>
      <w:r w:rsidRPr="004C5271">
        <w:rPr>
          <w:rFonts w:asciiTheme="majorBidi" w:hAnsiTheme="majorBidi" w:cstheme="majorBidi"/>
          <w:lang w:val="en-AU"/>
        </w:rPr>
        <w:t xml:space="preserve">resolved or abandoned before trial. </w:t>
      </w:r>
      <w:r w:rsidR="00261321" w:rsidRPr="004C5271">
        <w:rPr>
          <w:rFonts w:asciiTheme="majorBidi" w:hAnsiTheme="majorBidi" w:cstheme="majorBidi"/>
          <w:lang w:val="en-AU"/>
        </w:rPr>
        <w:t xml:space="preserve">Australian research, for example, found that only 31% of </w:t>
      </w:r>
      <w:r w:rsidR="00C74487" w:rsidRPr="004C5271">
        <w:rPr>
          <w:rFonts w:asciiTheme="majorBidi" w:hAnsiTheme="majorBidi" w:cstheme="majorBidi"/>
          <w:lang w:val="en-AU"/>
        </w:rPr>
        <w:t>the Public Trustees’</w:t>
      </w:r>
      <w:r w:rsidR="00261321" w:rsidRPr="004C5271">
        <w:rPr>
          <w:rFonts w:asciiTheme="majorBidi" w:hAnsiTheme="majorBidi" w:cstheme="majorBidi"/>
          <w:lang w:val="en-AU"/>
        </w:rPr>
        <w:t xml:space="preserve"> files </w:t>
      </w:r>
      <w:r w:rsidR="003F2AB2" w:rsidRPr="004C5271">
        <w:rPr>
          <w:rFonts w:asciiTheme="majorBidi" w:hAnsiTheme="majorBidi" w:cstheme="majorBidi"/>
          <w:lang w:val="en-AU"/>
        </w:rPr>
        <w:t xml:space="preserve">sampled </w:t>
      </w:r>
      <w:r w:rsidR="008A0925" w:rsidRPr="004C5271">
        <w:rPr>
          <w:rFonts w:asciiTheme="majorBidi" w:hAnsiTheme="majorBidi" w:cstheme="majorBidi"/>
          <w:lang w:val="en-AU"/>
        </w:rPr>
        <w:t xml:space="preserve">that </w:t>
      </w:r>
      <w:r w:rsidR="00261321" w:rsidRPr="004C5271">
        <w:rPr>
          <w:rFonts w:asciiTheme="majorBidi" w:hAnsiTheme="majorBidi" w:cstheme="majorBidi"/>
          <w:lang w:val="en-AU"/>
        </w:rPr>
        <w:t>involv</w:t>
      </w:r>
      <w:r w:rsidR="008A0925" w:rsidRPr="004C5271">
        <w:rPr>
          <w:rFonts w:asciiTheme="majorBidi" w:hAnsiTheme="majorBidi" w:cstheme="majorBidi"/>
          <w:lang w:val="en-AU"/>
        </w:rPr>
        <w:t>ed</w:t>
      </w:r>
      <w:r w:rsidR="00261321" w:rsidRPr="004C5271">
        <w:rPr>
          <w:rFonts w:asciiTheme="majorBidi" w:hAnsiTheme="majorBidi" w:cstheme="majorBidi"/>
          <w:lang w:val="en-AU"/>
        </w:rPr>
        <w:t xml:space="preserve"> estate disputes </w:t>
      </w:r>
      <w:r w:rsidR="0015651D" w:rsidRPr="004C5271">
        <w:rPr>
          <w:rFonts w:asciiTheme="majorBidi" w:hAnsiTheme="majorBidi" w:cstheme="majorBidi"/>
          <w:lang w:val="en-AU"/>
        </w:rPr>
        <w:t>resulted in a</w:t>
      </w:r>
      <w:r w:rsidR="00261321" w:rsidRPr="004C5271">
        <w:rPr>
          <w:rFonts w:asciiTheme="majorBidi" w:hAnsiTheme="majorBidi" w:cstheme="majorBidi"/>
          <w:lang w:val="en-AU"/>
        </w:rPr>
        <w:t xml:space="preserve"> trial.</w:t>
      </w:r>
      <w:bookmarkStart w:id="118" w:name="_Ref13331157"/>
      <w:r w:rsidR="00261321" w:rsidRPr="004C5271">
        <w:rPr>
          <w:rStyle w:val="FootnoteReference"/>
          <w:rFonts w:asciiTheme="majorBidi" w:hAnsiTheme="majorBidi" w:cstheme="majorBidi"/>
        </w:rPr>
        <w:footnoteReference w:id="249"/>
      </w:r>
      <w:bookmarkEnd w:id="118"/>
      <w:r w:rsidR="00247D6B" w:rsidRPr="004C5271">
        <w:rPr>
          <w:rFonts w:asciiTheme="majorBidi" w:hAnsiTheme="majorBidi" w:cstheme="majorBidi"/>
          <w:lang w:val="en-AU"/>
        </w:rPr>
        <w:t xml:space="preserve"> </w:t>
      </w:r>
      <w:r w:rsidR="0015651D" w:rsidRPr="004C5271">
        <w:rPr>
          <w:rFonts w:asciiTheme="majorBidi" w:hAnsiTheme="majorBidi" w:cstheme="majorBidi"/>
          <w:lang w:val="en-AU"/>
        </w:rPr>
        <w:t xml:space="preserve">The Supreme Court of Tasmania </w:t>
      </w:r>
      <w:r w:rsidR="001367B2" w:rsidRPr="004C5271">
        <w:rPr>
          <w:rFonts w:asciiTheme="majorBidi" w:hAnsiTheme="majorBidi" w:cstheme="majorBidi"/>
          <w:lang w:val="en-AU"/>
        </w:rPr>
        <w:t xml:space="preserve">advised the </w:t>
      </w:r>
      <w:r w:rsidR="0042726D" w:rsidRPr="004C5271">
        <w:rPr>
          <w:rFonts w:asciiTheme="majorBidi" w:hAnsiTheme="majorBidi" w:cstheme="majorBidi"/>
          <w:lang w:val="en-AU"/>
        </w:rPr>
        <w:t>Institute</w:t>
      </w:r>
      <w:r w:rsidR="0015651D" w:rsidRPr="004C5271">
        <w:rPr>
          <w:rFonts w:asciiTheme="majorBidi" w:hAnsiTheme="majorBidi" w:cstheme="majorBidi"/>
          <w:lang w:val="en-AU"/>
        </w:rPr>
        <w:t xml:space="preserve"> that </w:t>
      </w:r>
      <w:r w:rsidR="00D862A4" w:rsidRPr="004C5271">
        <w:rPr>
          <w:rFonts w:asciiTheme="majorBidi" w:hAnsiTheme="majorBidi" w:cstheme="majorBidi"/>
          <w:lang w:val="en-AU"/>
        </w:rPr>
        <w:t xml:space="preserve">approximately </w:t>
      </w:r>
      <w:r w:rsidR="009630C6" w:rsidRPr="004C5271">
        <w:rPr>
          <w:rFonts w:asciiTheme="majorBidi" w:hAnsiTheme="majorBidi" w:cstheme="majorBidi"/>
          <w:lang w:val="en-AU"/>
        </w:rPr>
        <w:t xml:space="preserve">60 to </w:t>
      </w:r>
      <w:r w:rsidR="00D862A4" w:rsidRPr="004C5271">
        <w:rPr>
          <w:rFonts w:asciiTheme="majorBidi" w:hAnsiTheme="majorBidi" w:cstheme="majorBidi"/>
          <w:lang w:val="en-AU"/>
        </w:rPr>
        <w:t>65%</w:t>
      </w:r>
      <w:r w:rsidR="009630C6" w:rsidRPr="004C5271">
        <w:rPr>
          <w:rFonts w:asciiTheme="majorBidi" w:hAnsiTheme="majorBidi" w:cstheme="majorBidi"/>
          <w:lang w:val="en-AU"/>
        </w:rPr>
        <w:t xml:space="preserve"> </w:t>
      </w:r>
      <w:r w:rsidR="00D862A4" w:rsidRPr="004C5271">
        <w:rPr>
          <w:rFonts w:asciiTheme="majorBidi" w:hAnsiTheme="majorBidi" w:cstheme="majorBidi"/>
          <w:lang w:val="en-AU"/>
        </w:rPr>
        <w:t xml:space="preserve">of </w:t>
      </w:r>
      <w:r w:rsidR="009630C6" w:rsidRPr="004C5271">
        <w:rPr>
          <w:rFonts w:asciiTheme="majorBidi" w:hAnsiTheme="majorBidi" w:cstheme="majorBidi"/>
          <w:lang w:val="en-AU"/>
        </w:rPr>
        <w:t>civil matters</w:t>
      </w:r>
      <w:r w:rsidR="00D862A4" w:rsidRPr="004C5271">
        <w:rPr>
          <w:rFonts w:asciiTheme="majorBidi" w:hAnsiTheme="majorBidi" w:cstheme="majorBidi"/>
          <w:lang w:val="en-AU"/>
        </w:rPr>
        <w:t xml:space="preserve"> </w:t>
      </w:r>
      <w:r w:rsidR="009630C6" w:rsidRPr="004C5271">
        <w:rPr>
          <w:rFonts w:asciiTheme="majorBidi" w:hAnsiTheme="majorBidi" w:cstheme="majorBidi"/>
          <w:lang w:val="en-AU"/>
        </w:rPr>
        <w:t xml:space="preserve">(including family provision claims) </w:t>
      </w:r>
      <w:r w:rsidR="00D862A4" w:rsidRPr="004C5271">
        <w:rPr>
          <w:rFonts w:asciiTheme="majorBidi" w:hAnsiTheme="majorBidi" w:cstheme="majorBidi"/>
          <w:lang w:val="en-AU"/>
        </w:rPr>
        <w:t>are settled at mediation</w:t>
      </w:r>
      <w:r w:rsidR="009630C6" w:rsidRPr="004C5271">
        <w:rPr>
          <w:rFonts w:asciiTheme="majorBidi" w:hAnsiTheme="majorBidi" w:cstheme="majorBidi"/>
          <w:lang w:val="en-AU"/>
        </w:rPr>
        <w:t xml:space="preserve"> and a large proportion settle after mediation</w:t>
      </w:r>
      <w:r w:rsidR="00D862A4" w:rsidRPr="004C5271">
        <w:rPr>
          <w:rFonts w:asciiTheme="majorBidi" w:hAnsiTheme="majorBidi" w:cstheme="majorBidi"/>
          <w:lang w:val="en-AU"/>
        </w:rPr>
        <w:t>.</w:t>
      </w:r>
      <w:bookmarkEnd w:id="117"/>
      <w:r w:rsidR="00D862A4" w:rsidRPr="004C5271">
        <w:rPr>
          <w:rFonts w:asciiTheme="majorBidi" w:hAnsiTheme="majorBidi" w:cstheme="majorBidi"/>
          <w:lang w:val="en-AU"/>
        </w:rPr>
        <w:t xml:space="preserve"> </w:t>
      </w:r>
    </w:p>
    <w:p w14:paraId="64D5D09C" w14:textId="56261A9E" w:rsidR="00261321" w:rsidRPr="004C5271" w:rsidRDefault="00247D6B" w:rsidP="0048009B">
      <w:pPr>
        <w:pStyle w:val="NormalNumberedTextTLRI"/>
        <w:rPr>
          <w:rFonts w:asciiTheme="majorBidi" w:hAnsiTheme="majorBidi" w:cstheme="majorBidi"/>
          <w:lang w:val="en-AU"/>
        </w:rPr>
      </w:pPr>
      <w:r w:rsidRPr="004C5271">
        <w:rPr>
          <w:rFonts w:asciiTheme="majorBidi" w:hAnsiTheme="majorBidi" w:cstheme="majorBidi"/>
          <w:lang w:val="en-AU"/>
        </w:rPr>
        <w:t>The Supreme Court’s Annual Report</w:t>
      </w:r>
      <w:r w:rsidR="00C74487" w:rsidRPr="004C5271">
        <w:rPr>
          <w:rFonts w:asciiTheme="majorBidi" w:hAnsiTheme="majorBidi" w:cstheme="majorBidi"/>
          <w:lang w:val="en-AU"/>
        </w:rPr>
        <w:t>s</w:t>
      </w:r>
      <w:r w:rsidRPr="004C5271">
        <w:rPr>
          <w:rFonts w:asciiTheme="majorBidi" w:hAnsiTheme="majorBidi" w:cstheme="majorBidi"/>
          <w:lang w:val="en-AU"/>
        </w:rPr>
        <w:t xml:space="preserve"> </w:t>
      </w:r>
      <w:r w:rsidR="00A5118D" w:rsidRPr="004C5271">
        <w:rPr>
          <w:rFonts w:asciiTheme="majorBidi" w:hAnsiTheme="majorBidi" w:cstheme="majorBidi"/>
          <w:lang w:val="en-AU"/>
        </w:rPr>
        <w:t>contain</w:t>
      </w:r>
      <w:r w:rsidR="009630C6" w:rsidRPr="004C5271">
        <w:rPr>
          <w:rFonts w:asciiTheme="majorBidi" w:hAnsiTheme="majorBidi" w:cstheme="majorBidi"/>
          <w:lang w:val="en-AU"/>
        </w:rPr>
        <w:t xml:space="preserve"> data of</w:t>
      </w:r>
      <w:r w:rsidR="00715044" w:rsidRPr="004C5271">
        <w:rPr>
          <w:rFonts w:asciiTheme="majorBidi" w:hAnsiTheme="majorBidi" w:cstheme="majorBidi"/>
          <w:lang w:val="en-AU"/>
        </w:rPr>
        <w:t xml:space="preserve"> the number of Grants finalised each year and number of family provision claims filed. These</w:t>
      </w:r>
      <w:r w:rsidR="004273B6" w:rsidRPr="004C5271">
        <w:rPr>
          <w:rFonts w:asciiTheme="majorBidi" w:hAnsiTheme="majorBidi" w:cstheme="majorBidi"/>
          <w:lang w:val="en-AU"/>
        </w:rPr>
        <w:t xml:space="preserve"> details are </w:t>
      </w:r>
      <w:r w:rsidR="00C74487" w:rsidRPr="004C5271">
        <w:rPr>
          <w:rFonts w:asciiTheme="majorBidi" w:hAnsiTheme="majorBidi" w:cstheme="majorBidi"/>
          <w:lang w:val="en-AU"/>
        </w:rPr>
        <w:t>outlined</w:t>
      </w:r>
      <w:r w:rsidR="004273B6" w:rsidRPr="004C5271">
        <w:rPr>
          <w:rFonts w:asciiTheme="majorBidi" w:hAnsiTheme="majorBidi" w:cstheme="majorBidi"/>
          <w:lang w:val="en-AU"/>
        </w:rPr>
        <w:t xml:space="preserve"> in </w:t>
      </w:r>
      <w:r w:rsidR="00D95C53" w:rsidRPr="004C5271">
        <w:rPr>
          <w:rFonts w:asciiTheme="majorBidi" w:hAnsiTheme="majorBidi" w:cstheme="majorBidi"/>
          <w:lang w:val="en-AU"/>
        </w:rPr>
        <w:t xml:space="preserve">Table </w:t>
      </w:r>
      <w:r w:rsidR="004273B6" w:rsidRPr="004C5271">
        <w:rPr>
          <w:rFonts w:asciiTheme="majorBidi" w:hAnsiTheme="majorBidi" w:cstheme="majorBidi"/>
          <w:lang w:val="en-AU"/>
        </w:rPr>
        <w:t>1.</w:t>
      </w:r>
    </w:p>
    <w:p w14:paraId="435FAEE2" w14:textId="0ED81557" w:rsidR="004273B6" w:rsidRPr="004C5271" w:rsidRDefault="00D95C53" w:rsidP="003E6695">
      <w:pPr>
        <w:pStyle w:val="NormalNumberedTextTLRI"/>
        <w:numPr>
          <w:ilvl w:val="0"/>
          <w:numId w:val="0"/>
        </w:numPr>
        <w:spacing w:after="120"/>
        <w:rPr>
          <w:rFonts w:asciiTheme="majorBidi" w:hAnsiTheme="majorBidi" w:cstheme="majorBidi"/>
          <w:b/>
          <w:bCs/>
          <w:sz w:val="20"/>
          <w:lang w:val="en-AU"/>
        </w:rPr>
      </w:pPr>
      <w:r w:rsidRPr="004C5271">
        <w:rPr>
          <w:rFonts w:asciiTheme="majorBidi" w:hAnsiTheme="majorBidi" w:cstheme="majorBidi"/>
          <w:b/>
          <w:bCs/>
          <w:sz w:val="20"/>
          <w:lang w:val="en-AU"/>
        </w:rPr>
        <w:t xml:space="preserve">Table </w:t>
      </w:r>
      <w:r w:rsidR="004273B6" w:rsidRPr="004C5271">
        <w:rPr>
          <w:rFonts w:asciiTheme="majorBidi" w:hAnsiTheme="majorBidi" w:cstheme="majorBidi"/>
          <w:b/>
          <w:bCs/>
          <w:sz w:val="20"/>
          <w:lang w:val="en-AU"/>
        </w:rPr>
        <w:t xml:space="preserve">1: Number of Grants </w:t>
      </w:r>
      <w:proofErr w:type="gramStart"/>
      <w:r w:rsidR="004273B6" w:rsidRPr="004C5271">
        <w:rPr>
          <w:rFonts w:asciiTheme="majorBidi" w:hAnsiTheme="majorBidi" w:cstheme="majorBidi"/>
          <w:b/>
          <w:bCs/>
          <w:sz w:val="20"/>
          <w:lang w:val="en-AU"/>
        </w:rPr>
        <w:t>made</w:t>
      </w:r>
      <w:proofErr w:type="gramEnd"/>
      <w:r w:rsidR="004273B6" w:rsidRPr="004C5271">
        <w:rPr>
          <w:rFonts w:asciiTheme="majorBidi" w:hAnsiTheme="majorBidi" w:cstheme="majorBidi"/>
          <w:b/>
          <w:bCs/>
          <w:sz w:val="20"/>
          <w:lang w:val="en-AU"/>
        </w:rPr>
        <w:t xml:space="preserve"> and family provision claims filed</w:t>
      </w:r>
      <w:r w:rsidR="00401DF1" w:rsidRPr="004C5271">
        <w:rPr>
          <w:rFonts w:asciiTheme="majorBidi" w:hAnsiTheme="majorBidi" w:cstheme="majorBidi"/>
          <w:b/>
          <w:bCs/>
          <w:sz w:val="20"/>
          <w:lang w:val="en-AU"/>
        </w:rPr>
        <w:t xml:space="preserve">/determined </w:t>
      </w:r>
      <w:r w:rsidR="004273B6" w:rsidRPr="004C5271">
        <w:rPr>
          <w:rFonts w:asciiTheme="majorBidi" w:hAnsiTheme="majorBidi" w:cstheme="majorBidi"/>
          <w:b/>
          <w:bCs/>
          <w:sz w:val="20"/>
          <w:lang w:val="en-AU"/>
        </w:rPr>
        <w:t>per year</w:t>
      </w:r>
      <w:r w:rsidR="000D6F4B" w:rsidRPr="004C5271">
        <w:rPr>
          <w:rStyle w:val="FootnoteReference"/>
          <w:rFonts w:asciiTheme="majorBidi" w:hAnsiTheme="majorBidi" w:cstheme="majorBidi"/>
        </w:rPr>
        <w:footnoteReference w:id="250"/>
      </w:r>
    </w:p>
    <w:tbl>
      <w:tblPr>
        <w:tblStyle w:val="TableGrid"/>
        <w:tblW w:w="5000" w:type="pct"/>
        <w:jc w:val="center"/>
        <w:tblLook w:val="04A0" w:firstRow="1" w:lastRow="0" w:firstColumn="1" w:lastColumn="0" w:noHBand="0" w:noVBand="1"/>
      </w:tblPr>
      <w:tblGrid>
        <w:gridCol w:w="1072"/>
        <w:gridCol w:w="1575"/>
        <w:gridCol w:w="1419"/>
        <w:gridCol w:w="1657"/>
        <w:gridCol w:w="1366"/>
      </w:tblGrid>
      <w:tr w:rsidR="00FB4757" w:rsidRPr="004C5271" w14:paraId="3AE6A750" w14:textId="56BF79E8" w:rsidTr="00B57468">
        <w:trPr>
          <w:trHeight w:hRule="exact" w:val="797"/>
          <w:jc w:val="center"/>
        </w:trPr>
        <w:tc>
          <w:tcPr>
            <w:tcW w:w="675" w:type="pct"/>
            <w:shd w:val="clear" w:color="auto" w:fill="D9D9D9" w:themeFill="background1" w:themeFillShade="D9"/>
            <w:vAlign w:val="center"/>
          </w:tcPr>
          <w:p w14:paraId="67A627A3" w14:textId="3978CFFA" w:rsidR="00560A9A" w:rsidRPr="004C5271" w:rsidRDefault="00560A9A" w:rsidP="00FB4757">
            <w:pPr>
              <w:pStyle w:val="NormalNumberedTextTLRI"/>
              <w:numPr>
                <w:ilvl w:val="0"/>
                <w:numId w:val="0"/>
              </w:numPr>
              <w:spacing w:before="40" w:after="40" w:line="240" w:lineRule="auto"/>
              <w:jc w:val="left"/>
              <w:rPr>
                <w:rFonts w:asciiTheme="majorBidi" w:hAnsiTheme="majorBidi" w:cstheme="majorBidi"/>
                <w:b/>
                <w:bCs/>
                <w:sz w:val="20"/>
                <w:lang w:val="en-AU"/>
              </w:rPr>
            </w:pPr>
            <w:r w:rsidRPr="004C5271">
              <w:rPr>
                <w:rFonts w:asciiTheme="majorBidi" w:hAnsiTheme="majorBidi" w:cstheme="majorBidi"/>
                <w:b/>
                <w:bCs/>
                <w:sz w:val="20"/>
                <w:lang w:val="en-AU"/>
              </w:rPr>
              <w:t>Financial Year</w:t>
            </w:r>
          </w:p>
        </w:tc>
        <w:tc>
          <w:tcPr>
            <w:tcW w:w="1131" w:type="pct"/>
            <w:shd w:val="clear" w:color="auto" w:fill="D9D9D9" w:themeFill="background1" w:themeFillShade="D9"/>
            <w:vAlign w:val="center"/>
          </w:tcPr>
          <w:p w14:paraId="6C4B8A54" w14:textId="3D25CFEB" w:rsidR="00560A9A" w:rsidRPr="004C5271" w:rsidRDefault="00560A9A" w:rsidP="00B57468">
            <w:pPr>
              <w:pStyle w:val="NormalNumberedTextTLRI"/>
              <w:numPr>
                <w:ilvl w:val="0"/>
                <w:numId w:val="0"/>
              </w:numPr>
              <w:spacing w:before="40" w:after="40"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No. Applications for a Grant* Finalised</w:t>
            </w:r>
          </w:p>
        </w:tc>
        <w:tc>
          <w:tcPr>
            <w:tcW w:w="1021" w:type="pct"/>
            <w:shd w:val="clear" w:color="auto" w:fill="D9D9D9" w:themeFill="background1" w:themeFillShade="D9"/>
            <w:vAlign w:val="center"/>
          </w:tcPr>
          <w:p w14:paraId="2906AADC" w14:textId="1CA06A67" w:rsidR="00560A9A" w:rsidRPr="004C5271" w:rsidRDefault="00560A9A" w:rsidP="00B57468">
            <w:pPr>
              <w:pStyle w:val="NormalNumberedTextTLRI"/>
              <w:numPr>
                <w:ilvl w:val="0"/>
                <w:numId w:val="0"/>
              </w:numPr>
              <w:spacing w:before="40" w:after="40"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No. Family Provision claims filed</w:t>
            </w:r>
          </w:p>
        </w:tc>
        <w:tc>
          <w:tcPr>
            <w:tcW w:w="1189" w:type="pct"/>
            <w:shd w:val="clear" w:color="auto" w:fill="D9D9D9" w:themeFill="background1" w:themeFillShade="D9"/>
            <w:vAlign w:val="center"/>
          </w:tcPr>
          <w:p w14:paraId="7FD57496" w14:textId="7C85126C" w:rsidR="00560A9A" w:rsidRPr="004C5271" w:rsidRDefault="00560A9A" w:rsidP="00B57468">
            <w:pPr>
              <w:pStyle w:val="NormalNumberedTextTLRI"/>
              <w:numPr>
                <w:ilvl w:val="0"/>
                <w:numId w:val="0"/>
              </w:numPr>
              <w:spacing w:before="40" w:after="40"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Percentage of claims to Grants made</w:t>
            </w:r>
          </w:p>
        </w:tc>
        <w:tc>
          <w:tcPr>
            <w:tcW w:w="984" w:type="pct"/>
            <w:shd w:val="clear" w:color="auto" w:fill="D9D9D9" w:themeFill="background1" w:themeFillShade="D9"/>
            <w:vAlign w:val="center"/>
          </w:tcPr>
          <w:p w14:paraId="0AB48E41" w14:textId="52F32DE1" w:rsidR="00560A9A" w:rsidRPr="004C5271" w:rsidRDefault="00401DF1" w:rsidP="00B57468">
            <w:pPr>
              <w:pStyle w:val="NormalNumberedTextTLRI"/>
              <w:numPr>
                <w:ilvl w:val="0"/>
                <w:numId w:val="0"/>
              </w:numPr>
              <w:spacing w:before="40" w:after="40"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Number of reported decisions</w:t>
            </w:r>
          </w:p>
        </w:tc>
      </w:tr>
      <w:tr w:rsidR="00FB4757" w:rsidRPr="004C5271" w14:paraId="639554C5" w14:textId="4BC20657" w:rsidTr="00B57468">
        <w:trPr>
          <w:trHeight w:hRule="exact" w:val="465"/>
          <w:jc w:val="center"/>
        </w:trPr>
        <w:tc>
          <w:tcPr>
            <w:tcW w:w="675" w:type="pct"/>
            <w:vAlign w:val="center"/>
          </w:tcPr>
          <w:p w14:paraId="3DAD759D" w14:textId="203BEBDC" w:rsidR="00560A9A" w:rsidRPr="004C5271" w:rsidRDefault="00560A9A" w:rsidP="003E6695">
            <w:pPr>
              <w:pStyle w:val="NormalNumberedTextTLRI"/>
              <w:numPr>
                <w:ilvl w:val="0"/>
                <w:numId w:val="0"/>
              </w:numPr>
              <w:spacing w:before="40" w:after="40" w:line="240" w:lineRule="auto"/>
              <w:jc w:val="left"/>
              <w:rPr>
                <w:rFonts w:asciiTheme="majorBidi" w:hAnsiTheme="majorBidi" w:cstheme="majorBidi"/>
                <w:sz w:val="20"/>
                <w:lang w:val="en-AU"/>
              </w:rPr>
            </w:pPr>
            <w:r w:rsidRPr="004C5271">
              <w:rPr>
                <w:rFonts w:asciiTheme="majorBidi" w:hAnsiTheme="majorBidi" w:cstheme="majorBidi"/>
                <w:sz w:val="20"/>
                <w:lang w:val="en-AU"/>
              </w:rPr>
              <w:t>2017/2018</w:t>
            </w:r>
          </w:p>
        </w:tc>
        <w:tc>
          <w:tcPr>
            <w:tcW w:w="1131" w:type="pct"/>
            <w:vAlign w:val="center"/>
          </w:tcPr>
          <w:p w14:paraId="4285E1CD" w14:textId="4623BB76"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2</w:t>
            </w:r>
            <w:r w:rsidR="003E6695" w:rsidRPr="004C5271">
              <w:rPr>
                <w:rFonts w:asciiTheme="majorBidi" w:hAnsiTheme="majorBidi" w:cstheme="majorBidi"/>
                <w:sz w:val="20"/>
                <w:lang w:val="en-AU"/>
              </w:rPr>
              <w:t>,</w:t>
            </w:r>
            <w:r w:rsidRPr="004C5271">
              <w:rPr>
                <w:rFonts w:asciiTheme="majorBidi" w:hAnsiTheme="majorBidi" w:cstheme="majorBidi"/>
                <w:sz w:val="20"/>
                <w:lang w:val="en-AU"/>
              </w:rPr>
              <w:t>266</w:t>
            </w:r>
          </w:p>
        </w:tc>
        <w:tc>
          <w:tcPr>
            <w:tcW w:w="1021" w:type="pct"/>
            <w:vAlign w:val="center"/>
          </w:tcPr>
          <w:p w14:paraId="2534402E" w14:textId="72F6C5C4"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34</w:t>
            </w:r>
          </w:p>
        </w:tc>
        <w:tc>
          <w:tcPr>
            <w:tcW w:w="1189" w:type="pct"/>
            <w:vAlign w:val="center"/>
          </w:tcPr>
          <w:p w14:paraId="608EDBDB" w14:textId="74CDC188"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1.50%</w:t>
            </w:r>
          </w:p>
        </w:tc>
        <w:tc>
          <w:tcPr>
            <w:tcW w:w="984" w:type="pct"/>
            <w:vAlign w:val="center"/>
          </w:tcPr>
          <w:p w14:paraId="6D7A1051" w14:textId="5633FA89" w:rsidR="00560A9A" w:rsidRPr="004C5271" w:rsidRDefault="00401DF1"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0</w:t>
            </w:r>
          </w:p>
        </w:tc>
      </w:tr>
      <w:tr w:rsidR="00FB4757" w:rsidRPr="004C5271" w14:paraId="379C5665" w14:textId="7ED0F606" w:rsidTr="00B57468">
        <w:trPr>
          <w:trHeight w:hRule="exact" w:val="465"/>
          <w:jc w:val="center"/>
        </w:trPr>
        <w:tc>
          <w:tcPr>
            <w:tcW w:w="675" w:type="pct"/>
            <w:vAlign w:val="center"/>
          </w:tcPr>
          <w:p w14:paraId="72E1FF33" w14:textId="5A7B7D63" w:rsidR="00560A9A" w:rsidRPr="004C5271" w:rsidRDefault="00560A9A" w:rsidP="003E6695">
            <w:pPr>
              <w:pStyle w:val="NormalNumberedTextTLRI"/>
              <w:numPr>
                <w:ilvl w:val="0"/>
                <w:numId w:val="0"/>
              </w:numPr>
              <w:spacing w:before="40" w:after="40" w:line="240" w:lineRule="auto"/>
              <w:jc w:val="left"/>
              <w:rPr>
                <w:rFonts w:asciiTheme="majorBidi" w:hAnsiTheme="majorBidi" w:cstheme="majorBidi"/>
                <w:sz w:val="20"/>
                <w:lang w:val="en-AU"/>
              </w:rPr>
            </w:pPr>
            <w:r w:rsidRPr="004C5271">
              <w:rPr>
                <w:rFonts w:asciiTheme="majorBidi" w:hAnsiTheme="majorBidi" w:cstheme="majorBidi"/>
                <w:sz w:val="20"/>
                <w:lang w:val="en-AU"/>
              </w:rPr>
              <w:t>2016/2017</w:t>
            </w:r>
          </w:p>
        </w:tc>
        <w:tc>
          <w:tcPr>
            <w:tcW w:w="1131" w:type="pct"/>
            <w:vAlign w:val="center"/>
          </w:tcPr>
          <w:p w14:paraId="63084E79" w14:textId="73F11EEB"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2</w:t>
            </w:r>
            <w:r w:rsidR="003E6695" w:rsidRPr="004C5271">
              <w:rPr>
                <w:rFonts w:asciiTheme="majorBidi" w:hAnsiTheme="majorBidi" w:cstheme="majorBidi"/>
                <w:sz w:val="20"/>
                <w:lang w:val="en-AU"/>
              </w:rPr>
              <w:t>,</w:t>
            </w:r>
            <w:r w:rsidRPr="004C5271">
              <w:rPr>
                <w:rFonts w:asciiTheme="majorBidi" w:hAnsiTheme="majorBidi" w:cstheme="majorBidi"/>
                <w:sz w:val="20"/>
                <w:lang w:val="en-AU"/>
              </w:rPr>
              <w:t>330</w:t>
            </w:r>
          </w:p>
        </w:tc>
        <w:tc>
          <w:tcPr>
            <w:tcW w:w="1021" w:type="pct"/>
            <w:vAlign w:val="center"/>
          </w:tcPr>
          <w:p w14:paraId="50B7570A" w14:textId="2DC785D4"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44</w:t>
            </w:r>
          </w:p>
        </w:tc>
        <w:tc>
          <w:tcPr>
            <w:tcW w:w="1189" w:type="pct"/>
            <w:vAlign w:val="center"/>
          </w:tcPr>
          <w:p w14:paraId="249307BB" w14:textId="5F787E80"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1.89%</w:t>
            </w:r>
          </w:p>
        </w:tc>
        <w:tc>
          <w:tcPr>
            <w:tcW w:w="984" w:type="pct"/>
            <w:vAlign w:val="center"/>
          </w:tcPr>
          <w:p w14:paraId="317B3519" w14:textId="231F45E5" w:rsidR="00560A9A" w:rsidRPr="004C5271" w:rsidRDefault="00401DF1"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w:t>
            </w:r>
          </w:p>
        </w:tc>
      </w:tr>
      <w:tr w:rsidR="00FB4757" w:rsidRPr="004C5271" w14:paraId="23811FC2" w14:textId="5EB0CFBB" w:rsidTr="00B57468">
        <w:trPr>
          <w:trHeight w:hRule="exact" w:val="465"/>
          <w:jc w:val="center"/>
        </w:trPr>
        <w:tc>
          <w:tcPr>
            <w:tcW w:w="675" w:type="pct"/>
            <w:vAlign w:val="center"/>
          </w:tcPr>
          <w:p w14:paraId="03AB22C8" w14:textId="14ECEC11" w:rsidR="00560A9A" w:rsidRPr="004C5271" w:rsidRDefault="00560A9A" w:rsidP="003E6695">
            <w:pPr>
              <w:pStyle w:val="NormalNumberedTextTLRI"/>
              <w:numPr>
                <w:ilvl w:val="0"/>
                <w:numId w:val="0"/>
              </w:numPr>
              <w:spacing w:before="40" w:after="40" w:line="240" w:lineRule="auto"/>
              <w:jc w:val="left"/>
              <w:rPr>
                <w:rFonts w:asciiTheme="majorBidi" w:hAnsiTheme="majorBidi" w:cstheme="majorBidi"/>
                <w:sz w:val="20"/>
                <w:lang w:val="en-AU"/>
              </w:rPr>
            </w:pPr>
            <w:r w:rsidRPr="004C5271">
              <w:rPr>
                <w:rFonts w:asciiTheme="majorBidi" w:hAnsiTheme="majorBidi" w:cstheme="majorBidi"/>
                <w:sz w:val="20"/>
                <w:lang w:val="en-AU"/>
              </w:rPr>
              <w:t>2015/2016</w:t>
            </w:r>
          </w:p>
        </w:tc>
        <w:tc>
          <w:tcPr>
            <w:tcW w:w="1131" w:type="pct"/>
            <w:vAlign w:val="center"/>
          </w:tcPr>
          <w:p w14:paraId="57620E13" w14:textId="0D8A2D4B"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2</w:t>
            </w:r>
            <w:r w:rsidR="003E6695" w:rsidRPr="004C5271">
              <w:rPr>
                <w:rFonts w:asciiTheme="majorBidi" w:hAnsiTheme="majorBidi" w:cstheme="majorBidi"/>
                <w:sz w:val="20"/>
                <w:lang w:val="en-AU"/>
              </w:rPr>
              <w:t>,</w:t>
            </w:r>
            <w:r w:rsidRPr="004C5271">
              <w:rPr>
                <w:rFonts w:asciiTheme="majorBidi" w:hAnsiTheme="majorBidi" w:cstheme="majorBidi"/>
                <w:sz w:val="20"/>
                <w:lang w:val="en-AU"/>
              </w:rPr>
              <w:t>342</w:t>
            </w:r>
          </w:p>
        </w:tc>
        <w:tc>
          <w:tcPr>
            <w:tcW w:w="1021" w:type="pct"/>
            <w:vAlign w:val="center"/>
          </w:tcPr>
          <w:p w14:paraId="67C2CA50" w14:textId="691B8303"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42</w:t>
            </w:r>
          </w:p>
        </w:tc>
        <w:tc>
          <w:tcPr>
            <w:tcW w:w="1189" w:type="pct"/>
            <w:vAlign w:val="center"/>
          </w:tcPr>
          <w:p w14:paraId="36D84FFB" w14:textId="7483B1A6"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1.79%</w:t>
            </w:r>
          </w:p>
        </w:tc>
        <w:tc>
          <w:tcPr>
            <w:tcW w:w="984" w:type="pct"/>
            <w:vAlign w:val="center"/>
          </w:tcPr>
          <w:p w14:paraId="401E15FF" w14:textId="01C919CB" w:rsidR="00560A9A" w:rsidRPr="004C5271" w:rsidRDefault="00401DF1"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w:t>
            </w:r>
          </w:p>
        </w:tc>
      </w:tr>
      <w:tr w:rsidR="00FB4757" w:rsidRPr="004C5271" w14:paraId="6E267660" w14:textId="5D3EA20A" w:rsidTr="00B57468">
        <w:trPr>
          <w:trHeight w:hRule="exact" w:val="465"/>
          <w:jc w:val="center"/>
        </w:trPr>
        <w:tc>
          <w:tcPr>
            <w:tcW w:w="675" w:type="pct"/>
            <w:vAlign w:val="center"/>
          </w:tcPr>
          <w:p w14:paraId="2BAC2B92" w14:textId="619C15C5" w:rsidR="00560A9A" w:rsidRPr="004C5271" w:rsidRDefault="00560A9A" w:rsidP="003E6695">
            <w:pPr>
              <w:pStyle w:val="NormalNumberedTextTLRI"/>
              <w:numPr>
                <w:ilvl w:val="0"/>
                <w:numId w:val="0"/>
              </w:numPr>
              <w:spacing w:before="40" w:after="40" w:line="240" w:lineRule="auto"/>
              <w:jc w:val="left"/>
              <w:rPr>
                <w:rFonts w:asciiTheme="majorBidi" w:hAnsiTheme="majorBidi" w:cstheme="majorBidi"/>
                <w:sz w:val="20"/>
                <w:lang w:val="en-AU"/>
              </w:rPr>
            </w:pPr>
            <w:r w:rsidRPr="004C5271">
              <w:rPr>
                <w:rFonts w:asciiTheme="majorBidi" w:hAnsiTheme="majorBidi" w:cstheme="majorBidi"/>
                <w:sz w:val="20"/>
                <w:lang w:val="en-AU"/>
              </w:rPr>
              <w:t>2014/2015</w:t>
            </w:r>
          </w:p>
        </w:tc>
        <w:tc>
          <w:tcPr>
            <w:tcW w:w="1131" w:type="pct"/>
            <w:vAlign w:val="center"/>
          </w:tcPr>
          <w:p w14:paraId="07104E91" w14:textId="38E627BB"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2</w:t>
            </w:r>
            <w:r w:rsidR="003E6695" w:rsidRPr="004C5271">
              <w:rPr>
                <w:rFonts w:asciiTheme="majorBidi" w:hAnsiTheme="majorBidi" w:cstheme="majorBidi"/>
                <w:sz w:val="20"/>
                <w:lang w:val="en-AU"/>
              </w:rPr>
              <w:t>,</w:t>
            </w:r>
            <w:r w:rsidRPr="004C5271">
              <w:rPr>
                <w:rFonts w:asciiTheme="majorBidi" w:hAnsiTheme="majorBidi" w:cstheme="majorBidi"/>
                <w:sz w:val="20"/>
                <w:lang w:val="en-AU"/>
              </w:rPr>
              <w:t>441</w:t>
            </w:r>
          </w:p>
        </w:tc>
        <w:tc>
          <w:tcPr>
            <w:tcW w:w="1021" w:type="pct"/>
            <w:vAlign w:val="center"/>
          </w:tcPr>
          <w:p w14:paraId="17A2D1F1" w14:textId="2D8B3C68"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30</w:t>
            </w:r>
          </w:p>
        </w:tc>
        <w:tc>
          <w:tcPr>
            <w:tcW w:w="1189" w:type="pct"/>
            <w:vAlign w:val="center"/>
          </w:tcPr>
          <w:p w14:paraId="5C5CC60B" w14:textId="1DBCC054"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1.23%</w:t>
            </w:r>
          </w:p>
        </w:tc>
        <w:tc>
          <w:tcPr>
            <w:tcW w:w="984" w:type="pct"/>
            <w:vAlign w:val="center"/>
          </w:tcPr>
          <w:p w14:paraId="46DB41A2" w14:textId="1AEF2BAF" w:rsidR="00560A9A" w:rsidRPr="004C5271" w:rsidRDefault="00401DF1"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w:t>
            </w:r>
          </w:p>
        </w:tc>
      </w:tr>
      <w:tr w:rsidR="00FB4757" w:rsidRPr="004C5271" w14:paraId="4A9C5732" w14:textId="6471C22F" w:rsidTr="00B57468">
        <w:trPr>
          <w:trHeight w:hRule="exact" w:val="465"/>
          <w:jc w:val="center"/>
        </w:trPr>
        <w:tc>
          <w:tcPr>
            <w:tcW w:w="675" w:type="pct"/>
            <w:vAlign w:val="center"/>
          </w:tcPr>
          <w:p w14:paraId="54982DAC" w14:textId="4348C4D0" w:rsidR="00560A9A" w:rsidRPr="004C5271" w:rsidRDefault="00560A9A" w:rsidP="003E6695">
            <w:pPr>
              <w:pStyle w:val="NormalNumberedTextTLRI"/>
              <w:numPr>
                <w:ilvl w:val="0"/>
                <w:numId w:val="0"/>
              </w:numPr>
              <w:spacing w:before="40" w:after="40" w:line="240" w:lineRule="auto"/>
              <w:jc w:val="left"/>
              <w:rPr>
                <w:rFonts w:asciiTheme="majorBidi" w:hAnsiTheme="majorBidi" w:cstheme="majorBidi"/>
                <w:sz w:val="20"/>
                <w:lang w:val="en-AU"/>
              </w:rPr>
            </w:pPr>
            <w:r w:rsidRPr="004C5271">
              <w:rPr>
                <w:rFonts w:asciiTheme="majorBidi" w:hAnsiTheme="majorBidi" w:cstheme="majorBidi"/>
                <w:sz w:val="20"/>
                <w:lang w:val="en-AU"/>
              </w:rPr>
              <w:t>2013/2014</w:t>
            </w:r>
          </w:p>
        </w:tc>
        <w:tc>
          <w:tcPr>
            <w:tcW w:w="1131" w:type="pct"/>
            <w:vAlign w:val="center"/>
          </w:tcPr>
          <w:p w14:paraId="6D1CEF6E" w14:textId="3BE1F0FD"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2</w:t>
            </w:r>
            <w:r w:rsidR="003E6695" w:rsidRPr="004C5271">
              <w:rPr>
                <w:rFonts w:asciiTheme="majorBidi" w:hAnsiTheme="majorBidi" w:cstheme="majorBidi"/>
                <w:sz w:val="20"/>
                <w:lang w:val="en-AU"/>
              </w:rPr>
              <w:t>,</w:t>
            </w:r>
            <w:r w:rsidRPr="004C5271">
              <w:rPr>
                <w:rFonts w:asciiTheme="majorBidi" w:hAnsiTheme="majorBidi" w:cstheme="majorBidi"/>
                <w:sz w:val="20"/>
                <w:lang w:val="en-AU"/>
              </w:rPr>
              <w:t>405</w:t>
            </w:r>
          </w:p>
        </w:tc>
        <w:tc>
          <w:tcPr>
            <w:tcW w:w="1021" w:type="pct"/>
            <w:vAlign w:val="center"/>
          </w:tcPr>
          <w:p w14:paraId="0A1A47E6" w14:textId="7E6E95FB"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33</w:t>
            </w:r>
          </w:p>
        </w:tc>
        <w:tc>
          <w:tcPr>
            <w:tcW w:w="1189" w:type="pct"/>
            <w:vAlign w:val="center"/>
          </w:tcPr>
          <w:p w14:paraId="2D44FCA0" w14:textId="08CEDB68"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1.37%</w:t>
            </w:r>
          </w:p>
        </w:tc>
        <w:tc>
          <w:tcPr>
            <w:tcW w:w="984" w:type="pct"/>
            <w:vAlign w:val="center"/>
          </w:tcPr>
          <w:p w14:paraId="7B337936" w14:textId="646B8F1F" w:rsidR="00560A9A" w:rsidRPr="004C5271" w:rsidRDefault="00401DF1" w:rsidP="003E6695">
            <w:pPr>
              <w:pStyle w:val="NormalNumberedTextTLRI"/>
              <w:numPr>
                <w:ilvl w:val="0"/>
                <w:numId w:val="0"/>
              </w:numPr>
              <w:spacing w:before="40" w:after="40" w:line="240" w:lineRule="auto"/>
              <w:jc w:val="center"/>
              <w:rPr>
                <w:rFonts w:asciiTheme="majorBidi" w:hAnsiTheme="majorBidi" w:cstheme="majorBidi"/>
                <w:sz w:val="20"/>
                <w:lang w:val="en-AU"/>
              </w:rPr>
            </w:pPr>
            <w:r w:rsidRPr="004C5271">
              <w:rPr>
                <w:rFonts w:asciiTheme="majorBidi" w:hAnsiTheme="majorBidi" w:cstheme="majorBidi"/>
                <w:sz w:val="20"/>
                <w:lang w:val="en-AU"/>
              </w:rPr>
              <w:t>1</w:t>
            </w:r>
          </w:p>
        </w:tc>
      </w:tr>
      <w:tr w:rsidR="00FB4757" w:rsidRPr="004C5271" w14:paraId="37D7AEF7" w14:textId="00BDFB4A" w:rsidTr="00B57468">
        <w:trPr>
          <w:trHeight w:hRule="exact" w:val="465"/>
          <w:jc w:val="center"/>
        </w:trPr>
        <w:tc>
          <w:tcPr>
            <w:tcW w:w="675" w:type="pct"/>
            <w:vAlign w:val="center"/>
          </w:tcPr>
          <w:p w14:paraId="033024FF" w14:textId="006AABCF" w:rsidR="00560A9A" w:rsidRPr="004C5271" w:rsidRDefault="00560A9A" w:rsidP="003E6695">
            <w:pPr>
              <w:pStyle w:val="NormalNumberedTextTLRI"/>
              <w:numPr>
                <w:ilvl w:val="0"/>
                <w:numId w:val="0"/>
              </w:numPr>
              <w:spacing w:before="40" w:after="40" w:line="240" w:lineRule="auto"/>
              <w:jc w:val="left"/>
              <w:rPr>
                <w:rFonts w:asciiTheme="majorBidi" w:hAnsiTheme="majorBidi" w:cstheme="majorBidi"/>
                <w:b/>
                <w:bCs/>
                <w:sz w:val="20"/>
                <w:lang w:val="en-AU"/>
              </w:rPr>
            </w:pPr>
            <w:r w:rsidRPr="004C5271">
              <w:rPr>
                <w:rFonts w:asciiTheme="majorBidi" w:hAnsiTheme="majorBidi" w:cstheme="majorBidi"/>
                <w:b/>
                <w:bCs/>
                <w:sz w:val="20"/>
                <w:lang w:val="en-AU"/>
              </w:rPr>
              <w:t>T</w:t>
            </w:r>
            <w:r w:rsidR="00F241F0" w:rsidRPr="004C5271">
              <w:rPr>
                <w:rFonts w:asciiTheme="majorBidi" w:hAnsiTheme="majorBidi" w:cstheme="majorBidi"/>
                <w:b/>
                <w:bCs/>
                <w:sz w:val="20"/>
                <w:lang w:val="en-AU"/>
              </w:rPr>
              <w:t>otal</w:t>
            </w:r>
          </w:p>
        </w:tc>
        <w:tc>
          <w:tcPr>
            <w:tcW w:w="1131" w:type="pct"/>
            <w:vAlign w:val="center"/>
          </w:tcPr>
          <w:p w14:paraId="6907FCC3" w14:textId="15A6178F"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11,784</w:t>
            </w:r>
          </w:p>
        </w:tc>
        <w:tc>
          <w:tcPr>
            <w:tcW w:w="1021" w:type="pct"/>
            <w:vAlign w:val="center"/>
          </w:tcPr>
          <w:p w14:paraId="7278B289" w14:textId="42E59E47"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183</w:t>
            </w:r>
          </w:p>
        </w:tc>
        <w:tc>
          <w:tcPr>
            <w:tcW w:w="1189" w:type="pct"/>
            <w:vAlign w:val="center"/>
          </w:tcPr>
          <w:p w14:paraId="1B661F9E" w14:textId="65E6EE0D" w:rsidR="00560A9A" w:rsidRPr="004C5271" w:rsidRDefault="00560A9A" w:rsidP="003E6695">
            <w:pPr>
              <w:pStyle w:val="NormalNumberedTextTLRI"/>
              <w:numPr>
                <w:ilvl w:val="0"/>
                <w:numId w:val="0"/>
              </w:numPr>
              <w:spacing w:before="40" w:after="40"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1.5</w:t>
            </w:r>
            <w:r w:rsidR="00214C59" w:rsidRPr="004C5271">
              <w:rPr>
                <w:rFonts w:asciiTheme="majorBidi" w:hAnsiTheme="majorBidi" w:cstheme="majorBidi"/>
                <w:b/>
                <w:bCs/>
                <w:sz w:val="20"/>
                <w:lang w:val="en-AU"/>
              </w:rPr>
              <w:t>5</w:t>
            </w:r>
            <w:r w:rsidRPr="004C5271">
              <w:rPr>
                <w:rFonts w:asciiTheme="majorBidi" w:hAnsiTheme="majorBidi" w:cstheme="majorBidi"/>
                <w:b/>
                <w:bCs/>
                <w:sz w:val="20"/>
                <w:lang w:val="en-AU"/>
              </w:rPr>
              <w:t>%</w:t>
            </w:r>
          </w:p>
        </w:tc>
        <w:tc>
          <w:tcPr>
            <w:tcW w:w="984" w:type="pct"/>
            <w:vAlign w:val="center"/>
          </w:tcPr>
          <w:p w14:paraId="135E044D" w14:textId="0D5E9219" w:rsidR="00560A9A" w:rsidRPr="004C5271" w:rsidRDefault="00401DF1" w:rsidP="003E6695">
            <w:pPr>
              <w:pStyle w:val="NormalNumberedTextTLRI"/>
              <w:numPr>
                <w:ilvl w:val="0"/>
                <w:numId w:val="0"/>
              </w:numPr>
              <w:spacing w:before="40" w:after="40"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4</w:t>
            </w:r>
          </w:p>
        </w:tc>
      </w:tr>
    </w:tbl>
    <w:p w14:paraId="065A1DA7" w14:textId="3B2DF640" w:rsidR="00245B28" w:rsidRPr="004C5271" w:rsidRDefault="00BC566E" w:rsidP="009D4A91">
      <w:pPr>
        <w:pStyle w:val="NormalNumberedTextTLRI"/>
        <w:numPr>
          <w:ilvl w:val="0"/>
          <w:numId w:val="0"/>
        </w:numPr>
        <w:spacing w:before="40" w:after="120"/>
        <w:rPr>
          <w:rFonts w:asciiTheme="majorBidi" w:hAnsiTheme="majorBidi" w:cstheme="majorBidi"/>
          <w:sz w:val="20"/>
          <w:lang w:val="en-AU"/>
        </w:rPr>
      </w:pPr>
      <w:r w:rsidRPr="004C5271">
        <w:rPr>
          <w:rFonts w:asciiTheme="majorBidi" w:hAnsiTheme="majorBidi" w:cstheme="majorBidi"/>
          <w:sz w:val="20"/>
          <w:vertAlign w:val="superscript"/>
          <w:lang w:val="en-AU"/>
        </w:rPr>
        <w:t>*</w:t>
      </w:r>
      <w:r w:rsidRPr="004C5271">
        <w:rPr>
          <w:rFonts w:asciiTheme="majorBidi" w:hAnsiTheme="majorBidi" w:cstheme="majorBidi"/>
          <w:sz w:val="20"/>
          <w:lang w:val="en-AU"/>
        </w:rPr>
        <w:t>‘Grant’ includes applications for Probate</w:t>
      </w:r>
      <w:r w:rsidR="00267452" w:rsidRPr="004C5271">
        <w:rPr>
          <w:rFonts w:asciiTheme="majorBidi" w:hAnsiTheme="majorBidi" w:cstheme="majorBidi"/>
          <w:sz w:val="20"/>
          <w:lang w:val="en-AU"/>
        </w:rPr>
        <w:t xml:space="preserve"> and</w:t>
      </w:r>
      <w:r w:rsidRPr="004C5271">
        <w:rPr>
          <w:rFonts w:asciiTheme="majorBidi" w:hAnsiTheme="majorBidi" w:cstheme="majorBidi"/>
          <w:sz w:val="20"/>
          <w:lang w:val="en-AU"/>
        </w:rPr>
        <w:t xml:space="preserve"> applications for Letters of Administration</w:t>
      </w:r>
      <w:r w:rsidR="00267452" w:rsidRPr="004C5271">
        <w:rPr>
          <w:rFonts w:asciiTheme="majorBidi" w:hAnsiTheme="majorBidi" w:cstheme="majorBidi"/>
          <w:sz w:val="20"/>
          <w:lang w:val="en-AU"/>
        </w:rPr>
        <w:t>.</w:t>
      </w:r>
      <w:r w:rsidR="000509BB" w:rsidRPr="004C5271">
        <w:rPr>
          <w:rFonts w:asciiTheme="majorBidi" w:hAnsiTheme="majorBidi" w:cstheme="majorBidi"/>
          <w:sz w:val="20"/>
          <w:lang w:val="en-AU"/>
        </w:rPr>
        <w:t xml:space="preserve"> It excludes Reseals of Probate due to </w:t>
      </w:r>
      <w:r w:rsidR="00DB13EF" w:rsidRPr="004C5271">
        <w:rPr>
          <w:rFonts w:asciiTheme="majorBidi" w:hAnsiTheme="majorBidi" w:cstheme="majorBidi"/>
          <w:sz w:val="20"/>
          <w:lang w:val="en-AU"/>
        </w:rPr>
        <w:t>data not being available prior to 2016</w:t>
      </w:r>
      <w:r w:rsidR="003E6695" w:rsidRPr="004C5271">
        <w:rPr>
          <w:rFonts w:asciiTheme="majorBidi" w:hAnsiTheme="majorBidi" w:cstheme="majorBidi"/>
          <w:sz w:val="20"/>
          <w:lang w:val="en-AU"/>
        </w:rPr>
        <w:t>–</w:t>
      </w:r>
      <w:r w:rsidR="00DB13EF" w:rsidRPr="004C5271">
        <w:rPr>
          <w:rFonts w:asciiTheme="majorBidi" w:hAnsiTheme="majorBidi" w:cstheme="majorBidi"/>
          <w:sz w:val="20"/>
          <w:lang w:val="en-AU"/>
        </w:rPr>
        <w:t>2017.</w:t>
      </w:r>
    </w:p>
    <w:p w14:paraId="20EA9F54" w14:textId="7FDE7548" w:rsidR="00C74487" w:rsidRPr="004C5271" w:rsidRDefault="00C74487" w:rsidP="0048009B">
      <w:pPr>
        <w:pStyle w:val="NormalNumberedTextTLRI"/>
        <w:rPr>
          <w:rFonts w:asciiTheme="majorBidi" w:hAnsiTheme="majorBidi" w:cstheme="majorBidi"/>
          <w:lang w:val="en-AU"/>
        </w:rPr>
      </w:pPr>
      <w:r w:rsidRPr="004C5271">
        <w:rPr>
          <w:rFonts w:asciiTheme="majorBidi" w:hAnsiTheme="majorBidi" w:cstheme="majorBidi"/>
          <w:lang w:val="en-AU"/>
        </w:rPr>
        <w:t xml:space="preserve">These </w:t>
      </w:r>
      <w:r w:rsidR="009C31E8" w:rsidRPr="004C5271">
        <w:rPr>
          <w:rFonts w:asciiTheme="majorBidi" w:hAnsiTheme="majorBidi" w:cstheme="majorBidi"/>
          <w:lang w:val="en-AU"/>
        </w:rPr>
        <w:t>statistics</w:t>
      </w:r>
      <w:r w:rsidRPr="004C5271">
        <w:rPr>
          <w:rFonts w:asciiTheme="majorBidi" w:hAnsiTheme="majorBidi" w:cstheme="majorBidi"/>
          <w:lang w:val="en-AU"/>
        </w:rPr>
        <w:t xml:space="preserve"> </w:t>
      </w:r>
      <w:r w:rsidR="00310363" w:rsidRPr="004C5271">
        <w:rPr>
          <w:rFonts w:asciiTheme="majorBidi" w:hAnsiTheme="majorBidi" w:cstheme="majorBidi"/>
          <w:lang w:val="en-AU"/>
        </w:rPr>
        <w:t>illustrate</w:t>
      </w:r>
      <w:r w:rsidRPr="004C5271">
        <w:rPr>
          <w:rFonts w:asciiTheme="majorBidi" w:hAnsiTheme="majorBidi" w:cstheme="majorBidi"/>
          <w:lang w:val="en-AU"/>
        </w:rPr>
        <w:t xml:space="preserve"> the infrequency </w:t>
      </w:r>
      <w:r w:rsidR="001367B2" w:rsidRPr="004C5271">
        <w:rPr>
          <w:rFonts w:asciiTheme="majorBidi" w:hAnsiTheme="majorBidi" w:cstheme="majorBidi"/>
          <w:lang w:val="en-AU"/>
        </w:rPr>
        <w:t xml:space="preserve">with </w:t>
      </w:r>
      <w:r w:rsidR="00715044" w:rsidRPr="004C5271">
        <w:rPr>
          <w:rFonts w:asciiTheme="majorBidi" w:hAnsiTheme="majorBidi" w:cstheme="majorBidi"/>
          <w:lang w:val="en-AU"/>
        </w:rPr>
        <w:t xml:space="preserve">which </w:t>
      </w:r>
      <w:r w:rsidRPr="004C5271">
        <w:rPr>
          <w:rFonts w:asciiTheme="majorBidi" w:hAnsiTheme="majorBidi" w:cstheme="majorBidi"/>
          <w:lang w:val="en-AU"/>
        </w:rPr>
        <w:t>family provision disputes</w:t>
      </w:r>
      <w:r w:rsidR="00715044" w:rsidRPr="004C5271">
        <w:rPr>
          <w:rFonts w:asciiTheme="majorBidi" w:hAnsiTheme="majorBidi" w:cstheme="majorBidi"/>
          <w:lang w:val="en-AU"/>
        </w:rPr>
        <w:t xml:space="preserve"> are litigated</w:t>
      </w:r>
      <w:r w:rsidRPr="004C5271">
        <w:rPr>
          <w:rFonts w:asciiTheme="majorBidi" w:hAnsiTheme="majorBidi" w:cstheme="majorBidi"/>
          <w:lang w:val="en-AU"/>
        </w:rPr>
        <w:t xml:space="preserve"> </w:t>
      </w:r>
      <w:r w:rsidR="009C31E8" w:rsidRPr="004C5271">
        <w:rPr>
          <w:rFonts w:asciiTheme="majorBidi" w:hAnsiTheme="majorBidi" w:cstheme="majorBidi"/>
          <w:lang w:val="en-AU"/>
        </w:rPr>
        <w:t>in Tasmania</w:t>
      </w:r>
      <w:r w:rsidRPr="004C5271">
        <w:rPr>
          <w:rFonts w:asciiTheme="majorBidi" w:hAnsiTheme="majorBidi" w:cstheme="majorBidi"/>
          <w:lang w:val="en-AU"/>
        </w:rPr>
        <w:t>.</w:t>
      </w:r>
    </w:p>
    <w:p w14:paraId="20578194" w14:textId="49F68FD8" w:rsidR="00C74487" w:rsidRPr="004C5271" w:rsidRDefault="00C74487" w:rsidP="00AE2B8C">
      <w:pPr>
        <w:pStyle w:val="Sub-HeadingTLRI"/>
      </w:pPr>
      <w:r w:rsidRPr="004C5271">
        <w:lastRenderedPageBreak/>
        <w:t>Prevalence of family provision avoidance</w:t>
      </w:r>
    </w:p>
    <w:p w14:paraId="008272D7" w14:textId="52DB2DCF" w:rsidR="0048009B" w:rsidRPr="004C5271" w:rsidRDefault="00C74487" w:rsidP="00C74487">
      <w:pPr>
        <w:pStyle w:val="NormalNumberedTextTLRI"/>
        <w:rPr>
          <w:rFonts w:asciiTheme="majorBidi" w:hAnsiTheme="majorBidi" w:cstheme="majorBidi"/>
          <w:lang w:val="en-AU"/>
        </w:rPr>
      </w:pPr>
      <w:r w:rsidRPr="004C5271">
        <w:rPr>
          <w:rFonts w:asciiTheme="majorBidi" w:hAnsiTheme="majorBidi" w:cstheme="majorBidi"/>
          <w:lang w:val="en-AU"/>
        </w:rPr>
        <w:t xml:space="preserve">The previous paragraph reviewed the </w:t>
      </w:r>
      <w:r w:rsidR="00310363" w:rsidRPr="004C5271">
        <w:rPr>
          <w:rFonts w:asciiTheme="majorBidi" w:hAnsiTheme="majorBidi" w:cstheme="majorBidi"/>
          <w:lang w:val="en-AU"/>
        </w:rPr>
        <w:t>number</w:t>
      </w:r>
      <w:r w:rsidRPr="004C5271">
        <w:rPr>
          <w:rFonts w:asciiTheme="majorBidi" w:hAnsiTheme="majorBidi" w:cstheme="majorBidi"/>
          <w:lang w:val="en-AU"/>
        </w:rPr>
        <w:t xml:space="preserve"> of </w:t>
      </w:r>
      <w:r w:rsidR="00CC28E7" w:rsidRPr="004C5271">
        <w:rPr>
          <w:rFonts w:asciiTheme="majorBidi" w:hAnsiTheme="majorBidi" w:cstheme="majorBidi"/>
          <w:lang w:val="en-AU"/>
        </w:rPr>
        <w:t>matters</w:t>
      </w:r>
      <w:r w:rsidR="00310363" w:rsidRPr="004C5271">
        <w:rPr>
          <w:rFonts w:asciiTheme="majorBidi" w:hAnsiTheme="majorBidi" w:cstheme="majorBidi"/>
          <w:lang w:val="en-AU"/>
        </w:rPr>
        <w:t xml:space="preserve"> that</w:t>
      </w:r>
      <w:r w:rsidRPr="004C5271">
        <w:rPr>
          <w:rFonts w:asciiTheme="majorBidi" w:hAnsiTheme="majorBidi" w:cstheme="majorBidi"/>
          <w:lang w:val="en-AU"/>
        </w:rPr>
        <w:t xml:space="preserve"> proceed</w:t>
      </w:r>
      <w:r w:rsidR="00310363" w:rsidRPr="004C5271">
        <w:rPr>
          <w:rFonts w:asciiTheme="majorBidi" w:hAnsiTheme="majorBidi" w:cstheme="majorBidi"/>
          <w:lang w:val="en-AU"/>
        </w:rPr>
        <w:t xml:space="preserve"> </w:t>
      </w:r>
      <w:r w:rsidRPr="004C5271">
        <w:rPr>
          <w:rFonts w:asciiTheme="majorBidi" w:hAnsiTheme="majorBidi" w:cstheme="majorBidi"/>
          <w:lang w:val="en-AU"/>
        </w:rPr>
        <w:t xml:space="preserve">to </w:t>
      </w:r>
      <w:r w:rsidR="00310363" w:rsidRPr="004C5271">
        <w:rPr>
          <w:rFonts w:asciiTheme="majorBidi" w:hAnsiTheme="majorBidi" w:cstheme="majorBidi"/>
          <w:lang w:val="en-AU"/>
        </w:rPr>
        <w:t xml:space="preserve">a </w:t>
      </w:r>
      <w:r w:rsidR="009C31E8" w:rsidRPr="004C5271">
        <w:rPr>
          <w:rFonts w:asciiTheme="majorBidi" w:hAnsiTheme="majorBidi" w:cstheme="majorBidi"/>
          <w:lang w:val="en-AU"/>
        </w:rPr>
        <w:t>c</w:t>
      </w:r>
      <w:r w:rsidR="00310363" w:rsidRPr="004C5271">
        <w:rPr>
          <w:rFonts w:asciiTheme="majorBidi" w:hAnsiTheme="majorBidi" w:cstheme="majorBidi"/>
          <w:lang w:val="en-AU"/>
        </w:rPr>
        <w:t xml:space="preserve">ourt </w:t>
      </w:r>
      <w:r w:rsidRPr="004C5271">
        <w:rPr>
          <w:rFonts w:asciiTheme="majorBidi" w:hAnsiTheme="majorBidi" w:cstheme="majorBidi"/>
          <w:lang w:val="en-AU"/>
        </w:rPr>
        <w:t>hearing</w:t>
      </w:r>
      <w:r w:rsidR="00087A3B" w:rsidRPr="004C5271">
        <w:rPr>
          <w:rFonts w:asciiTheme="majorBidi" w:hAnsiTheme="majorBidi" w:cstheme="majorBidi"/>
          <w:lang w:val="en-AU"/>
        </w:rPr>
        <w:t xml:space="preserve">, concluding that </w:t>
      </w:r>
      <w:r w:rsidR="00CC28E7" w:rsidRPr="004C5271">
        <w:rPr>
          <w:rFonts w:asciiTheme="majorBidi" w:hAnsiTheme="majorBidi" w:cstheme="majorBidi"/>
          <w:lang w:val="en-AU"/>
        </w:rPr>
        <w:t xml:space="preserve">family provision </w:t>
      </w:r>
      <w:r w:rsidR="00087A3B" w:rsidRPr="004C5271">
        <w:rPr>
          <w:rFonts w:asciiTheme="majorBidi" w:hAnsiTheme="majorBidi" w:cstheme="majorBidi"/>
          <w:lang w:val="en-AU"/>
        </w:rPr>
        <w:t xml:space="preserve">disputes </w:t>
      </w:r>
      <w:r w:rsidR="00CC28E7" w:rsidRPr="004C5271">
        <w:rPr>
          <w:rFonts w:asciiTheme="majorBidi" w:hAnsiTheme="majorBidi" w:cstheme="majorBidi"/>
          <w:lang w:val="en-AU"/>
        </w:rPr>
        <w:t xml:space="preserve">in Tasmania </w:t>
      </w:r>
      <w:r w:rsidR="00087A3B" w:rsidRPr="004C5271">
        <w:rPr>
          <w:rFonts w:asciiTheme="majorBidi" w:hAnsiTheme="majorBidi" w:cstheme="majorBidi"/>
          <w:lang w:val="en-AU"/>
        </w:rPr>
        <w:t>are relatively infrequent</w:t>
      </w:r>
      <w:r w:rsidRPr="004C5271">
        <w:rPr>
          <w:rFonts w:asciiTheme="majorBidi" w:hAnsiTheme="majorBidi" w:cstheme="majorBidi"/>
          <w:lang w:val="en-AU"/>
        </w:rPr>
        <w:t xml:space="preserve">. </w:t>
      </w:r>
      <w:r w:rsidR="0048009B" w:rsidRPr="004C5271">
        <w:rPr>
          <w:rFonts w:asciiTheme="majorBidi" w:hAnsiTheme="majorBidi" w:cstheme="majorBidi"/>
          <w:lang w:val="en-AU"/>
        </w:rPr>
        <w:t xml:space="preserve">The extent of the </w:t>
      </w:r>
      <w:r w:rsidR="0067041A" w:rsidRPr="004C5271">
        <w:rPr>
          <w:rFonts w:asciiTheme="majorBidi" w:hAnsiTheme="majorBidi" w:cstheme="majorBidi"/>
          <w:lang w:val="en-AU"/>
        </w:rPr>
        <w:t>issue</w:t>
      </w:r>
      <w:r w:rsidR="004273B6" w:rsidRPr="004C5271">
        <w:rPr>
          <w:rFonts w:asciiTheme="majorBidi" w:hAnsiTheme="majorBidi" w:cstheme="majorBidi"/>
          <w:lang w:val="en-AU"/>
        </w:rPr>
        <w:t>, however,</w:t>
      </w:r>
      <w:r w:rsidR="0048009B" w:rsidRPr="004C5271">
        <w:rPr>
          <w:rFonts w:asciiTheme="majorBidi" w:hAnsiTheme="majorBidi" w:cstheme="majorBidi"/>
          <w:lang w:val="en-AU"/>
        </w:rPr>
        <w:t xml:space="preserve"> can only </w:t>
      </w:r>
      <w:r w:rsidR="0067041A" w:rsidRPr="004C5271">
        <w:rPr>
          <w:rFonts w:asciiTheme="majorBidi" w:hAnsiTheme="majorBidi" w:cstheme="majorBidi"/>
          <w:lang w:val="en-AU"/>
        </w:rPr>
        <w:t xml:space="preserve">be </w:t>
      </w:r>
      <w:r w:rsidR="0048009B" w:rsidRPr="004C5271">
        <w:rPr>
          <w:rFonts w:asciiTheme="majorBidi" w:hAnsiTheme="majorBidi" w:cstheme="majorBidi"/>
          <w:lang w:val="en-AU"/>
        </w:rPr>
        <w:t xml:space="preserve">gleaned through </w:t>
      </w:r>
      <w:r w:rsidR="0067041A" w:rsidRPr="004C5271">
        <w:rPr>
          <w:rFonts w:asciiTheme="majorBidi" w:hAnsiTheme="majorBidi" w:cstheme="majorBidi"/>
          <w:lang w:val="en-AU"/>
        </w:rPr>
        <w:t xml:space="preserve">data </w:t>
      </w:r>
      <w:r w:rsidR="009F2929" w:rsidRPr="004C5271">
        <w:rPr>
          <w:rFonts w:asciiTheme="majorBidi" w:hAnsiTheme="majorBidi" w:cstheme="majorBidi"/>
          <w:lang w:val="en-AU"/>
        </w:rPr>
        <w:t>identify</w:t>
      </w:r>
      <w:r w:rsidR="0067041A" w:rsidRPr="004C5271">
        <w:rPr>
          <w:rFonts w:asciiTheme="majorBidi" w:hAnsiTheme="majorBidi" w:cstheme="majorBidi"/>
          <w:lang w:val="en-AU"/>
        </w:rPr>
        <w:t>ing</w:t>
      </w:r>
      <w:r w:rsidR="009F2929" w:rsidRPr="004C5271">
        <w:rPr>
          <w:rFonts w:asciiTheme="majorBidi" w:hAnsiTheme="majorBidi" w:cstheme="majorBidi"/>
          <w:lang w:val="en-AU"/>
        </w:rPr>
        <w:t xml:space="preserve"> the number of </w:t>
      </w:r>
      <w:r w:rsidR="00693881" w:rsidRPr="004C5271">
        <w:rPr>
          <w:rFonts w:asciiTheme="majorBidi" w:hAnsiTheme="majorBidi" w:cstheme="majorBidi"/>
          <w:lang w:val="en-AU"/>
        </w:rPr>
        <w:t>eligible applicants that</w:t>
      </w:r>
      <w:r w:rsidR="00CC28E7" w:rsidRPr="004C5271">
        <w:rPr>
          <w:rFonts w:asciiTheme="majorBidi" w:hAnsiTheme="majorBidi" w:cstheme="majorBidi"/>
          <w:lang w:val="en-AU"/>
        </w:rPr>
        <w:t xml:space="preserve"> have been unable to</w:t>
      </w:r>
      <w:r w:rsidR="009F2929" w:rsidRPr="004C5271">
        <w:rPr>
          <w:rFonts w:asciiTheme="majorBidi" w:hAnsiTheme="majorBidi" w:cstheme="majorBidi"/>
          <w:lang w:val="en-AU"/>
        </w:rPr>
        <w:t xml:space="preserve"> pursue</w:t>
      </w:r>
      <w:r w:rsidR="00693881" w:rsidRPr="004C5271">
        <w:rPr>
          <w:rFonts w:asciiTheme="majorBidi" w:hAnsiTheme="majorBidi" w:cstheme="majorBidi"/>
          <w:lang w:val="en-AU"/>
        </w:rPr>
        <w:t xml:space="preserve"> their claims</w:t>
      </w:r>
      <w:r w:rsidR="009F2929" w:rsidRPr="004C5271">
        <w:rPr>
          <w:rFonts w:asciiTheme="majorBidi" w:hAnsiTheme="majorBidi" w:cstheme="majorBidi"/>
          <w:lang w:val="en-AU"/>
        </w:rPr>
        <w:t xml:space="preserve"> because </w:t>
      </w:r>
      <w:r w:rsidR="00CC28E7" w:rsidRPr="004C5271">
        <w:rPr>
          <w:rFonts w:asciiTheme="majorBidi" w:hAnsiTheme="majorBidi" w:cstheme="majorBidi"/>
          <w:lang w:val="en-AU"/>
        </w:rPr>
        <w:t>assets passed outside an estate</w:t>
      </w:r>
      <w:r w:rsidR="009F2929" w:rsidRPr="004C5271">
        <w:rPr>
          <w:rFonts w:asciiTheme="majorBidi" w:hAnsiTheme="majorBidi" w:cstheme="majorBidi"/>
          <w:lang w:val="en-AU"/>
        </w:rPr>
        <w:t xml:space="preserve">. </w:t>
      </w:r>
      <w:r w:rsidR="008C4CB1" w:rsidRPr="004C5271">
        <w:rPr>
          <w:rFonts w:asciiTheme="majorBidi" w:hAnsiTheme="majorBidi" w:cstheme="majorBidi"/>
          <w:lang w:val="en-AU"/>
        </w:rPr>
        <w:t>To gauge the true extent of the issue, it</w:t>
      </w:r>
      <w:r w:rsidR="00CC28E7" w:rsidRPr="004C5271">
        <w:rPr>
          <w:rFonts w:asciiTheme="majorBidi" w:hAnsiTheme="majorBidi" w:cstheme="majorBidi"/>
          <w:lang w:val="en-AU"/>
        </w:rPr>
        <w:t xml:space="preserve"> would then be necessary to </w:t>
      </w:r>
      <w:r w:rsidR="009F2929" w:rsidRPr="004C5271">
        <w:rPr>
          <w:rFonts w:asciiTheme="majorBidi" w:hAnsiTheme="majorBidi" w:cstheme="majorBidi"/>
          <w:lang w:val="en-AU"/>
        </w:rPr>
        <w:t>assess</w:t>
      </w:r>
      <w:r w:rsidR="00CC28E7" w:rsidRPr="004C5271">
        <w:rPr>
          <w:rFonts w:asciiTheme="majorBidi" w:hAnsiTheme="majorBidi" w:cstheme="majorBidi"/>
          <w:lang w:val="en-AU"/>
        </w:rPr>
        <w:t xml:space="preserve"> those claims </w:t>
      </w:r>
      <w:r w:rsidR="008C4CB1" w:rsidRPr="004C5271">
        <w:rPr>
          <w:rFonts w:asciiTheme="majorBidi" w:hAnsiTheme="majorBidi" w:cstheme="majorBidi"/>
          <w:lang w:val="en-AU"/>
        </w:rPr>
        <w:t xml:space="preserve">against their merits </w:t>
      </w:r>
      <w:r w:rsidR="00CC28E7" w:rsidRPr="004C5271">
        <w:rPr>
          <w:rFonts w:asciiTheme="majorBidi" w:hAnsiTheme="majorBidi" w:cstheme="majorBidi"/>
          <w:lang w:val="en-AU"/>
        </w:rPr>
        <w:t xml:space="preserve">to </w:t>
      </w:r>
      <w:r w:rsidR="00693881" w:rsidRPr="004C5271">
        <w:rPr>
          <w:rFonts w:asciiTheme="majorBidi" w:hAnsiTheme="majorBidi" w:cstheme="majorBidi"/>
          <w:lang w:val="en-AU"/>
        </w:rPr>
        <w:t>establish</w:t>
      </w:r>
      <w:r w:rsidR="009F2929" w:rsidRPr="004C5271">
        <w:rPr>
          <w:rFonts w:asciiTheme="majorBidi" w:hAnsiTheme="majorBidi" w:cstheme="majorBidi"/>
          <w:lang w:val="en-AU"/>
        </w:rPr>
        <w:t xml:space="preserve"> the extent </w:t>
      </w:r>
      <w:r w:rsidR="004273B6" w:rsidRPr="004C5271">
        <w:rPr>
          <w:rFonts w:asciiTheme="majorBidi" w:hAnsiTheme="majorBidi" w:cstheme="majorBidi"/>
          <w:lang w:val="en-AU"/>
        </w:rPr>
        <w:t>to</w:t>
      </w:r>
      <w:r w:rsidR="009F2929" w:rsidRPr="004C5271">
        <w:rPr>
          <w:rFonts w:asciiTheme="majorBidi" w:hAnsiTheme="majorBidi" w:cstheme="majorBidi"/>
          <w:lang w:val="en-AU"/>
        </w:rPr>
        <w:t xml:space="preserve"> which meritorious claims are </w:t>
      </w:r>
      <w:r w:rsidR="00CC28E7" w:rsidRPr="004C5271">
        <w:rPr>
          <w:rFonts w:asciiTheme="majorBidi" w:hAnsiTheme="majorBidi" w:cstheme="majorBidi"/>
          <w:lang w:val="en-AU"/>
        </w:rPr>
        <w:t>un</w:t>
      </w:r>
      <w:r w:rsidR="004273B6" w:rsidRPr="004C5271">
        <w:rPr>
          <w:rFonts w:asciiTheme="majorBidi" w:hAnsiTheme="majorBidi" w:cstheme="majorBidi"/>
          <w:lang w:val="en-AU"/>
        </w:rPr>
        <w:t xml:space="preserve">able to be </w:t>
      </w:r>
      <w:r w:rsidR="009F2929" w:rsidRPr="004C5271">
        <w:rPr>
          <w:rFonts w:asciiTheme="majorBidi" w:hAnsiTheme="majorBidi" w:cstheme="majorBidi"/>
          <w:lang w:val="en-AU"/>
        </w:rPr>
        <w:t xml:space="preserve">pursued </w:t>
      </w:r>
      <w:r w:rsidR="008C4CB1" w:rsidRPr="004C5271">
        <w:rPr>
          <w:rFonts w:asciiTheme="majorBidi" w:hAnsiTheme="majorBidi" w:cstheme="majorBidi"/>
          <w:lang w:val="en-AU"/>
        </w:rPr>
        <w:t>because of</w:t>
      </w:r>
      <w:r w:rsidR="009F2929" w:rsidRPr="004C5271">
        <w:rPr>
          <w:rFonts w:asciiTheme="majorBidi" w:hAnsiTheme="majorBidi" w:cstheme="majorBidi"/>
          <w:lang w:val="en-AU"/>
        </w:rPr>
        <w:t xml:space="preserve"> </w:t>
      </w:r>
      <w:r w:rsidR="009C31E8" w:rsidRPr="004C5271">
        <w:rPr>
          <w:rFonts w:asciiTheme="majorBidi" w:hAnsiTheme="majorBidi" w:cstheme="majorBidi"/>
          <w:lang w:val="en-AU"/>
        </w:rPr>
        <w:t>the absence of notional estate provisions in Tasmania</w:t>
      </w:r>
      <w:r w:rsidR="009F2929" w:rsidRPr="004C5271">
        <w:rPr>
          <w:rFonts w:asciiTheme="majorBidi" w:hAnsiTheme="majorBidi" w:cstheme="majorBidi"/>
          <w:lang w:val="en-AU"/>
        </w:rPr>
        <w:t>.</w:t>
      </w:r>
    </w:p>
    <w:p w14:paraId="5CE3E9EB" w14:textId="772767C0" w:rsidR="001D197A" w:rsidRPr="004C5271" w:rsidRDefault="00C74487" w:rsidP="00FC5CA9">
      <w:pPr>
        <w:pStyle w:val="NormalNumberedTextTLRI"/>
        <w:rPr>
          <w:rFonts w:asciiTheme="majorBidi" w:hAnsiTheme="majorBidi" w:cstheme="majorBidi"/>
          <w:lang w:val="en-AU"/>
        </w:rPr>
      </w:pPr>
      <w:r w:rsidRPr="004C5271">
        <w:rPr>
          <w:rFonts w:asciiTheme="majorBidi" w:hAnsiTheme="majorBidi" w:cstheme="majorBidi"/>
          <w:lang w:val="en-AU"/>
        </w:rPr>
        <w:t>T</w:t>
      </w:r>
      <w:r w:rsidR="0048009B" w:rsidRPr="004C5271">
        <w:rPr>
          <w:rFonts w:asciiTheme="majorBidi" w:hAnsiTheme="majorBidi" w:cstheme="majorBidi"/>
          <w:lang w:val="en-AU"/>
        </w:rPr>
        <w:t>hese are matters</w:t>
      </w:r>
      <w:r w:rsidR="00477464" w:rsidRPr="004C5271">
        <w:rPr>
          <w:rFonts w:asciiTheme="majorBidi" w:hAnsiTheme="majorBidi" w:cstheme="majorBidi"/>
          <w:lang w:val="en-AU"/>
        </w:rPr>
        <w:t xml:space="preserve"> about which </w:t>
      </w:r>
      <w:r w:rsidR="00E80384" w:rsidRPr="004C5271">
        <w:rPr>
          <w:rFonts w:asciiTheme="majorBidi" w:hAnsiTheme="majorBidi" w:cstheme="majorBidi"/>
          <w:lang w:val="en-AU"/>
        </w:rPr>
        <w:t>there is</w:t>
      </w:r>
      <w:r w:rsidR="00477464" w:rsidRPr="004C5271">
        <w:rPr>
          <w:rFonts w:asciiTheme="majorBidi" w:hAnsiTheme="majorBidi" w:cstheme="majorBidi"/>
          <w:lang w:val="en-AU"/>
        </w:rPr>
        <w:t xml:space="preserve"> </w:t>
      </w:r>
      <w:r w:rsidR="00A76549" w:rsidRPr="004C5271">
        <w:rPr>
          <w:rFonts w:asciiTheme="majorBidi" w:hAnsiTheme="majorBidi" w:cstheme="majorBidi"/>
          <w:lang w:val="en-AU"/>
        </w:rPr>
        <w:t>little, if any, empirical evidence</w:t>
      </w:r>
      <w:r w:rsidR="00477464" w:rsidRPr="004C5271">
        <w:rPr>
          <w:rFonts w:asciiTheme="majorBidi" w:hAnsiTheme="majorBidi" w:cstheme="majorBidi"/>
          <w:lang w:val="en-AU"/>
        </w:rPr>
        <w:t>. For this reason</w:t>
      </w:r>
      <w:r w:rsidR="00EA55E9" w:rsidRPr="004C5271">
        <w:rPr>
          <w:rFonts w:asciiTheme="majorBidi" w:hAnsiTheme="majorBidi" w:cstheme="majorBidi"/>
          <w:lang w:val="en-AU"/>
        </w:rPr>
        <w:t>,</w:t>
      </w:r>
      <w:r w:rsidR="00477464" w:rsidRPr="004C5271">
        <w:rPr>
          <w:rFonts w:asciiTheme="majorBidi" w:hAnsiTheme="majorBidi" w:cstheme="majorBidi"/>
          <w:lang w:val="en-AU"/>
        </w:rPr>
        <w:t xml:space="preserve"> </w:t>
      </w:r>
      <w:r w:rsidR="00EE3CBA" w:rsidRPr="004C5271">
        <w:rPr>
          <w:rFonts w:asciiTheme="majorBidi" w:hAnsiTheme="majorBidi" w:cstheme="majorBidi"/>
          <w:lang w:val="en-AU"/>
        </w:rPr>
        <w:t xml:space="preserve">the Institute </w:t>
      </w:r>
      <w:r w:rsidR="00F07932" w:rsidRPr="004C5271">
        <w:rPr>
          <w:rFonts w:asciiTheme="majorBidi" w:hAnsiTheme="majorBidi" w:cstheme="majorBidi"/>
          <w:lang w:val="en-AU"/>
        </w:rPr>
        <w:t>sought</w:t>
      </w:r>
      <w:r w:rsidR="00F87BF6" w:rsidRPr="004C5271">
        <w:rPr>
          <w:rFonts w:asciiTheme="majorBidi" w:hAnsiTheme="majorBidi" w:cstheme="majorBidi"/>
          <w:lang w:val="en-AU"/>
        </w:rPr>
        <w:t xml:space="preserve"> information about </w:t>
      </w:r>
      <w:r w:rsidR="00F07932" w:rsidRPr="004C5271">
        <w:rPr>
          <w:rFonts w:asciiTheme="majorBidi" w:hAnsiTheme="majorBidi" w:cstheme="majorBidi"/>
          <w:lang w:val="en-AU"/>
        </w:rPr>
        <w:t>whether individuals</w:t>
      </w:r>
      <w:r w:rsidR="00477464" w:rsidRPr="004C5271">
        <w:rPr>
          <w:rFonts w:asciiTheme="majorBidi" w:hAnsiTheme="majorBidi" w:cstheme="majorBidi"/>
          <w:lang w:val="en-AU"/>
        </w:rPr>
        <w:t xml:space="preserve"> </w:t>
      </w:r>
      <w:r w:rsidR="00F87BF6" w:rsidRPr="004C5271">
        <w:rPr>
          <w:rFonts w:asciiTheme="majorBidi" w:hAnsiTheme="majorBidi" w:cstheme="majorBidi"/>
          <w:lang w:val="en-AU"/>
        </w:rPr>
        <w:t xml:space="preserve">had </w:t>
      </w:r>
      <w:r w:rsidR="00F07932" w:rsidRPr="004C5271">
        <w:rPr>
          <w:rFonts w:asciiTheme="majorBidi" w:hAnsiTheme="majorBidi" w:cstheme="majorBidi"/>
          <w:lang w:val="en-AU"/>
        </w:rPr>
        <w:t xml:space="preserve">experienced situations where </w:t>
      </w:r>
      <w:r w:rsidR="004273B6" w:rsidRPr="004C5271">
        <w:rPr>
          <w:rFonts w:asciiTheme="majorBidi" w:hAnsiTheme="majorBidi" w:cstheme="majorBidi"/>
          <w:lang w:val="en-AU"/>
        </w:rPr>
        <w:t>a person</w:t>
      </w:r>
      <w:r w:rsidR="00F07932" w:rsidRPr="004C5271">
        <w:rPr>
          <w:rFonts w:asciiTheme="majorBidi" w:hAnsiTheme="majorBidi" w:cstheme="majorBidi"/>
          <w:lang w:val="en-AU"/>
        </w:rPr>
        <w:t xml:space="preserve"> had structured their affairs to remove them from risk of a</w:t>
      </w:r>
      <w:r w:rsidR="00477464" w:rsidRPr="004C5271">
        <w:rPr>
          <w:rFonts w:asciiTheme="majorBidi" w:hAnsiTheme="majorBidi" w:cstheme="majorBidi"/>
          <w:lang w:val="en-AU"/>
        </w:rPr>
        <w:t xml:space="preserve"> </w:t>
      </w:r>
      <w:r w:rsidR="00F07932" w:rsidRPr="004C5271">
        <w:rPr>
          <w:rFonts w:asciiTheme="majorBidi" w:hAnsiTheme="majorBidi" w:cstheme="majorBidi"/>
          <w:lang w:val="en-AU"/>
        </w:rPr>
        <w:t>family provision</w:t>
      </w:r>
      <w:r w:rsidR="00477464" w:rsidRPr="004C5271">
        <w:rPr>
          <w:rFonts w:asciiTheme="majorBidi" w:hAnsiTheme="majorBidi" w:cstheme="majorBidi"/>
          <w:lang w:val="en-AU"/>
        </w:rPr>
        <w:t xml:space="preserve"> </w:t>
      </w:r>
      <w:r w:rsidR="00F07932" w:rsidRPr="004C5271">
        <w:rPr>
          <w:rFonts w:asciiTheme="majorBidi" w:hAnsiTheme="majorBidi" w:cstheme="majorBidi"/>
          <w:lang w:val="en-AU"/>
        </w:rPr>
        <w:t>challenge:</w:t>
      </w:r>
    </w:p>
    <w:p w14:paraId="5E2252CE" w14:textId="38F9724E" w:rsidR="00AC6D38" w:rsidRPr="004C5271" w:rsidRDefault="00AC6D38" w:rsidP="00DD56D7">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b/>
          <w:bCs/>
          <w:lang w:val="en-AU"/>
        </w:rPr>
      </w:pPr>
      <w:bookmarkStart w:id="119" w:name="Question1"/>
      <w:r w:rsidRPr="004C5271">
        <w:rPr>
          <w:rFonts w:asciiTheme="majorBidi" w:hAnsiTheme="majorBidi" w:cstheme="majorBidi"/>
          <w:b/>
          <w:bCs/>
          <w:lang w:val="en-AU"/>
        </w:rPr>
        <w:t>Question 1</w:t>
      </w:r>
    </w:p>
    <w:bookmarkEnd w:id="119"/>
    <w:p w14:paraId="65CF9D1F" w14:textId="5041E535" w:rsidR="00AC6D38" w:rsidRPr="004C5271" w:rsidRDefault="00AC6D38" w:rsidP="00DD56D7">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i/>
          <w:lang w:val="en-AU"/>
        </w:rPr>
      </w:pPr>
      <w:r w:rsidRPr="004C5271">
        <w:rPr>
          <w:rFonts w:asciiTheme="majorBidi" w:hAnsiTheme="majorBidi" w:cstheme="majorBidi"/>
          <w:lang w:val="en-AU"/>
        </w:rPr>
        <w:t xml:space="preserve">In your experience, do people deal with or structure their assets in order to reduce the property that is available to make provision for a successful applicant under the </w:t>
      </w:r>
      <w:r w:rsidRPr="004C5271">
        <w:rPr>
          <w:rFonts w:asciiTheme="majorBidi" w:hAnsiTheme="majorBidi" w:cstheme="majorBidi"/>
          <w:i/>
          <w:lang w:val="en-AU"/>
        </w:rPr>
        <w:t>Testator’s Family Maintenance Act 1912</w:t>
      </w:r>
      <w:r w:rsidRPr="004C5271">
        <w:rPr>
          <w:rFonts w:asciiTheme="majorBidi" w:hAnsiTheme="majorBidi" w:cstheme="majorBidi"/>
          <w:lang w:val="en-AU"/>
        </w:rPr>
        <w:t xml:space="preserve"> (Tas)? Please provide examples.</w:t>
      </w:r>
      <w:r w:rsidRPr="004C5271">
        <w:rPr>
          <w:rStyle w:val="FootnoteReference"/>
          <w:rFonts w:asciiTheme="majorBidi" w:hAnsiTheme="majorBidi" w:cstheme="majorBidi"/>
          <w:bCs/>
          <w:lang w:val="en-AU"/>
        </w:rPr>
        <w:footnoteReference w:id="251"/>
      </w:r>
    </w:p>
    <w:p w14:paraId="2D134E0D" w14:textId="445DB891" w:rsidR="002F0223" w:rsidRPr="004C5271" w:rsidRDefault="004711EC" w:rsidP="004711EC">
      <w:pPr>
        <w:pStyle w:val="NormalNumberedTextTLRI"/>
        <w:rPr>
          <w:rFonts w:asciiTheme="majorBidi" w:hAnsiTheme="majorBidi" w:cstheme="majorBidi"/>
          <w:lang w:val="en-AU"/>
        </w:rPr>
      </w:pPr>
      <w:bookmarkStart w:id="120" w:name="_Ref13503149"/>
      <w:bookmarkStart w:id="121" w:name="Question2"/>
      <w:r w:rsidRPr="004C5271">
        <w:rPr>
          <w:rFonts w:asciiTheme="majorBidi" w:hAnsiTheme="majorBidi" w:cstheme="majorBidi"/>
          <w:lang w:val="en-AU"/>
        </w:rPr>
        <w:t xml:space="preserve">There were </w:t>
      </w:r>
      <w:r w:rsidR="00961409" w:rsidRPr="004C5271">
        <w:rPr>
          <w:rFonts w:asciiTheme="majorBidi" w:hAnsiTheme="majorBidi" w:cstheme="majorBidi"/>
          <w:lang w:val="en-AU"/>
        </w:rPr>
        <w:t>1</w:t>
      </w:r>
      <w:r w:rsidR="00FF6EC2" w:rsidRPr="004C5271">
        <w:rPr>
          <w:rFonts w:asciiTheme="majorBidi" w:hAnsiTheme="majorBidi" w:cstheme="majorBidi"/>
          <w:lang w:val="en-AU"/>
        </w:rPr>
        <w:t>7</w:t>
      </w:r>
      <w:r w:rsidR="002F0223" w:rsidRPr="004C5271">
        <w:rPr>
          <w:rStyle w:val="FootnoteReference"/>
          <w:rFonts w:asciiTheme="majorBidi" w:hAnsiTheme="majorBidi" w:cstheme="majorBidi"/>
          <w:lang w:val="en-AU"/>
        </w:rPr>
        <w:footnoteReference w:id="252"/>
      </w:r>
      <w:r w:rsidRPr="004C5271">
        <w:rPr>
          <w:rFonts w:asciiTheme="majorBidi" w:hAnsiTheme="majorBidi" w:cstheme="majorBidi"/>
          <w:lang w:val="en-AU"/>
        </w:rPr>
        <w:t xml:space="preserve"> </w:t>
      </w:r>
      <w:r w:rsidR="002F0223" w:rsidRPr="004C5271">
        <w:rPr>
          <w:rFonts w:asciiTheme="majorBidi" w:hAnsiTheme="majorBidi" w:cstheme="majorBidi"/>
          <w:lang w:val="en-AU"/>
        </w:rPr>
        <w:t>submissions addressing</w:t>
      </w:r>
      <w:r w:rsidRPr="004C5271">
        <w:rPr>
          <w:rFonts w:asciiTheme="majorBidi" w:hAnsiTheme="majorBidi" w:cstheme="majorBidi"/>
          <w:lang w:val="en-AU"/>
        </w:rPr>
        <w:t xml:space="preserve"> this question.</w:t>
      </w:r>
      <w:r w:rsidR="002F0223" w:rsidRPr="004C5271">
        <w:rPr>
          <w:rFonts w:asciiTheme="majorBidi" w:hAnsiTheme="majorBidi" w:cstheme="majorBidi"/>
          <w:lang w:val="en-AU"/>
        </w:rPr>
        <w:t xml:space="preserve"> Either explicitly or implicitly, 1</w:t>
      </w:r>
      <w:r w:rsidR="00FF6EC2" w:rsidRPr="004C5271">
        <w:rPr>
          <w:rFonts w:asciiTheme="majorBidi" w:hAnsiTheme="majorBidi" w:cstheme="majorBidi"/>
          <w:lang w:val="en-AU"/>
        </w:rPr>
        <w:t>4</w:t>
      </w:r>
      <w:r w:rsidR="002F0223" w:rsidRPr="004C5271">
        <w:rPr>
          <w:rStyle w:val="FootnoteReference"/>
          <w:rFonts w:asciiTheme="majorBidi" w:hAnsiTheme="majorBidi" w:cstheme="majorBidi"/>
          <w:lang w:val="en-AU"/>
        </w:rPr>
        <w:footnoteReference w:id="253"/>
      </w:r>
      <w:r w:rsidR="002F0223" w:rsidRPr="004C5271">
        <w:rPr>
          <w:rFonts w:asciiTheme="majorBidi" w:hAnsiTheme="majorBidi" w:cstheme="majorBidi"/>
          <w:lang w:val="en-AU"/>
        </w:rPr>
        <w:t xml:space="preserve"> </w:t>
      </w:r>
      <w:r w:rsidR="00B6238E" w:rsidRPr="004C5271">
        <w:rPr>
          <w:rFonts w:asciiTheme="majorBidi" w:hAnsiTheme="majorBidi" w:cstheme="majorBidi"/>
          <w:lang w:val="en-AU"/>
        </w:rPr>
        <w:t xml:space="preserve">submissions </w:t>
      </w:r>
      <w:r w:rsidR="00154CCC" w:rsidRPr="004C5271">
        <w:rPr>
          <w:rFonts w:asciiTheme="majorBidi" w:hAnsiTheme="majorBidi" w:cstheme="majorBidi"/>
          <w:lang w:val="en-AU"/>
        </w:rPr>
        <w:t>(8</w:t>
      </w:r>
      <w:r w:rsidR="00FF6EC2" w:rsidRPr="004C5271">
        <w:rPr>
          <w:rFonts w:asciiTheme="majorBidi" w:hAnsiTheme="majorBidi" w:cstheme="majorBidi"/>
          <w:lang w:val="en-AU"/>
        </w:rPr>
        <w:t>2</w:t>
      </w:r>
      <w:r w:rsidR="00154CCC" w:rsidRPr="004C5271">
        <w:rPr>
          <w:rFonts w:asciiTheme="majorBidi" w:hAnsiTheme="majorBidi" w:cstheme="majorBidi"/>
          <w:lang w:val="en-AU"/>
        </w:rPr>
        <w:t xml:space="preserve">%) </w:t>
      </w:r>
      <w:r w:rsidR="002F0223" w:rsidRPr="004C5271">
        <w:rPr>
          <w:rFonts w:asciiTheme="majorBidi" w:hAnsiTheme="majorBidi" w:cstheme="majorBidi"/>
          <w:lang w:val="en-AU"/>
        </w:rPr>
        <w:t xml:space="preserve">indicated that, in their </w:t>
      </w:r>
      <w:r w:rsidR="002F0223" w:rsidRPr="004C5271">
        <w:rPr>
          <w:rFonts w:asciiTheme="majorBidi" w:hAnsiTheme="majorBidi" w:cstheme="majorBidi"/>
          <w:lang w:val="en-AU"/>
        </w:rPr>
        <w:lastRenderedPageBreak/>
        <w:t>experience, there are occasions in which people structure their affairs to remove assets from their estate. Some</w:t>
      </w:r>
      <w:r w:rsidR="00D95C53" w:rsidRPr="004C5271">
        <w:rPr>
          <w:rFonts w:asciiTheme="majorBidi" w:hAnsiTheme="majorBidi" w:cstheme="majorBidi"/>
          <w:lang w:val="en-AU"/>
        </w:rPr>
        <w:t xml:space="preserve"> respondents</w:t>
      </w:r>
      <w:r w:rsidR="002F0223" w:rsidRPr="004C5271">
        <w:rPr>
          <w:rFonts w:asciiTheme="majorBidi" w:hAnsiTheme="majorBidi" w:cstheme="majorBidi"/>
          <w:lang w:val="en-AU"/>
        </w:rPr>
        <w:t>, however, qualified their response by indicating either:</w:t>
      </w:r>
      <w:bookmarkEnd w:id="120"/>
    </w:p>
    <w:p w14:paraId="2822BA18" w14:textId="39E9CC6A" w:rsidR="004711EC" w:rsidRPr="004C5271" w:rsidRDefault="002F0223" w:rsidP="002F0223">
      <w:pPr>
        <w:pStyle w:val="DotPointTLRI"/>
        <w:rPr>
          <w:rFonts w:asciiTheme="majorBidi" w:hAnsiTheme="majorBidi" w:cstheme="majorBidi"/>
          <w:lang w:val="en-AU"/>
        </w:rPr>
      </w:pPr>
      <w:r w:rsidRPr="004C5271">
        <w:rPr>
          <w:rFonts w:asciiTheme="majorBidi" w:hAnsiTheme="majorBidi" w:cstheme="majorBidi"/>
          <w:lang w:val="en-AU"/>
        </w:rPr>
        <w:t xml:space="preserve">that the circumstances in which this </w:t>
      </w:r>
      <w:r w:rsidR="00693881" w:rsidRPr="004C5271">
        <w:rPr>
          <w:rFonts w:asciiTheme="majorBidi" w:hAnsiTheme="majorBidi" w:cstheme="majorBidi"/>
          <w:lang w:val="en-AU"/>
        </w:rPr>
        <w:t xml:space="preserve">is </w:t>
      </w:r>
      <w:r w:rsidR="008A0925" w:rsidRPr="004C5271">
        <w:rPr>
          <w:rFonts w:asciiTheme="majorBidi" w:hAnsiTheme="majorBidi" w:cstheme="majorBidi"/>
          <w:lang w:val="en-AU"/>
        </w:rPr>
        <w:t>completed</w:t>
      </w:r>
      <w:r w:rsidRPr="004C5271">
        <w:rPr>
          <w:rFonts w:asciiTheme="majorBidi" w:hAnsiTheme="majorBidi" w:cstheme="majorBidi"/>
          <w:lang w:val="en-AU"/>
        </w:rPr>
        <w:t xml:space="preserve"> </w:t>
      </w:r>
      <w:r w:rsidR="00074EB7" w:rsidRPr="004C5271">
        <w:rPr>
          <w:rFonts w:asciiTheme="majorBidi" w:hAnsiTheme="majorBidi" w:cstheme="majorBidi"/>
          <w:lang w:val="en-AU"/>
        </w:rPr>
        <w:t xml:space="preserve">for the </w:t>
      </w:r>
      <w:r w:rsidR="00D862A4" w:rsidRPr="004C5271">
        <w:rPr>
          <w:rFonts w:asciiTheme="majorBidi" w:hAnsiTheme="majorBidi" w:cstheme="majorBidi"/>
          <w:lang w:val="en-AU"/>
        </w:rPr>
        <w:t xml:space="preserve">primary </w:t>
      </w:r>
      <w:r w:rsidR="00074EB7" w:rsidRPr="004C5271">
        <w:rPr>
          <w:rFonts w:asciiTheme="majorBidi" w:hAnsiTheme="majorBidi" w:cstheme="majorBidi"/>
          <w:lang w:val="en-AU"/>
        </w:rPr>
        <w:t>purpose of</w:t>
      </w:r>
      <w:r w:rsidRPr="004C5271">
        <w:rPr>
          <w:rFonts w:asciiTheme="majorBidi" w:hAnsiTheme="majorBidi" w:cstheme="majorBidi"/>
          <w:lang w:val="en-AU"/>
        </w:rPr>
        <w:t xml:space="preserve"> remov</w:t>
      </w:r>
      <w:r w:rsidR="00074EB7" w:rsidRPr="004C5271">
        <w:rPr>
          <w:rFonts w:asciiTheme="majorBidi" w:hAnsiTheme="majorBidi" w:cstheme="majorBidi"/>
          <w:lang w:val="en-AU"/>
        </w:rPr>
        <w:t>ing</w:t>
      </w:r>
      <w:r w:rsidRPr="004C5271">
        <w:rPr>
          <w:rFonts w:asciiTheme="majorBidi" w:hAnsiTheme="majorBidi" w:cstheme="majorBidi"/>
          <w:lang w:val="en-AU"/>
        </w:rPr>
        <w:t xml:space="preserve"> assets from a family provision challenge is, in their experience, relatively rare;</w:t>
      </w:r>
      <w:r w:rsidR="0048379E" w:rsidRPr="004C5271">
        <w:rPr>
          <w:rStyle w:val="FootnoteReference"/>
          <w:rFonts w:asciiTheme="majorBidi" w:hAnsiTheme="majorBidi" w:cstheme="majorBidi"/>
          <w:lang w:val="en-AU"/>
        </w:rPr>
        <w:footnoteReference w:id="254"/>
      </w:r>
      <w:r w:rsidRPr="004C5271">
        <w:rPr>
          <w:rFonts w:asciiTheme="majorBidi" w:hAnsiTheme="majorBidi" w:cstheme="majorBidi"/>
          <w:lang w:val="en-AU"/>
        </w:rPr>
        <w:t xml:space="preserve"> </w:t>
      </w:r>
      <w:r w:rsidR="00874574" w:rsidRPr="004C5271">
        <w:rPr>
          <w:rFonts w:asciiTheme="majorBidi" w:hAnsiTheme="majorBidi" w:cstheme="majorBidi"/>
          <w:lang w:val="en-AU"/>
        </w:rPr>
        <w:t>and/</w:t>
      </w:r>
      <w:r w:rsidRPr="004C5271">
        <w:rPr>
          <w:rFonts w:asciiTheme="majorBidi" w:hAnsiTheme="majorBidi" w:cstheme="majorBidi"/>
          <w:lang w:val="en-AU"/>
        </w:rPr>
        <w:t>or</w:t>
      </w:r>
    </w:p>
    <w:p w14:paraId="494EB81E" w14:textId="3A754965" w:rsidR="002F0223" w:rsidRPr="004C5271" w:rsidRDefault="002F0223" w:rsidP="002F0223">
      <w:pPr>
        <w:pStyle w:val="DotPointTLRI"/>
        <w:rPr>
          <w:rFonts w:asciiTheme="majorBidi" w:hAnsiTheme="majorBidi" w:cstheme="majorBidi"/>
          <w:lang w:val="en-AU"/>
        </w:rPr>
      </w:pPr>
      <w:r w:rsidRPr="004C5271">
        <w:rPr>
          <w:rFonts w:asciiTheme="majorBidi" w:hAnsiTheme="majorBidi" w:cstheme="majorBidi"/>
          <w:lang w:val="en-AU"/>
        </w:rPr>
        <w:t xml:space="preserve">that </w:t>
      </w:r>
      <w:r w:rsidR="00154CCC" w:rsidRPr="004C5271">
        <w:rPr>
          <w:rFonts w:asciiTheme="majorBidi" w:hAnsiTheme="majorBidi" w:cstheme="majorBidi"/>
          <w:lang w:val="en-AU"/>
        </w:rPr>
        <w:t xml:space="preserve">the removal of assets from the estate environment </w:t>
      </w:r>
      <w:r w:rsidR="006F5F91" w:rsidRPr="004C5271">
        <w:rPr>
          <w:rFonts w:asciiTheme="majorBidi" w:hAnsiTheme="majorBidi" w:cstheme="majorBidi"/>
          <w:lang w:val="en-AU"/>
        </w:rPr>
        <w:t>is more commonly</w:t>
      </w:r>
      <w:r w:rsidR="00154CCC" w:rsidRPr="004C5271">
        <w:rPr>
          <w:rFonts w:asciiTheme="majorBidi" w:hAnsiTheme="majorBidi" w:cstheme="majorBidi"/>
          <w:lang w:val="en-AU"/>
        </w:rPr>
        <w:t xml:space="preserve"> completed for a range of </w:t>
      </w:r>
      <w:r w:rsidR="00074EB7" w:rsidRPr="004C5271">
        <w:rPr>
          <w:rFonts w:asciiTheme="majorBidi" w:hAnsiTheme="majorBidi" w:cstheme="majorBidi"/>
          <w:lang w:val="en-AU"/>
        </w:rPr>
        <w:t xml:space="preserve">other </w:t>
      </w:r>
      <w:r w:rsidR="00154CCC" w:rsidRPr="004C5271">
        <w:rPr>
          <w:rFonts w:asciiTheme="majorBidi" w:hAnsiTheme="majorBidi" w:cstheme="majorBidi"/>
          <w:lang w:val="en-AU"/>
        </w:rPr>
        <w:t>reasons</w:t>
      </w:r>
      <w:r w:rsidR="00D862A4" w:rsidRPr="004C5271">
        <w:rPr>
          <w:rFonts w:asciiTheme="majorBidi" w:hAnsiTheme="majorBidi" w:cstheme="majorBidi"/>
          <w:lang w:val="en-AU"/>
        </w:rPr>
        <w:t xml:space="preserve"> </w:t>
      </w:r>
      <w:r w:rsidR="00154CCC" w:rsidRPr="004C5271">
        <w:rPr>
          <w:rFonts w:asciiTheme="majorBidi" w:hAnsiTheme="majorBidi" w:cstheme="majorBidi"/>
          <w:lang w:val="en-AU"/>
        </w:rPr>
        <w:t>including taxation, asset protection purposes, or to avoid the need for a Grant of Administration after death.</w:t>
      </w:r>
      <w:r w:rsidR="0048379E" w:rsidRPr="004C5271">
        <w:rPr>
          <w:rStyle w:val="FootnoteReference"/>
          <w:rFonts w:asciiTheme="majorBidi" w:hAnsiTheme="majorBidi" w:cstheme="majorBidi"/>
          <w:lang w:val="en-AU"/>
        </w:rPr>
        <w:footnoteReference w:id="255"/>
      </w:r>
      <w:r w:rsidR="00154CCC" w:rsidRPr="004C5271">
        <w:rPr>
          <w:rFonts w:asciiTheme="majorBidi" w:hAnsiTheme="majorBidi" w:cstheme="majorBidi"/>
          <w:lang w:val="en-AU"/>
        </w:rPr>
        <w:t xml:space="preserve"> </w:t>
      </w:r>
    </w:p>
    <w:p w14:paraId="39D76309" w14:textId="7A33CAF2" w:rsidR="009151AC" w:rsidRPr="004C5271" w:rsidRDefault="009151AC" w:rsidP="00A13D7B">
      <w:pPr>
        <w:pStyle w:val="NormalNumberedTextTLRI"/>
        <w:rPr>
          <w:rFonts w:asciiTheme="majorBidi" w:hAnsiTheme="majorBidi" w:cstheme="majorBidi"/>
          <w:lang w:val="en-AU"/>
        </w:rPr>
      </w:pPr>
      <w:r w:rsidRPr="004C5271">
        <w:rPr>
          <w:rFonts w:asciiTheme="majorBidi" w:hAnsiTheme="majorBidi" w:cstheme="majorBidi"/>
          <w:lang w:val="en-AU"/>
        </w:rPr>
        <w:t>Three</w:t>
      </w:r>
      <w:r w:rsidR="0048379E" w:rsidRPr="004C5271">
        <w:rPr>
          <w:rFonts w:asciiTheme="majorBidi" w:hAnsiTheme="majorBidi" w:cstheme="majorBidi"/>
          <w:lang w:val="en-AU"/>
        </w:rPr>
        <w:t xml:space="preserve"> lawyers</w:t>
      </w:r>
      <w:r w:rsidR="0048379E" w:rsidRPr="004C5271">
        <w:rPr>
          <w:rStyle w:val="FootnoteReference"/>
          <w:rFonts w:asciiTheme="majorBidi" w:hAnsiTheme="majorBidi" w:cstheme="majorBidi"/>
          <w:lang w:val="en-AU"/>
        </w:rPr>
        <w:footnoteReference w:id="256"/>
      </w:r>
      <w:r w:rsidR="0048379E" w:rsidRPr="004C5271">
        <w:rPr>
          <w:rFonts w:asciiTheme="majorBidi" w:hAnsiTheme="majorBidi" w:cstheme="majorBidi"/>
          <w:lang w:val="en-AU"/>
        </w:rPr>
        <w:t xml:space="preserve"> </w:t>
      </w:r>
      <w:r w:rsidR="00693881" w:rsidRPr="004C5271">
        <w:rPr>
          <w:rFonts w:asciiTheme="majorBidi" w:hAnsiTheme="majorBidi" w:cstheme="majorBidi"/>
          <w:lang w:val="en-AU"/>
        </w:rPr>
        <w:t>stated</w:t>
      </w:r>
      <w:r w:rsidR="0048379E" w:rsidRPr="004C5271">
        <w:rPr>
          <w:rFonts w:asciiTheme="majorBidi" w:hAnsiTheme="majorBidi" w:cstheme="majorBidi"/>
          <w:lang w:val="en-AU"/>
        </w:rPr>
        <w:t xml:space="preserve"> that, in their experience, clients who structure their affairs with the intention of removing assets from </w:t>
      </w:r>
      <w:r w:rsidR="00D862A4" w:rsidRPr="004C5271">
        <w:rPr>
          <w:rFonts w:asciiTheme="majorBidi" w:hAnsiTheme="majorBidi" w:cstheme="majorBidi"/>
          <w:lang w:val="en-AU"/>
        </w:rPr>
        <w:t xml:space="preserve">a foreseeable </w:t>
      </w:r>
      <w:r w:rsidR="0048379E" w:rsidRPr="004C5271">
        <w:rPr>
          <w:rFonts w:asciiTheme="majorBidi" w:hAnsiTheme="majorBidi" w:cstheme="majorBidi"/>
          <w:lang w:val="en-AU"/>
        </w:rPr>
        <w:t xml:space="preserve">challenge are </w:t>
      </w:r>
      <w:r w:rsidR="003473DB" w:rsidRPr="004C5271">
        <w:rPr>
          <w:rFonts w:asciiTheme="majorBidi" w:hAnsiTheme="majorBidi" w:cstheme="majorBidi"/>
          <w:lang w:val="en-AU"/>
        </w:rPr>
        <w:t xml:space="preserve">usually </w:t>
      </w:r>
      <w:r w:rsidR="0048379E" w:rsidRPr="004C5271">
        <w:rPr>
          <w:rFonts w:asciiTheme="majorBidi" w:hAnsiTheme="majorBidi" w:cstheme="majorBidi"/>
          <w:lang w:val="en-AU"/>
        </w:rPr>
        <w:t>well informed</w:t>
      </w:r>
      <w:r w:rsidRPr="004C5271">
        <w:rPr>
          <w:rFonts w:asciiTheme="majorBidi" w:hAnsiTheme="majorBidi" w:cstheme="majorBidi"/>
          <w:lang w:val="en-AU"/>
        </w:rPr>
        <w:t xml:space="preserve"> and </w:t>
      </w:r>
      <w:r w:rsidR="00874574" w:rsidRPr="004C5271">
        <w:rPr>
          <w:rFonts w:asciiTheme="majorBidi" w:hAnsiTheme="majorBidi" w:cstheme="majorBidi"/>
          <w:lang w:val="en-AU"/>
        </w:rPr>
        <w:t xml:space="preserve">do so </w:t>
      </w:r>
      <w:r w:rsidR="00D862A4" w:rsidRPr="004C5271">
        <w:rPr>
          <w:rFonts w:asciiTheme="majorBidi" w:hAnsiTheme="majorBidi" w:cstheme="majorBidi"/>
          <w:lang w:val="en-AU"/>
        </w:rPr>
        <w:t xml:space="preserve">only </w:t>
      </w:r>
      <w:r w:rsidRPr="004C5271">
        <w:rPr>
          <w:rFonts w:asciiTheme="majorBidi" w:hAnsiTheme="majorBidi" w:cstheme="majorBidi"/>
          <w:lang w:val="en-AU"/>
        </w:rPr>
        <w:t>after careful consideration. Lawyer Justin McMullen submitted that more commonly, where a client has concerns about an adult child</w:t>
      </w:r>
      <w:r w:rsidR="00693881" w:rsidRPr="004C5271">
        <w:rPr>
          <w:rFonts w:asciiTheme="majorBidi" w:hAnsiTheme="majorBidi" w:cstheme="majorBidi"/>
          <w:lang w:val="en-AU"/>
        </w:rPr>
        <w:t xml:space="preserve"> receiving</w:t>
      </w:r>
      <w:r w:rsidR="00D862A4" w:rsidRPr="004C5271">
        <w:rPr>
          <w:rFonts w:asciiTheme="majorBidi" w:hAnsiTheme="majorBidi" w:cstheme="majorBidi"/>
          <w:lang w:val="en-AU"/>
        </w:rPr>
        <w:t xml:space="preserve"> </w:t>
      </w:r>
      <w:r w:rsidRPr="004C5271">
        <w:rPr>
          <w:rFonts w:asciiTheme="majorBidi" w:hAnsiTheme="majorBidi" w:cstheme="majorBidi"/>
          <w:lang w:val="en-AU"/>
        </w:rPr>
        <w:t xml:space="preserve">an inheritance, </w:t>
      </w:r>
      <w:r w:rsidR="00693881" w:rsidRPr="004C5271">
        <w:rPr>
          <w:rFonts w:asciiTheme="majorBidi" w:hAnsiTheme="majorBidi" w:cstheme="majorBidi"/>
          <w:lang w:val="en-AU"/>
        </w:rPr>
        <w:t>clients</w:t>
      </w:r>
      <w:r w:rsidRPr="004C5271">
        <w:rPr>
          <w:rFonts w:asciiTheme="majorBidi" w:hAnsiTheme="majorBidi" w:cstheme="majorBidi"/>
          <w:lang w:val="en-AU"/>
        </w:rPr>
        <w:t xml:space="preserve"> put </w:t>
      </w:r>
      <w:r w:rsidR="00874574" w:rsidRPr="004C5271">
        <w:rPr>
          <w:rFonts w:asciiTheme="majorBidi" w:hAnsiTheme="majorBidi" w:cstheme="majorBidi"/>
          <w:lang w:val="en-AU"/>
        </w:rPr>
        <w:t xml:space="preserve">in place </w:t>
      </w:r>
      <w:r w:rsidRPr="004C5271">
        <w:rPr>
          <w:rFonts w:asciiTheme="majorBidi" w:hAnsiTheme="majorBidi" w:cstheme="majorBidi"/>
          <w:lang w:val="en-AU"/>
        </w:rPr>
        <w:t>protective measures</w:t>
      </w:r>
      <w:r w:rsidR="00D862A4" w:rsidRPr="004C5271">
        <w:rPr>
          <w:rFonts w:asciiTheme="majorBidi" w:hAnsiTheme="majorBidi" w:cstheme="majorBidi"/>
          <w:lang w:val="en-AU"/>
        </w:rPr>
        <w:t xml:space="preserve"> for </w:t>
      </w:r>
      <w:r w:rsidR="00693881" w:rsidRPr="004C5271">
        <w:rPr>
          <w:rFonts w:asciiTheme="majorBidi" w:hAnsiTheme="majorBidi" w:cstheme="majorBidi"/>
          <w:lang w:val="en-AU"/>
        </w:rPr>
        <w:t>their</w:t>
      </w:r>
      <w:r w:rsidR="00D862A4" w:rsidRPr="004C5271">
        <w:rPr>
          <w:rFonts w:asciiTheme="majorBidi" w:hAnsiTheme="majorBidi" w:cstheme="majorBidi"/>
          <w:lang w:val="en-AU"/>
        </w:rPr>
        <w:t xml:space="preserve"> benefit</w:t>
      </w:r>
      <w:r w:rsidRPr="004C5271">
        <w:rPr>
          <w:rFonts w:asciiTheme="majorBidi" w:hAnsiTheme="majorBidi" w:cstheme="majorBidi"/>
          <w:lang w:val="en-AU"/>
        </w:rPr>
        <w:t xml:space="preserve">, rather than removing </w:t>
      </w:r>
      <w:r w:rsidR="00693881" w:rsidRPr="004C5271">
        <w:rPr>
          <w:rFonts w:asciiTheme="majorBidi" w:hAnsiTheme="majorBidi" w:cstheme="majorBidi"/>
          <w:lang w:val="en-AU"/>
        </w:rPr>
        <w:t>that child</w:t>
      </w:r>
      <w:r w:rsidRPr="004C5271">
        <w:rPr>
          <w:rFonts w:asciiTheme="majorBidi" w:hAnsiTheme="majorBidi" w:cstheme="majorBidi"/>
          <w:lang w:val="en-AU"/>
        </w:rPr>
        <w:t xml:space="preserve"> </w:t>
      </w:r>
      <w:r w:rsidR="00D862A4" w:rsidRPr="004C5271">
        <w:rPr>
          <w:rFonts w:asciiTheme="majorBidi" w:hAnsiTheme="majorBidi" w:cstheme="majorBidi"/>
          <w:lang w:val="en-AU"/>
        </w:rPr>
        <w:t>as a beneficiary</w:t>
      </w:r>
      <w:r w:rsidRPr="004C5271">
        <w:rPr>
          <w:rFonts w:asciiTheme="majorBidi" w:hAnsiTheme="majorBidi" w:cstheme="majorBidi"/>
          <w:lang w:val="en-AU"/>
        </w:rPr>
        <w:t>:</w:t>
      </w:r>
    </w:p>
    <w:p w14:paraId="3DE8C86A" w14:textId="01BD138C" w:rsidR="009151AC" w:rsidRPr="004C5271" w:rsidRDefault="009151AC" w:rsidP="003F7827">
      <w:pPr>
        <w:pStyle w:val="QuoteTLRI"/>
        <w:rPr>
          <w:rFonts w:asciiTheme="majorBidi" w:hAnsiTheme="majorBidi" w:cstheme="majorBidi"/>
        </w:rPr>
      </w:pPr>
      <w:r w:rsidRPr="004C5271">
        <w:rPr>
          <w:rFonts w:asciiTheme="majorBidi" w:hAnsiTheme="majorBidi" w:cstheme="majorBidi"/>
        </w:rPr>
        <w:t xml:space="preserve">Typically, where a testator parent has concerns over the poor behaviour of a child, they are more likely to put in place appropriate measures to protect that child from their poor behaviour. </w:t>
      </w:r>
      <w:proofErr w:type="gramStart"/>
      <w:r w:rsidRPr="004C5271">
        <w:rPr>
          <w:rFonts w:asciiTheme="majorBidi" w:hAnsiTheme="majorBidi" w:cstheme="majorBidi"/>
        </w:rPr>
        <w:t>That is to say, parents</w:t>
      </w:r>
      <w:proofErr w:type="gramEnd"/>
      <w:r w:rsidRPr="004C5271">
        <w:rPr>
          <w:rFonts w:asciiTheme="majorBidi" w:hAnsiTheme="majorBidi" w:cstheme="majorBidi"/>
        </w:rPr>
        <w:t xml:space="preserve"> no longer </w:t>
      </w:r>
      <w:r w:rsidR="002A53F7" w:rsidRPr="004C5271">
        <w:rPr>
          <w:rFonts w:asciiTheme="majorBidi" w:hAnsiTheme="majorBidi" w:cstheme="majorBidi"/>
        </w:rPr>
        <w:t>‘</w:t>
      </w:r>
      <w:r w:rsidRPr="004C5271">
        <w:rPr>
          <w:rFonts w:asciiTheme="majorBidi" w:hAnsiTheme="majorBidi" w:cstheme="majorBidi"/>
        </w:rPr>
        <w:t>cut out</w:t>
      </w:r>
      <w:r w:rsidR="002A53F7" w:rsidRPr="004C5271">
        <w:rPr>
          <w:rFonts w:asciiTheme="majorBidi" w:hAnsiTheme="majorBidi" w:cstheme="majorBidi"/>
        </w:rPr>
        <w:t>’</w:t>
      </w:r>
      <w:r w:rsidRPr="004C5271">
        <w:rPr>
          <w:rFonts w:asciiTheme="majorBidi" w:hAnsiTheme="majorBidi" w:cstheme="majorBidi"/>
        </w:rPr>
        <w:t xml:space="preserve"> the spendthrift, gambling or drug addicted child but rather use discretionary and protective trusts to ensure that they can safely make provision for those beneficiaries to ensure that they may get the highest benefit from the legacy that they will receive.</w:t>
      </w:r>
    </w:p>
    <w:p w14:paraId="14C4AF5A" w14:textId="2FFD9D6D" w:rsidR="009151AC" w:rsidRPr="004C5271" w:rsidRDefault="009151AC" w:rsidP="00A13D7B">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Retired lawyer Ann Hamilton </w:t>
      </w:r>
      <w:r w:rsidR="00E97347" w:rsidRPr="004C5271">
        <w:rPr>
          <w:rFonts w:asciiTheme="majorBidi" w:hAnsiTheme="majorBidi" w:cstheme="majorBidi"/>
          <w:lang w:val="en-AU"/>
        </w:rPr>
        <w:t>stated</w:t>
      </w:r>
      <w:r w:rsidRPr="004C5271">
        <w:rPr>
          <w:rFonts w:asciiTheme="majorBidi" w:hAnsiTheme="majorBidi" w:cstheme="majorBidi"/>
          <w:lang w:val="en-AU"/>
        </w:rPr>
        <w:t>:</w:t>
      </w:r>
    </w:p>
    <w:p w14:paraId="4040CD5D" w14:textId="66354DDE" w:rsidR="009151AC" w:rsidRPr="004C5271" w:rsidRDefault="009151AC" w:rsidP="003F7827">
      <w:pPr>
        <w:pStyle w:val="QuoteTLRI"/>
        <w:rPr>
          <w:rFonts w:asciiTheme="majorBidi" w:hAnsiTheme="majorBidi" w:cstheme="majorBidi"/>
        </w:rPr>
      </w:pPr>
      <w:r w:rsidRPr="004C5271">
        <w:rPr>
          <w:rFonts w:asciiTheme="majorBidi" w:hAnsiTheme="majorBidi" w:cstheme="majorBidi"/>
        </w:rPr>
        <w:t xml:space="preserve">In my experience people </w:t>
      </w:r>
      <w:proofErr w:type="gramStart"/>
      <w:r w:rsidRPr="004C5271">
        <w:rPr>
          <w:rFonts w:asciiTheme="majorBidi" w:hAnsiTheme="majorBidi" w:cstheme="majorBidi"/>
        </w:rPr>
        <w:t>making a decision</w:t>
      </w:r>
      <w:proofErr w:type="gramEnd"/>
      <w:r w:rsidRPr="004C5271">
        <w:rPr>
          <w:rFonts w:asciiTheme="majorBidi" w:hAnsiTheme="majorBidi" w:cstheme="majorBidi"/>
        </w:rPr>
        <w:t xml:space="preserve"> to cut a family member out of receiving a share of their estate find that decision difficult, and emotionally stressful. I would be constantly reminded of the complexity of family relationships and would see how much hurt is involved in estrangement. I never felt that people made the decision to cut someone off lightly or without re-living the pain of a difficult relationship.</w:t>
      </w:r>
    </w:p>
    <w:p w14:paraId="48C70C99" w14:textId="333EE461" w:rsidR="008949B4" w:rsidRPr="004C5271" w:rsidRDefault="009151AC" w:rsidP="00A13D7B">
      <w:pPr>
        <w:pStyle w:val="NormalNumberedTextTLRI"/>
        <w:rPr>
          <w:rFonts w:asciiTheme="majorBidi" w:hAnsiTheme="majorBidi" w:cstheme="majorBidi"/>
          <w:lang w:val="en-AU"/>
        </w:rPr>
      </w:pPr>
      <w:r w:rsidRPr="004C5271">
        <w:rPr>
          <w:rFonts w:asciiTheme="majorBidi" w:hAnsiTheme="majorBidi" w:cstheme="majorBidi"/>
          <w:lang w:val="en-AU"/>
        </w:rPr>
        <w:t>Several respondents</w:t>
      </w:r>
      <w:r w:rsidRPr="004C5271">
        <w:rPr>
          <w:rStyle w:val="FootnoteReference"/>
          <w:rFonts w:asciiTheme="majorBidi" w:hAnsiTheme="majorBidi" w:cstheme="majorBidi"/>
          <w:lang w:val="en-AU"/>
        </w:rPr>
        <w:footnoteReference w:id="257"/>
      </w:r>
      <w:r w:rsidRPr="004C5271">
        <w:rPr>
          <w:rFonts w:asciiTheme="majorBidi" w:hAnsiTheme="majorBidi" w:cstheme="majorBidi"/>
          <w:lang w:val="en-AU"/>
        </w:rPr>
        <w:t xml:space="preserve"> </w:t>
      </w:r>
      <w:r w:rsidR="00E97347" w:rsidRPr="004C5271">
        <w:rPr>
          <w:rFonts w:asciiTheme="majorBidi" w:hAnsiTheme="majorBidi" w:cstheme="majorBidi"/>
          <w:lang w:val="en-AU"/>
        </w:rPr>
        <w:t>observed</w:t>
      </w:r>
      <w:r w:rsidR="00074EB7" w:rsidRPr="004C5271">
        <w:rPr>
          <w:rFonts w:asciiTheme="majorBidi" w:hAnsiTheme="majorBidi" w:cstheme="majorBidi"/>
          <w:lang w:val="en-AU"/>
        </w:rPr>
        <w:t xml:space="preserve"> </w:t>
      </w:r>
      <w:r w:rsidRPr="004C5271">
        <w:rPr>
          <w:rFonts w:asciiTheme="majorBidi" w:hAnsiTheme="majorBidi" w:cstheme="majorBidi"/>
          <w:lang w:val="en-AU"/>
        </w:rPr>
        <w:t xml:space="preserve">that </w:t>
      </w:r>
      <w:r w:rsidR="00E97347" w:rsidRPr="004C5271">
        <w:rPr>
          <w:rFonts w:asciiTheme="majorBidi" w:hAnsiTheme="majorBidi" w:cstheme="majorBidi"/>
          <w:lang w:val="en-AU"/>
        </w:rPr>
        <w:t xml:space="preserve">usually </w:t>
      </w:r>
      <w:r w:rsidR="006F5F91" w:rsidRPr="004C5271">
        <w:rPr>
          <w:rFonts w:asciiTheme="majorBidi" w:hAnsiTheme="majorBidi" w:cstheme="majorBidi"/>
          <w:lang w:val="en-AU"/>
        </w:rPr>
        <w:t xml:space="preserve">people’s </w:t>
      </w:r>
      <w:r w:rsidRPr="004C5271">
        <w:rPr>
          <w:rFonts w:asciiTheme="majorBidi" w:hAnsiTheme="majorBidi" w:cstheme="majorBidi"/>
          <w:lang w:val="en-AU"/>
        </w:rPr>
        <w:t>intention</w:t>
      </w:r>
      <w:r w:rsidR="006F5F91" w:rsidRPr="004C5271">
        <w:rPr>
          <w:rFonts w:asciiTheme="majorBidi" w:hAnsiTheme="majorBidi" w:cstheme="majorBidi"/>
          <w:lang w:val="en-AU"/>
        </w:rPr>
        <w:t>s</w:t>
      </w:r>
      <w:r w:rsidRPr="004C5271">
        <w:rPr>
          <w:rFonts w:asciiTheme="majorBidi" w:hAnsiTheme="majorBidi" w:cstheme="majorBidi"/>
          <w:lang w:val="en-AU"/>
        </w:rPr>
        <w:t xml:space="preserve"> </w:t>
      </w:r>
      <w:r w:rsidR="00693881" w:rsidRPr="004C5271">
        <w:rPr>
          <w:rFonts w:asciiTheme="majorBidi" w:hAnsiTheme="majorBidi" w:cstheme="majorBidi"/>
          <w:lang w:val="en-AU"/>
        </w:rPr>
        <w:t>behind</w:t>
      </w:r>
      <w:r w:rsidRPr="004C5271">
        <w:rPr>
          <w:rFonts w:asciiTheme="majorBidi" w:hAnsiTheme="majorBidi" w:cstheme="majorBidi"/>
          <w:lang w:val="en-AU"/>
        </w:rPr>
        <w:t xml:space="preserve"> minimis</w:t>
      </w:r>
      <w:r w:rsidR="00074EB7" w:rsidRPr="004C5271">
        <w:rPr>
          <w:rFonts w:asciiTheme="majorBidi" w:hAnsiTheme="majorBidi" w:cstheme="majorBidi"/>
          <w:lang w:val="en-AU"/>
        </w:rPr>
        <w:t xml:space="preserve">ing </w:t>
      </w:r>
      <w:r w:rsidR="006F5F91" w:rsidRPr="004C5271">
        <w:rPr>
          <w:rFonts w:asciiTheme="majorBidi" w:hAnsiTheme="majorBidi" w:cstheme="majorBidi"/>
          <w:lang w:val="en-AU"/>
        </w:rPr>
        <w:t>the assets in their estate were</w:t>
      </w:r>
      <w:r w:rsidRPr="004C5271">
        <w:rPr>
          <w:rFonts w:asciiTheme="majorBidi" w:hAnsiTheme="majorBidi" w:cstheme="majorBidi"/>
          <w:lang w:val="en-AU"/>
        </w:rPr>
        <w:t xml:space="preserve"> to </w:t>
      </w:r>
      <w:r w:rsidR="002A53F7" w:rsidRPr="004C5271">
        <w:rPr>
          <w:rFonts w:asciiTheme="majorBidi" w:hAnsiTheme="majorBidi" w:cstheme="majorBidi"/>
          <w:lang w:val="en-AU"/>
        </w:rPr>
        <w:t>‘</w:t>
      </w:r>
      <w:r w:rsidRPr="004C5271">
        <w:rPr>
          <w:rFonts w:asciiTheme="majorBidi" w:hAnsiTheme="majorBidi" w:cstheme="majorBidi"/>
          <w:lang w:val="en-AU"/>
        </w:rPr>
        <w:t>make things easier</w:t>
      </w:r>
      <w:r w:rsidR="002A53F7" w:rsidRPr="004C5271">
        <w:rPr>
          <w:rFonts w:asciiTheme="majorBidi" w:hAnsiTheme="majorBidi" w:cstheme="majorBidi"/>
          <w:lang w:val="en-AU"/>
        </w:rPr>
        <w:t>’</w:t>
      </w:r>
      <w:r w:rsidR="006F5F91" w:rsidRPr="004C5271">
        <w:rPr>
          <w:rFonts w:asciiTheme="majorBidi" w:hAnsiTheme="majorBidi" w:cstheme="majorBidi"/>
          <w:lang w:val="en-AU"/>
        </w:rPr>
        <w:t xml:space="preserve">, </w:t>
      </w:r>
      <w:r w:rsidRPr="004C5271">
        <w:rPr>
          <w:rFonts w:asciiTheme="majorBidi" w:hAnsiTheme="majorBidi" w:cstheme="majorBidi"/>
          <w:lang w:val="en-AU"/>
        </w:rPr>
        <w:t>or</w:t>
      </w:r>
      <w:r w:rsidR="005F0BD5" w:rsidRPr="004C5271">
        <w:rPr>
          <w:rFonts w:asciiTheme="majorBidi" w:hAnsiTheme="majorBidi" w:cstheme="majorBidi"/>
          <w:lang w:val="en-AU"/>
        </w:rPr>
        <w:t xml:space="preserve"> to</w:t>
      </w:r>
      <w:r w:rsidRPr="004C5271">
        <w:rPr>
          <w:rFonts w:asciiTheme="majorBidi" w:hAnsiTheme="majorBidi" w:cstheme="majorBidi"/>
          <w:lang w:val="en-AU"/>
        </w:rPr>
        <w:t xml:space="preserve"> provide certainty for </w:t>
      </w:r>
      <w:r w:rsidR="006F5F91" w:rsidRPr="004C5271">
        <w:rPr>
          <w:rFonts w:asciiTheme="majorBidi" w:hAnsiTheme="majorBidi" w:cstheme="majorBidi"/>
          <w:lang w:val="en-AU"/>
        </w:rPr>
        <w:t>loved ones</w:t>
      </w:r>
      <w:r w:rsidRPr="004C5271">
        <w:rPr>
          <w:rFonts w:asciiTheme="majorBidi" w:hAnsiTheme="majorBidi" w:cstheme="majorBidi"/>
          <w:lang w:val="en-AU"/>
        </w:rPr>
        <w:t xml:space="preserve">. In other words, </w:t>
      </w:r>
      <w:r w:rsidR="006F5F91" w:rsidRPr="004C5271">
        <w:rPr>
          <w:rFonts w:asciiTheme="majorBidi" w:hAnsiTheme="majorBidi" w:cstheme="majorBidi"/>
          <w:lang w:val="en-AU"/>
        </w:rPr>
        <w:t xml:space="preserve">minimising </w:t>
      </w:r>
      <w:r w:rsidR="00693881" w:rsidRPr="004C5271">
        <w:rPr>
          <w:rFonts w:asciiTheme="majorBidi" w:hAnsiTheme="majorBidi" w:cstheme="majorBidi"/>
          <w:lang w:val="en-AU"/>
        </w:rPr>
        <w:t>the</w:t>
      </w:r>
      <w:r w:rsidR="006F5F91" w:rsidRPr="004C5271">
        <w:rPr>
          <w:rFonts w:asciiTheme="majorBidi" w:hAnsiTheme="majorBidi" w:cstheme="majorBidi"/>
          <w:lang w:val="en-AU"/>
        </w:rPr>
        <w:t xml:space="preserve"> assets </w:t>
      </w:r>
      <w:r w:rsidR="008C4CB1" w:rsidRPr="004C5271">
        <w:rPr>
          <w:rFonts w:asciiTheme="majorBidi" w:hAnsiTheme="majorBidi" w:cstheme="majorBidi"/>
          <w:lang w:val="en-AU"/>
        </w:rPr>
        <w:t>in</w:t>
      </w:r>
      <w:r w:rsidR="00693881" w:rsidRPr="004C5271">
        <w:rPr>
          <w:rFonts w:asciiTheme="majorBidi" w:hAnsiTheme="majorBidi" w:cstheme="majorBidi"/>
          <w:lang w:val="en-AU"/>
        </w:rPr>
        <w:t xml:space="preserve"> their estate </w:t>
      </w:r>
      <w:r w:rsidR="006F5F91" w:rsidRPr="004C5271">
        <w:rPr>
          <w:rFonts w:asciiTheme="majorBidi" w:hAnsiTheme="majorBidi" w:cstheme="majorBidi"/>
          <w:lang w:val="en-AU"/>
        </w:rPr>
        <w:t>was usually motivated by a desire to</w:t>
      </w:r>
      <w:r w:rsidRPr="004C5271">
        <w:rPr>
          <w:rFonts w:asciiTheme="majorBidi" w:hAnsiTheme="majorBidi" w:cstheme="majorBidi"/>
          <w:lang w:val="en-AU"/>
        </w:rPr>
        <w:t xml:space="preserve"> </w:t>
      </w:r>
      <w:r w:rsidR="006F5F91" w:rsidRPr="004C5271">
        <w:rPr>
          <w:rFonts w:asciiTheme="majorBidi" w:hAnsiTheme="majorBidi" w:cstheme="majorBidi"/>
          <w:lang w:val="en-AU"/>
        </w:rPr>
        <w:t>assist their chosen beneficiaries</w:t>
      </w:r>
      <w:r w:rsidRPr="004C5271">
        <w:rPr>
          <w:rFonts w:asciiTheme="majorBidi" w:hAnsiTheme="majorBidi" w:cstheme="majorBidi"/>
          <w:lang w:val="en-AU"/>
        </w:rPr>
        <w:t xml:space="preserve">, rather than </w:t>
      </w:r>
      <w:r w:rsidR="00074EB7" w:rsidRPr="004C5271">
        <w:rPr>
          <w:rFonts w:asciiTheme="majorBidi" w:hAnsiTheme="majorBidi" w:cstheme="majorBidi"/>
          <w:lang w:val="en-AU"/>
        </w:rPr>
        <w:t>being completed for malicious purposes</w:t>
      </w:r>
      <w:r w:rsidR="006F5F91" w:rsidRPr="004C5271">
        <w:rPr>
          <w:rFonts w:asciiTheme="majorBidi" w:hAnsiTheme="majorBidi" w:cstheme="majorBidi"/>
          <w:lang w:val="en-AU"/>
        </w:rPr>
        <w:t>. One submission expressed this as follows</w:t>
      </w:r>
      <w:r w:rsidR="008949B4" w:rsidRPr="004C5271">
        <w:rPr>
          <w:rFonts w:asciiTheme="majorBidi" w:hAnsiTheme="majorBidi" w:cstheme="majorBidi"/>
          <w:lang w:val="en-AU"/>
        </w:rPr>
        <w:t xml:space="preserve">: </w:t>
      </w:r>
      <w:r w:rsidR="002A53F7" w:rsidRPr="004C5271">
        <w:rPr>
          <w:rFonts w:asciiTheme="majorBidi" w:hAnsiTheme="majorBidi" w:cstheme="majorBidi"/>
          <w:lang w:val="en-AU"/>
        </w:rPr>
        <w:t>‘</w:t>
      </w:r>
      <w:r w:rsidR="008949B4" w:rsidRPr="004C5271">
        <w:rPr>
          <w:rFonts w:asciiTheme="majorBidi" w:hAnsiTheme="majorBidi" w:cstheme="majorBidi"/>
          <w:lang w:val="en-AU"/>
        </w:rPr>
        <w:t xml:space="preserve">I believe the motivation is usually always to protect their </w:t>
      </w:r>
      <w:r w:rsidR="002A53F7" w:rsidRPr="004C5271">
        <w:rPr>
          <w:rFonts w:asciiTheme="majorBidi" w:hAnsiTheme="majorBidi" w:cstheme="majorBidi"/>
          <w:lang w:val="en-AU"/>
        </w:rPr>
        <w:t>“</w:t>
      </w:r>
      <w:r w:rsidR="008949B4" w:rsidRPr="004C5271">
        <w:rPr>
          <w:rFonts w:asciiTheme="majorBidi" w:hAnsiTheme="majorBidi" w:cstheme="majorBidi"/>
          <w:lang w:val="en-AU"/>
        </w:rPr>
        <w:t>true beneficiaries</w:t>
      </w:r>
      <w:r w:rsidR="002A53F7" w:rsidRPr="004C5271">
        <w:rPr>
          <w:rFonts w:asciiTheme="majorBidi" w:hAnsiTheme="majorBidi" w:cstheme="majorBidi"/>
          <w:lang w:val="en-AU"/>
        </w:rPr>
        <w:t>”</w:t>
      </w:r>
      <w:r w:rsidR="008949B4" w:rsidRPr="004C5271">
        <w:rPr>
          <w:rFonts w:asciiTheme="majorBidi" w:hAnsiTheme="majorBidi" w:cstheme="majorBidi"/>
          <w:lang w:val="en-AU"/>
        </w:rPr>
        <w:t xml:space="preserve"> as opposed to disinheriting a person.</w:t>
      </w:r>
      <w:r w:rsidR="002A53F7" w:rsidRPr="004C5271">
        <w:rPr>
          <w:rFonts w:asciiTheme="majorBidi" w:hAnsiTheme="majorBidi" w:cstheme="majorBidi"/>
          <w:lang w:val="en-AU"/>
        </w:rPr>
        <w:t>’</w:t>
      </w:r>
      <w:r w:rsidR="008949B4" w:rsidRPr="004C5271">
        <w:rPr>
          <w:rStyle w:val="FootnoteReference"/>
          <w:rFonts w:asciiTheme="majorBidi" w:hAnsiTheme="majorBidi" w:cstheme="majorBidi"/>
          <w:lang w:val="en-AU"/>
        </w:rPr>
        <w:footnoteReference w:id="258"/>
      </w:r>
    </w:p>
    <w:p w14:paraId="497EF7EC" w14:textId="4E4EAB4A" w:rsidR="0048379E" w:rsidRPr="004C5271" w:rsidRDefault="009151AC" w:rsidP="00A13D7B">
      <w:pPr>
        <w:pStyle w:val="NormalNumberedTextTLRI"/>
        <w:rPr>
          <w:rFonts w:asciiTheme="majorBidi" w:hAnsiTheme="majorBidi" w:cstheme="majorBidi"/>
          <w:lang w:val="en-AU"/>
        </w:rPr>
      </w:pPr>
      <w:r w:rsidRPr="004C5271">
        <w:rPr>
          <w:rFonts w:asciiTheme="majorBidi" w:hAnsiTheme="majorBidi" w:cstheme="majorBidi"/>
          <w:lang w:val="en-AU"/>
        </w:rPr>
        <w:t>Tony Gray, a financial planner with 25 years</w:t>
      </w:r>
      <w:r w:rsidR="00081DB5" w:rsidRPr="004C5271">
        <w:rPr>
          <w:rFonts w:asciiTheme="majorBidi" w:hAnsiTheme="majorBidi" w:cstheme="majorBidi"/>
          <w:lang w:val="en-AU"/>
        </w:rPr>
        <w:t>’</w:t>
      </w:r>
      <w:r w:rsidRPr="004C5271">
        <w:rPr>
          <w:rFonts w:asciiTheme="majorBidi" w:hAnsiTheme="majorBidi" w:cstheme="majorBidi"/>
          <w:lang w:val="en-AU"/>
        </w:rPr>
        <w:t xml:space="preserve"> experience</w:t>
      </w:r>
      <w:r w:rsidR="006F5F91" w:rsidRPr="004C5271">
        <w:rPr>
          <w:rFonts w:asciiTheme="majorBidi" w:hAnsiTheme="majorBidi" w:cstheme="majorBidi"/>
          <w:lang w:val="en-AU"/>
        </w:rPr>
        <w:t>,</w:t>
      </w:r>
      <w:r w:rsidRPr="004C5271">
        <w:rPr>
          <w:rFonts w:asciiTheme="majorBidi" w:hAnsiTheme="majorBidi" w:cstheme="majorBidi"/>
          <w:lang w:val="en-AU"/>
        </w:rPr>
        <w:t xml:space="preserve"> commented</w:t>
      </w:r>
      <w:r w:rsidR="006F5F91" w:rsidRPr="004C5271">
        <w:rPr>
          <w:rFonts w:asciiTheme="majorBidi" w:hAnsiTheme="majorBidi" w:cstheme="majorBidi"/>
          <w:lang w:val="en-AU"/>
        </w:rPr>
        <w:t xml:space="preserve"> upon the infrequency </w:t>
      </w:r>
      <w:r w:rsidR="00081DB5" w:rsidRPr="004C5271">
        <w:rPr>
          <w:rFonts w:asciiTheme="majorBidi" w:hAnsiTheme="majorBidi" w:cstheme="majorBidi"/>
          <w:lang w:val="en-AU"/>
        </w:rPr>
        <w:t xml:space="preserve">with </w:t>
      </w:r>
      <w:r w:rsidR="006F5F91" w:rsidRPr="004C5271">
        <w:rPr>
          <w:rFonts w:asciiTheme="majorBidi" w:hAnsiTheme="majorBidi" w:cstheme="majorBidi"/>
          <w:lang w:val="en-AU"/>
        </w:rPr>
        <w:t>which he had experienced clients or their families making malicious or unfair decisions about the division of assets after death</w:t>
      </w:r>
      <w:r w:rsidRPr="004C5271">
        <w:rPr>
          <w:rFonts w:asciiTheme="majorBidi" w:hAnsiTheme="majorBidi" w:cstheme="majorBidi"/>
          <w:lang w:val="en-AU"/>
        </w:rPr>
        <w:t>:</w:t>
      </w:r>
    </w:p>
    <w:p w14:paraId="3A47957A" w14:textId="67AABAE0" w:rsidR="009151AC" w:rsidRPr="004C5271" w:rsidRDefault="009151AC" w:rsidP="003F7827">
      <w:pPr>
        <w:pStyle w:val="QuoteTLRI"/>
        <w:rPr>
          <w:rFonts w:asciiTheme="majorBidi" w:hAnsiTheme="majorBidi" w:cstheme="majorBidi"/>
        </w:rPr>
      </w:pPr>
      <w:r w:rsidRPr="004C5271">
        <w:rPr>
          <w:rFonts w:asciiTheme="majorBidi" w:hAnsiTheme="majorBidi" w:cstheme="majorBidi"/>
        </w:rPr>
        <w:t xml:space="preserve">In only one instance have I encountered a client situation where they were manifestly unfair in their estate plans </w:t>
      </w:r>
      <w:r w:rsidR="002A53F7" w:rsidRPr="004C5271">
        <w:rPr>
          <w:rFonts w:asciiTheme="majorBidi" w:hAnsiTheme="majorBidi" w:cstheme="majorBidi"/>
        </w:rPr>
        <w:t>—</w:t>
      </w:r>
      <w:r w:rsidRPr="004C5271">
        <w:rPr>
          <w:rFonts w:asciiTheme="majorBidi" w:hAnsiTheme="majorBidi" w:cstheme="majorBidi"/>
        </w:rPr>
        <w:t xml:space="preserve"> and that did not involve superannuation or insurance and the assets fell within the estate (and was not challenged). By contrast, we regularly find clients who wish to limit the risk of challenge when planning their estate position and do so in a fair and considered fashion.</w:t>
      </w:r>
    </w:p>
    <w:p w14:paraId="61548FD2" w14:textId="1142679B" w:rsidR="00D77ABA" w:rsidRPr="004C5271" w:rsidRDefault="00D77ABA" w:rsidP="001A6AB9">
      <w:pPr>
        <w:pStyle w:val="NormalNumberedTextTLRI"/>
        <w:rPr>
          <w:rFonts w:asciiTheme="majorBidi" w:hAnsiTheme="majorBidi" w:cstheme="majorBidi"/>
          <w:lang w:val="en-AU"/>
        </w:rPr>
      </w:pPr>
      <w:r w:rsidRPr="004C5271">
        <w:rPr>
          <w:rFonts w:asciiTheme="majorBidi" w:hAnsiTheme="majorBidi" w:cstheme="majorBidi"/>
          <w:lang w:val="en-AU"/>
        </w:rPr>
        <w:t xml:space="preserve">Justin McMullen made similar observations about the infrequency </w:t>
      </w:r>
      <w:r w:rsidR="00081DB5" w:rsidRPr="004C5271">
        <w:rPr>
          <w:rFonts w:asciiTheme="majorBidi" w:hAnsiTheme="majorBidi" w:cstheme="majorBidi"/>
          <w:lang w:val="en-AU"/>
        </w:rPr>
        <w:t xml:space="preserve">with </w:t>
      </w:r>
      <w:r w:rsidRPr="004C5271">
        <w:rPr>
          <w:rFonts w:asciiTheme="majorBidi" w:hAnsiTheme="majorBidi" w:cstheme="majorBidi"/>
          <w:lang w:val="en-AU"/>
        </w:rPr>
        <w:t>which deliberate asset stripping occurs:</w:t>
      </w:r>
    </w:p>
    <w:p w14:paraId="62E7D862" w14:textId="71ACBA4B" w:rsidR="00D77ABA" w:rsidRPr="004C5271" w:rsidRDefault="00D77ABA" w:rsidP="003F7827">
      <w:pPr>
        <w:pStyle w:val="QuoteTLRI"/>
        <w:rPr>
          <w:rFonts w:asciiTheme="majorBidi" w:hAnsiTheme="majorBidi" w:cstheme="majorBidi"/>
        </w:rPr>
      </w:pPr>
      <w:r w:rsidRPr="004C5271">
        <w:rPr>
          <w:rFonts w:asciiTheme="majorBidi" w:hAnsiTheme="majorBidi" w:cstheme="majorBidi"/>
        </w:rPr>
        <w:t>I find it extremely rare that potential TFM claim avoidance strategies are undertaken in typical nuclear family groups. Such action is typically undertaken only where there is very significant relationship breakdown between, say, a testator parent and an adult child. Even within the class of those will make</w:t>
      </w:r>
      <w:r w:rsidR="00081DB5" w:rsidRPr="004C5271">
        <w:rPr>
          <w:rFonts w:asciiTheme="majorBidi" w:hAnsiTheme="majorBidi" w:cstheme="majorBidi"/>
        </w:rPr>
        <w:t>r</w:t>
      </w:r>
      <w:r w:rsidRPr="004C5271">
        <w:rPr>
          <w:rFonts w:asciiTheme="majorBidi" w:hAnsiTheme="majorBidi" w:cstheme="majorBidi"/>
        </w:rPr>
        <w:t xml:space="preserve">s who may depart </w:t>
      </w:r>
      <w:r w:rsidRPr="004C5271">
        <w:rPr>
          <w:rFonts w:asciiTheme="majorBidi" w:hAnsiTheme="majorBidi" w:cstheme="majorBidi"/>
        </w:rPr>
        <w:lastRenderedPageBreak/>
        <w:t>for standard estate distributions, it is a much smaller sub class of people who then take material steps to diminish their estate to defeat any potential claim. To take the further step often means, say with real property, relinquishing a level of control over that asset during the testator</w:t>
      </w:r>
      <w:r w:rsidR="003F7827" w:rsidRPr="004C5271">
        <w:rPr>
          <w:rFonts w:asciiTheme="majorBidi" w:hAnsiTheme="majorBidi" w:cstheme="majorBidi"/>
        </w:rPr>
        <w:t>’</w:t>
      </w:r>
      <w:r w:rsidRPr="004C5271">
        <w:rPr>
          <w:rFonts w:asciiTheme="majorBidi" w:hAnsiTheme="majorBidi" w:cstheme="majorBidi"/>
        </w:rPr>
        <w:t>s lifetime. In many cases, that is a step too far.</w:t>
      </w:r>
    </w:p>
    <w:p w14:paraId="67A029C2" w14:textId="72EDF495" w:rsidR="00EF4F12" w:rsidRPr="004C5271" w:rsidRDefault="008E3F4F" w:rsidP="001A6AB9">
      <w:pPr>
        <w:pStyle w:val="NormalNumberedTextTLRI"/>
        <w:rPr>
          <w:rFonts w:asciiTheme="majorBidi" w:hAnsiTheme="majorBidi" w:cstheme="majorBidi"/>
          <w:lang w:val="en-AU"/>
        </w:rPr>
      </w:pPr>
      <w:bookmarkStart w:id="122" w:name="_Ref13503131"/>
      <w:r w:rsidRPr="004C5271">
        <w:rPr>
          <w:rFonts w:asciiTheme="majorBidi" w:hAnsiTheme="majorBidi" w:cstheme="majorBidi"/>
          <w:lang w:val="en-AU"/>
        </w:rPr>
        <w:t>Eight</w:t>
      </w:r>
      <w:r w:rsidR="00CF67A3" w:rsidRPr="004C5271">
        <w:rPr>
          <w:rFonts w:asciiTheme="majorBidi" w:hAnsiTheme="majorBidi" w:cstheme="majorBidi"/>
          <w:lang w:val="en-AU"/>
        </w:rPr>
        <w:t xml:space="preserve"> submissions</w:t>
      </w:r>
      <w:r w:rsidR="00CF67A3" w:rsidRPr="004C5271">
        <w:rPr>
          <w:rStyle w:val="FootnoteReference"/>
          <w:rFonts w:asciiTheme="majorBidi" w:hAnsiTheme="majorBidi" w:cstheme="majorBidi"/>
          <w:lang w:val="en-AU"/>
        </w:rPr>
        <w:footnoteReference w:id="259"/>
      </w:r>
      <w:r w:rsidR="004711EC" w:rsidRPr="004C5271">
        <w:rPr>
          <w:rFonts w:asciiTheme="majorBidi" w:hAnsiTheme="majorBidi" w:cstheme="majorBidi"/>
          <w:lang w:val="en-AU"/>
        </w:rPr>
        <w:t xml:space="preserve"> </w:t>
      </w:r>
      <w:r w:rsidR="008D0142" w:rsidRPr="004C5271">
        <w:rPr>
          <w:rFonts w:asciiTheme="majorBidi" w:hAnsiTheme="majorBidi" w:cstheme="majorBidi"/>
          <w:lang w:val="en-AU"/>
        </w:rPr>
        <w:t>informed</w:t>
      </w:r>
      <w:r w:rsidR="00F07932" w:rsidRPr="004C5271">
        <w:rPr>
          <w:rFonts w:asciiTheme="majorBidi" w:hAnsiTheme="majorBidi" w:cstheme="majorBidi"/>
          <w:lang w:val="en-AU"/>
        </w:rPr>
        <w:t xml:space="preserve"> </w:t>
      </w:r>
      <w:r w:rsidR="004711EC" w:rsidRPr="004C5271">
        <w:rPr>
          <w:rFonts w:asciiTheme="majorBidi" w:hAnsiTheme="majorBidi" w:cstheme="majorBidi"/>
          <w:lang w:val="en-AU"/>
        </w:rPr>
        <w:t xml:space="preserve">the Institute of </w:t>
      </w:r>
      <w:r w:rsidR="00F07932" w:rsidRPr="004C5271">
        <w:rPr>
          <w:rFonts w:asciiTheme="majorBidi" w:hAnsiTheme="majorBidi" w:cstheme="majorBidi"/>
          <w:lang w:val="en-AU"/>
        </w:rPr>
        <w:t>situations</w:t>
      </w:r>
      <w:r w:rsidR="004711EC" w:rsidRPr="004C5271">
        <w:rPr>
          <w:rFonts w:asciiTheme="majorBidi" w:hAnsiTheme="majorBidi" w:cstheme="majorBidi"/>
          <w:lang w:val="en-AU"/>
        </w:rPr>
        <w:t xml:space="preserve"> where </w:t>
      </w:r>
      <w:r w:rsidR="00D95ABB" w:rsidRPr="004C5271">
        <w:rPr>
          <w:rFonts w:asciiTheme="majorBidi" w:hAnsiTheme="majorBidi" w:cstheme="majorBidi"/>
          <w:lang w:val="en-AU"/>
        </w:rPr>
        <w:t xml:space="preserve">eligible applicants </w:t>
      </w:r>
      <w:r w:rsidR="00EF4F12" w:rsidRPr="004C5271">
        <w:rPr>
          <w:rFonts w:asciiTheme="majorBidi" w:hAnsiTheme="majorBidi" w:cstheme="majorBidi"/>
          <w:lang w:val="en-AU"/>
        </w:rPr>
        <w:t>had been</w:t>
      </w:r>
      <w:r w:rsidR="00087A3B" w:rsidRPr="004C5271">
        <w:rPr>
          <w:rFonts w:asciiTheme="majorBidi" w:hAnsiTheme="majorBidi" w:cstheme="majorBidi"/>
          <w:lang w:val="en-AU"/>
        </w:rPr>
        <w:t xml:space="preserve"> unable to </w:t>
      </w:r>
      <w:r w:rsidR="009151AC" w:rsidRPr="004C5271">
        <w:rPr>
          <w:rFonts w:asciiTheme="majorBidi" w:hAnsiTheme="majorBidi" w:cstheme="majorBidi"/>
          <w:lang w:val="en-AU"/>
        </w:rPr>
        <w:t>apply</w:t>
      </w:r>
      <w:r w:rsidR="00087A3B" w:rsidRPr="004C5271">
        <w:rPr>
          <w:rFonts w:asciiTheme="majorBidi" w:hAnsiTheme="majorBidi" w:cstheme="majorBidi"/>
          <w:lang w:val="en-AU"/>
        </w:rPr>
        <w:t xml:space="preserve"> </w:t>
      </w:r>
      <w:r w:rsidR="009C31E8" w:rsidRPr="004C5271">
        <w:rPr>
          <w:rFonts w:asciiTheme="majorBidi" w:hAnsiTheme="majorBidi" w:cstheme="majorBidi"/>
          <w:lang w:val="en-AU"/>
        </w:rPr>
        <w:t xml:space="preserve">under the </w:t>
      </w:r>
      <w:r w:rsidR="009C31E8" w:rsidRPr="004C5271">
        <w:rPr>
          <w:rFonts w:asciiTheme="majorBidi" w:hAnsiTheme="majorBidi" w:cstheme="majorBidi"/>
          <w:i/>
          <w:lang w:val="en-AU"/>
        </w:rPr>
        <w:t>TFM Act</w:t>
      </w:r>
      <w:r w:rsidR="004711EC" w:rsidRPr="004C5271">
        <w:rPr>
          <w:rFonts w:asciiTheme="majorBidi" w:hAnsiTheme="majorBidi" w:cstheme="majorBidi"/>
          <w:i/>
          <w:lang w:val="en-AU"/>
        </w:rPr>
        <w:t xml:space="preserve"> </w:t>
      </w:r>
      <w:r w:rsidR="00F07932" w:rsidRPr="004C5271">
        <w:rPr>
          <w:rFonts w:asciiTheme="majorBidi" w:hAnsiTheme="majorBidi" w:cstheme="majorBidi"/>
          <w:lang w:val="en-AU"/>
        </w:rPr>
        <w:t xml:space="preserve">because </w:t>
      </w:r>
      <w:r w:rsidR="009C31E8" w:rsidRPr="004C5271">
        <w:rPr>
          <w:rFonts w:asciiTheme="majorBidi" w:hAnsiTheme="majorBidi" w:cstheme="majorBidi"/>
          <w:lang w:val="en-AU"/>
        </w:rPr>
        <w:t>assets</w:t>
      </w:r>
      <w:r w:rsidR="00EF4F12" w:rsidRPr="004C5271">
        <w:rPr>
          <w:rFonts w:asciiTheme="majorBidi" w:hAnsiTheme="majorBidi" w:cstheme="majorBidi"/>
          <w:lang w:val="en-AU"/>
        </w:rPr>
        <w:t xml:space="preserve"> </w:t>
      </w:r>
      <w:r w:rsidR="00081DB5" w:rsidRPr="004C5271">
        <w:rPr>
          <w:rFonts w:asciiTheme="majorBidi" w:hAnsiTheme="majorBidi" w:cstheme="majorBidi"/>
          <w:lang w:val="en-AU"/>
        </w:rPr>
        <w:t xml:space="preserve">had </w:t>
      </w:r>
      <w:r w:rsidR="00EF4F12" w:rsidRPr="004C5271">
        <w:rPr>
          <w:rFonts w:asciiTheme="majorBidi" w:hAnsiTheme="majorBidi" w:cstheme="majorBidi"/>
          <w:lang w:val="en-AU"/>
        </w:rPr>
        <w:t>passed to beneficiaries outside the estate environment</w:t>
      </w:r>
      <w:r w:rsidR="00C11EB6" w:rsidRPr="004C5271">
        <w:rPr>
          <w:rFonts w:asciiTheme="majorBidi" w:hAnsiTheme="majorBidi" w:cstheme="majorBidi"/>
          <w:lang w:val="en-AU"/>
        </w:rPr>
        <w:t xml:space="preserve">. </w:t>
      </w:r>
      <w:r w:rsidR="000C0A08" w:rsidRPr="004C5271">
        <w:rPr>
          <w:rFonts w:asciiTheme="majorBidi" w:hAnsiTheme="majorBidi" w:cstheme="majorBidi"/>
          <w:lang w:val="en-AU"/>
        </w:rPr>
        <w:t xml:space="preserve">The substantial majority were adult children claimants, whilst </w:t>
      </w:r>
      <w:r w:rsidR="005F0BD5" w:rsidRPr="004C5271">
        <w:rPr>
          <w:rFonts w:asciiTheme="majorBidi" w:hAnsiTheme="majorBidi" w:cstheme="majorBidi"/>
          <w:lang w:val="en-AU"/>
        </w:rPr>
        <w:t xml:space="preserve">a submission from three litigation lawyers </w:t>
      </w:r>
      <w:r w:rsidR="0000188F" w:rsidRPr="004C5271">
        <w:rPr>
          <w:rFonts w:asciiTheme="majorBidi" w:hAnsiTheme="majorBidi" w:cstheme="majorBidi"/>
          <w:lang w:val="en-AU"/>
        </w:rPr>
        <w:t>at Hobart law firm,</w:t>
      </w:r>
      <w:r w:rsidR="005F0BD5" w:rsidRPr="004C5271">
        <w:rPr>
          <w:rFonts w:asciiTheme="majorBidi" w:hAnsiTheme="majorBidi" w:cstheme="majorBidi"/>
          <w:lang w:val="en-AU"/>
        </w:rPr>
        <w:t xml:space="preserve"> Ogilvie Jennings</w:t>
      </w:r>
      <w:r w:rsidR="00791EBC" w:rsidRPr="004C5271">
        <w:rPr>
          <w:rFonts w:asciiTheme="majorBidi" w:hAnsiTheme="majorBidi" w:cstheme="majorBidi"/>
          <w:lang w:val="en-AU"/>
        </w:rPr>
        <w:t>,</w:t>
      </w:r>
      <w:r w:rsidR="005F0BD5" w:rsidRPr="004C5271">
        <w:rPr>
          <w:rStyle w:val="FootnoteReference"/>
          <w:rFonts w:asciiTheme="majorBidi" w:hAnsiTheme="majorBidi" w:cstheme="majorBidi"/>
          <w:lang w:val="en-AU"/>
        </w:rPr>
        <w:footnoteReference w:id="260"/>
      </w:r>
      <w:r w:rsidR="000C0A08" w:rsidRPr="004C5271">
        <w:rPr>
          <w:rFonts w:asciiTheme="majorBidi" w:hAnsiTheme="majorBidi" w:cstheme="majorBidi"/>
          <w:lang w:val="en-AU"/>
        </w:rPr>
        <w:t xml:space="preserve"> </w:t>
      </w:r>
      <w:r w:rsidR="00E97347" w:rsidRPr="004C5271">
        <w:rPr>
          <w:rFonts w:asciiTheme="majorBidi" w:hAnsiTheme="majorBidi" w:cstheme="majorBidi"/>
          <w:lang w:val="en-AU"/>
        </w:rPr>
        <w:t>provided</w:t>
      </w:r>
      <w:r w:rsidR="000C0A08" w:rsidRPr="004C5271">
        <w:rPr>
          <w:rFonts w:asciiTheme="majorBidi" w:hAnsiTheme="majorBidi" w:cstheme="majorBidi"/>
          <w:lang w:val="en-AU"/>
        </w:rPr>
        <w:t xml:space="preserve"> </w:t>
      </w:r>
      <w:r w:rsidR="00081DB5" w:rsidRPr="004C5271">
        <w:rPr>
          <w:rFonts w:asciiTheme="majorBidi" w:hAnsiTheme="majorBidi" w:cstheme="majorBidi"/>
          <w:lang w:val="en-AU"/>
        </w:rPr>
        <w:t xml:space="preserve">examples of </w:t>
      </w:r>
      <w:r w:rsidR="0000188F" w:rsidRPr="004C5271">
        <w:rPr>
          <w:rFonts w:asciiTheme="majorBidi" w:hAnsiTheme="majorBidi" w:cstheme="majorBidi"/>
          <w:lang w:val="en-AU"/>
        </w:rPr>
        <w:t>three different</w:t>
      </w:r>
      <w:r w:rsidR="00E97347" w:rsidRPr="004C5271">
        <w:rPr>
          <w:rFonts w:asciiTheme="majorBidi" w:hAnsiTheme="majorBidi" w:cstheme="majorBidi"/>
          <w:lang w:val="en-AU"/>
        </w:rPr>
        <w:t xml:space="preserve"> </w:t>
      </w:r>
      <w:r w:rsidR="00B3509E" w:rsidRPr="004C5271">
        <w:rPr>
          <w:rFonts w:asciiTheme="majorBidi" w:hAnsiTheme="majorBidi" w:cstheme="majorBidi"/>
          <w:lang w:val="en-AU"/>
        </w:rPr>
        <w:t>matters</w:t>
      </w:r>
      <w:r w:rsidR="0000188F" w:rsidRPr="004C5271">
        <w:rPr>
          <w:rFonts w:asciiTheme="majorBidi" w:hAnsiTheme="majorBidi" w:cstheme="majorBidi"/>
          <w:lang w:val="en-AU"/>
        </w:rPr>
        <w:t xml:space="preserve">, one of which </w:t>
      </w:r>
      <w:r w:rsidR="00081DB5" w:rsidRPr="004C5271">
        <w:rPr>
          <w:rFonts w:asciiTheme="majorBidi" w:hAnsiTheme="majorBidi" w:cstheme="majorBidi"/>
          <w:lang w:val="en-AU"/>
        </w:rPr>
        <w:t xml:space="preserve">affected </w:t>
      </w:r>
      <w:r w:rsidR="0000188F" w:rsidRPr="004C5271">
        <w:rPr>
          <w:rFonts w:asciiTheme="majorBidi" w:hAnsiTheme="majorBidi" w:cstheme="majorBidi"/>
          <w:lang w:val="en-AU"/>
        </w:rPr>
        <w:t>children</w:t>
      </w:r>
      <w:r w:rsidR="00BA36B8" w:rsidRPr="004C5271">
        <w:rPr>
          <w:rFonts w:asciiTheme="majorBidi" w:hAnsiTheme="majorBidi" w:cstheme="majorBidi"/>
          <w:lang w:val="en-AU"/>
        </w:rPr>
        <w:t xml:space="preserve"> who were minors</w:t>
      </w:r>
      <w:r w:rsidR="0000188F" w:rsidRPr="004C5271">
        <w:rPr>
          <w:rFonts w:asciiTheme="majorBidi" w:hAnsiTheme="majorBidi" w:cstheme="majorBidi"/>
          <w:lang w:val="en-AU"/>
        </w:rPr>
        <w:t xml:space="preserve">. Further details of these examples are outlined later in this </w:t>
      </w:r>
      <w:r w:rsidR="008A0925" w:rsidRPr="004C5271">
        <w:rPr>
          <w:rFonts w:asciiTheme="majorBidi" w:hAnsiTheme="majorBidi" w:cstheme="majorBidi"/>
          <w:lang w:val="en-AU"/>
        </w:rPr>
        <w:t>r</w:t>
      </w:r>
      <w:r w:rsidR="0000188F" w:rsidRPr="004C5271">
        <w:rPr>
          <w:rFonts w:asciiTheme="majorBidi" w:hAnsiTheme="majorBidi" w:cstheme="majorBidi"/>
          <w:lang w:val="en-AU"/>
        </w:rPr>
        <w:t xml:space="preserve">eport to illustrate their support </w:t>
      </w:r>
      <w:r w:rsidR="005808EE" w:rsidRPr="004C5271">
        <w:rPr>
          <w:rFonts w:asciiTheme="majorBidi" w:hAnsiTheme="majorBidi" w:cstheme="majorBidi"/>
          <w:lang w:val="en-AU"/>
        </w:rPr>
        <w:t>for</w:t>
      </w:r>
      <w:r w:rsidR="0000188F" w:rsidRPr="004C5271">
        <w:rPr>
          <w:rFonts w:asciiTheme="majorBidi" w:hAnsiTheme="majorBidi" w:cstheme="majorBidi"/>
          <w:lang w:val="en-AU"/>
        </w:rPr>
        <w:t xml:space="preserve"> notional estate legislation.</w:t>
      </w:r>
      <w:r w:rsidR="00E97347" w:rsidRPr="004C5271">
        <w:rPr>
          <w:rStyle w:val="FootnoteReference"/>
          <w:rFonts w:asciiTheme="majorBidi" w:hAnsiTheme="majorBidi" w:cstheme="majorBidi"/>
          <w:lang w:val="en-AU"/>
        </w:rPr>
        <w:footnoteReference w:id="261"/>
      </w:r>
      <w:bookmarkEnd w:id="122"/>
      <w:r w:rsidR="0000188F" w:rsidRPr="004C5271">
        <w:rPr>
          <w:rFonts w:asciiTheme="majorBidi" w:hAnsiTheme="majorBidi" w:cstheme="majorBidi"/>
          <w:lang w:val="en-AU"/>
        </w:rPr>
        <w:t xml:space="preserve"> </w:t>
      </w:r>
    </w:p>
    <w:p w14:paraId="4B38FCD0" w14:textId="4D2EAE12" w:rsidR="00087A3B" w:rsidRPr="004C5271" w:rsidRDefault="00FF6EC2" w:rsidP="005F0BD5">
      <w:pPr>
        <w:pStyle w:val="NormalNumberedTextTLRI"/>
        <w:rPr>
          <w:rFonts w:asciiTheme="majorBidi" w:hAnsiTheme="majorBidi" w:cstheme="majorBidi"/>
          <w:lang w:val="en-AU"/>
        </w:rPr>
      </w:pPr>
      <w:r w:rsidRPr="004C5271">
        <w:rPr>
          <w:rFonts w:asciiTheme="majorBidi" w:hAnsiTheme="majorBidi" w:cstheme="majorBidi"/>
          <w:lang w:val="en-AU"/>
        </w:rPr>
        <w:t xml:space="preserve">Another </w:t>
      </w:r>
      <w:r w:rsidR="00EF4F12" w:rsidRPr="004C5271">
        <w:rPr>
          <w:rFonts w:asciiTheme="majorBidi" w:hAnsiTheme="majorBidi" w:cstheme="majorBidi"/>
          <w:lang w:val="en-AU"/>
        </w:rPr>
        <w:t xml:space="preserve">respondent </w:t>
      </w:r>
      <w:r w:rsidR="00C11EB6" w:rsidRPr="004C5271">
        <w:rPr>
          <w:rFonts w:asciiTheme="majorBidi" w:hAnsiTheme="majorBidi" w:cstheme="majorBidi"/>
          <w:lang w:val="en-AU"/>
        </w:rPr>
        <w:t xml:space="preserve">commented that they </w:t>
      </w:r>
      <w:r w:rsidRPr="004C5271">
        <w:rPr>
          <w:rFonts w:asciiTheme="majorBidi" w:hAnsiTheme="majorBidi" w:cstheme="majorBidi"/>
          <w:lang w:val="en-AU"/>
        </w:rPr>
        <w:t xml:space="preserve">intend to </w:t>
      </w:r>
      <w:r w:rsidR="00F07932" w:rsidRPr="004C5271">
        <w:rPr>
          <w:rFonts w:asciiTheme="majorBidi" w:hAnsiTheme="majorBidi" w:cstheme="majorBidi"/>
          <w:lang w:val="en-AU"/>
        </w:rPr>
        <w:t>structur</w:t>
      </w:r>
      <w:r w:rsidR="009C31E8" w:rsidRPr="004C5271">
        <w:rPr>
          <w:rFonts w:asciiTheme="majorBidi" w:hAnsiTheme="majorBidi" w:cstheme="majorBidi"/>
          <w:lang w:val="en-AU"/>
        </w:rPr>
        <w:t xml:space="preserve">e </w:t>
      </w:r>
      <w:r w:rsidR="00967457" w:rsidRPr="004C5271">
        <w:rPr>
          <w:rFonts w:asciiTheme="majorBidi" w:hAnsiTheme="majorBidi" w:cstheme="majorBidi"/>
          <w:lang w:val="en-AU"/>
        </w:rPr>
        <w:t xml:space="preserve">their </w:t>
      </w:r>
      <w:r w:rsidR="00F07932" w:rsidRPr="004C5271">
        <w:rPr>
          <w:rFonts w:asciiTheme="majorBidi" w:hAnsiTheme="majorBidi" w:cstheme="majorBidi"/>
          <w:lang w:val="en-AU"/>
        </w:rPr>
        <w:t>affairs</w:t>
      </w:r>
      <w:r w:rsidRPr="004C5271">
        <w:rPr>
          <w:rFonts w:asciiTheme="majorBidi" w:hAnsiTheme="majorBidi" w:cstheme="majorBidi"/>
          <w:lang w:val="en-AU"/>
        </w:rPr>
        <w:t xml:space="preserve"> </w:t>
      </w:r>
      <w:r w:rsidR="00F07932" w:rsidRPr="004C5271">
        <w:rPr>
          <w:rFonts w:asciiTheme="majorBidi" w:hAnsiTheme="majorBidi" w:cstheme="majorBidi"/>
          <w:lang w:val="en-AU"/>
        </w:rPr>
        <w:t>to remove assets from risk of challenge.</w:t>
      </w:r>
      <w:r w:rsidR="00EF4F12" w:rsidRPr="004C5271">
        <w:rPr>
          <w:rStyle w:val="FootnoteReference"/>
          <w:rFonts w:asciiTheme="majorBidi" w:hAnsiTheme="majorBidi" w:cstheme="majorBidi"/>
          <w:lang w:val="en-AU"/>
        </w:rPr>
        <w:footnoteReference w:id="262"/>
      </w:r>
      <w:r w:rsidR="00C11EB6" w:rsidRPr="004C5271">
        <w:rPr>
          <w:rFonts w:asciiTheme="majorBidi" w:hAnsiTheme="majorBidi" w:cstheme="majorBidi"/>
          <w:lang w:val="en-AU"/>
        </w:rPr>
        <w:t xml:space="preserve"> </w:t>
      </w:r>
      <w:r w:rsidR="00EF4F12" w:rsidRPr="004C5271">
        <w:rPr>
          <w:rFonts w:asciiTheme="majorBidi" w:hAnsiTheme="majorBidi" w:cstheme="majorBidi"/>
          <w:lang w:val="en-AU"/>
        </w:rPr>
        <w:t>Consistent with observations that many lawyers made</w:t>
      </w:r>
      <w:r w:rsidR="008C7736" w:rsidRPr="004C5271">
        <w:rPr>
          <w:rFonts w:asciiTheme="majorBidi" w:hAnsiTheme="majorBidi" w:cstheme="majorBidi"/>
          <w:lang w:val="en-AU"/>
        </w:rPr>
        <w:t xml:space="preserve"> (outlined above)</w:t>
      </w:r>
      <w:r w:rsidR="00EF4F12" w:rsidRPr="004C5271">
        <w:rPr>
          <w:rFonts w:asciiTheme="majorBidi" w:hAnsiTheme="majorBidi" w:cstheme="majorBidi"/>
          <w:lang w:val="en-AU"/>
        </w:rPr>
        <w:t>,</w:t>
      </w:r>
      <w:r w:rsidR="00363F2D" w:rsidRPr="004C5271">
        <w:rPr>
          <w:rFonts w:asciiTheme="majorBidi" w:hAnsiTheme="majorBidi" w:cstheme="majorBidi"/>
          <w:lang w:val="en-AU"/>
        </w:rPr>
        <w:t xml:space="preserve"> </w:t>
      </w:r>
      <w:r w:rsidRPr="004C5271">
        <w:rPr>
          <w:rFonts w:asciiTheme="majorBidi" w:hAnsiTheme="majorBidi" w:cstheme="majorBidi"/>
          <w:lang w:val="en-AU"/>
        </w:rPr>
        <w:t>it was stated</w:t>
      </w:r>
      <w:r w:rsidR="00363F2D" w:rsidRPr="004C5271">
        <w:rPr>
          <w:rFonts w:asciiTheme="majorBidi" w:hAnsiTheme="majorBidi" w:cstheme="majorBidi"/>
          <w:lang w:val="en-AU"/>
        </w:rPr>
        <w:t xml:space="preserve"> the</w:t>
      </w:r>
      <w:r w:rsidR="00EF4F12" w:rsidRPr="004C5271">
        <w:rPr>
          <w:rFonts w:asciiTheme="majorBidi" w:hAnsiTheme="majorBidi" w:cstheme="majorBidi"/>
          <w:lang w:val="en-AU"/>
        </w:rPr>
        <w:t>ir</w:t>
      </w:r>
      <w:r w:rsidR="00363F2D" w:rsidRPr="004C5271">
        <w:rPr>
          <w:rFonts w:asciiTheme="majorBidi" w:hAnsiTheme="majorBidi" w:cstheme="majorBidi"/>
          <w:lang w:val="en-AU"/>
        </w:rPr>
        <w:t xml:space="preserve"> intentions for doing so were to protect certain beneficiaries who</w:t>
      </w:r>
      <w:r w:rsidR="00FB370F" w:rsidRPr="004C5271">
        <w:rPr>
          <w:rFonts w:asciiTheme="majorBidi" w:hAnsiTheme="majorBidi" w:cstheme="majorBidi"/>
          <w:lang w:val="en-AU"/>
        </w:rPr>
        <w:t>m</w:t>
      </w:r>
      <w:r w:rsidR="00363F2D" w:rsidRPr="004C5271">
        <w:rPr>
          <w:rFonts w:asciiTheme="majorBidi" w:hAnsiTheme="majorBidi" w:cstheme="majorBidi"/>
          <w:lang w:val="en-AU"/>
        </w:rPr>
        <w:t xml:space="preserve"> they considered to be deserving</w:t>
      </w:r>
      <w:r w:rsidR="00EF4F12" w:rsidRPr="004C5271">
        <w:rPr>
          <w:rFonts w:asciiTheme="majorBidi" w:hAnsiTheme="majorBidi" w:cstheme="majorBidi"/>
          <w:lang w:val="en-AU"/>
        </w:rPr>
        <w:t>. T</w:t>
      </w:r>
      <w:r w:rsidR="00910740" w:rsidRPr="004C5271">
        <w:rPr>
          <w:rFonts w:asciiTheme="majorBidi" w:hAnsiTheme="majorBidi" w:cstheme="majorBidi"/>
          <w:lang w:val="en-AU"/>
        </w:rPr>
        <w:t>wo</w:t>
      </w:r>
      <w:r w:rsidR="00363F2D" w:rsidRPr="004C5271">
        <w:rPr>
          <w:rFonts w:asciiTheme="majorBidi" w:hAnsiTheme="majorBidi" w:cstheme="majorBidi"/>
          <w:lang w:val="en-AU"/>
        </w:rPr>
        <w:t xml:space="preserve"> respondent</w:t>
      </w:r>
      <w:r w:rsidR="00910740" w:rsidRPr="004C5271">
        <w:rPr>
          <w:rFonts w:asciiTheme="majorBidi" w:hAnsiTheme="majorBidi" w:cstheme="majorBidi"/>
          <w:lang w:val="en-AU"/>
        </w:rPr>
        <w:t>s</w:t>
      </w:r>
      <w:r w:rsidR="00363F2D" w:rsidRPr="004C5271">
        <w:rPr>
          <w:rStyle w:val="FootnoteReference"/>
          <w:rFonts w:asciiTheme="majorBidi" w:hAnsiTheme="majorBidi" w:cstheme="majorBidi"/>
          <w:lang w:val="en-AU"/>
        </w:rPr>
        <w:footnoteReference w:id="263"/>
      </w:r>
      <w:r w:rsidR="00363F2D" w:rsidRPr="004C5271">
        <w:rPr>
          <w:rFonts w:asciiTheme="majorBidi" w:hAnsiTheme="majorBidi" w:cstheme="majorBidi"/>
          <w:lang w:val="en-AU"/>
        </w:rPr>
        <w:t xml:space="preserve"> </w:t>
      </w:r>
      <w:r w:rsidR="005808EE" w:rsidRPr="004C5271">
        <w:rPr>
          <w:rFonts w:asciiTheme="majorBidi" w:hAnsiTheme="majorBidi" w:cstheme="majorBidi"/>
          <w:lang w:val="en-AU"/>
        </w:rPr>
        <w:t>stated</w:t>
      </w:r>
      <w:r w:rsidR="00363F2D" w:rsidRPr="004C5271">
        <w:rPr>
          <w:rFonts w:asciiTheme="majorBidi" w:hAnsiTheme="majorBidi" w:cstheme="majorBidi"/>
          <w:lang w:val="en-AU"/>
        </w:rPr>
        <w:t xml:space="preserve"> that they had worked hard to build up their assets and sacrificed a lot and </w:t>
      </w:r>
      <w:r w:rsidR="00EF4F12" w:rsidRPr="004C5271">
        <w:rPr>
          <w:rFonts w:asciiTheme="majorBidi" w:hAnsiTheme="majorBidi" w:cstheme="majorBidi"/>
          <w:lang w:val="en-AU"/>
        </w:rPr>
        <w:t xml:space="preserve">that they </w:t>
      </w:r>
      <w:r w:rsidR="00910740" w:rsidRPr="004C5271">
        <w:rPr>
          <w:rFonts w:asciiTheme="majorBidi" w:hAnsiTheme="majorBidi" w:cstheme="majorBidi"/>
          <w:lang w:val="en-AU"/>
        </w:rPr>
        <w:t>should have the choice about who receives their assets after death</w:t>
      </w:r>
      <w:r w:rsidR="00363F2D" w:rsidRPr="004C5271">
        <w:rPr>
          <w:rFonts w:asciiTheme="majorBidi" w:hAnsiTheme="majorBidi" w:cstheme="majorBidi"/>
          <w:lang w:val="en-AU"/>
        </w:rPr>
        <w:t>.</w:t>
      </w:r>
      <w:r w:rsidR="00693881" w:rsidRPr="004C5271">
        <w:rPr>
          <w:rFonts w:asciiTheme="majorBidi" w:hAnsiTheme="majorBidi" w:cstheme="majorBidi"/>
          <w:lang w:val="en-AU"/>
        </w:rPr>
        <w:t xml:space="preserve"> The perceived importance of individuals having freedom of testation is considered further at [</w:t>
      </w:r>
      <w:r w:rsidR="003F7827" w:rsidRPr="004C5271">
        <w:rPr>
          <w:rFonts w:asciiTheme="majorBidi" w:hAnsiTheme="majorBidi" w:cstheme="majorBidi"/>
          <w:lang w:val="en-AU"/>
        </w:rPr>
        <w:fldChar w:fldCharType="begin"/>
      </w:r>
      <w:r w:rsidR="003F7827" w:rsidRPr="004C5271">
        <w:rPr>
          <w:rFonts w:asciiTheme="majorBidi" w:hAnsiTheme="majorBidi" w:cstheme="majorBidi"/>
          <w:lang w:val="en-AU"/>
        </w:rPr>
        <w:instrText xml:space="preserve"> REF _Ref13302510 \r \h </w:instrText>
      </w:r>
      <w:r w:rsidR="004C5271">
        <w:rPr>
          <w:rFonts w:asciiTheme="majorBidi" w:hAnsiTheme="majorBidi" w:cstheme="majorBidi"/>
          <w:lang w:val="en-AU"/>
        </w:rPr>
        <w:instrText xml:space="preserve"> \* MERGEFORMAT </w:instrText>
      </w:r>
      <w:r w:rsidR="003F7827" w:rsidRPr="004C5271">
        <w:rPr>
          <w:rFonts w:asciiTheme="majorBidi" w:hAnsiTheme="majorBidi" w:cstheme="majorBidi"/>
          <w:lang w:val="en-AU"/>
        </w:rPr>
      </w:r>
      <w:r w:rsidR="003F7827"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5.5.2</w:t>
      </w:r>
      <w:r w:rsidR="003F7827" w:rsidRPr="004C5271">
        <w:rPr>
          <w:rFonts w:asciiTheme="majorBidi" w:hAnsiTheme="majorBidi" w:cstheme="majorBidi"/>
          <w:lang w:val="en-AU"/>
        </w:rPr>
        <w:fldChar w:fldCharType="end"/>
      </w:r>
      <w:r w:rsidR="00693881" w:rsidRPr="004C5271">
        <w:rPr>
          <w:rFonts w:asciiTheme="majorBidi" w:hAnsiTheme="majorBidi" w:cstheme="majorBidi"/>
          <w:lang w:val="en-AU"/>
        </w:rPr>
        <w:t>].</w:t>
      </w:r>
    </w:p>
    <w:p w14:paraId="38B44FC7" w14:textId="00E9160A" w:rsidR="00440305" w:rsidRPr="004C5271" w:rsidRDefault="00F07932" w:rsidP="004711EC">
      <w:pPr>
        <w:pStyle w:val="NormalNumberedTextTLRI"/>
        <w:rPr>
          <w:rFonts w:asciiTheme="majorBidi" w:hAnsiTheme="majorBidi" w:cstheme="majorBidi"/>
          <w:lang w:val="en-AU"/>
        </w:rPr>
      </w:pPr>
      <w:r w:rsidRPr="004C5271">
        <w:rPr>
          <w:rFonts w:asciiTheme="majorBidi" w:hAnsiTheme="majorBidi" w:cstheme="majorBidi"/>
          <w:lang w:val="en-AU"/>
        </w:rPr>
        <w:t>In summary, it is apparent that some Tasmanians do structure their affairs and make certain arrangements</w:t>
      </w:r>
      <w:r w:rsidR="00C11EB6" w:rsidRPr="004C5271">
        <w:rPr>
          <w:rFonts w:asciiTheme="majorBidi" w:hAnsiTheme="majorBidi" w:cstheme="majorBidi"/>
          <w:lang w:val="en-AU"/>
        </w:rPr>
        <w:t xml:space="preserve"> in order</w:t>
      </w:r>
      <w:r w:rsidRPr="004C5271">
        <w:rPr>
          <w:rFonts w:asciiTheme="majorBidi" w:hAnsiTheme="majorBidi" w:cstheme="majorBidi"/>
          <w:lang w:val="en-AU"/>
        </w:rPr>
        <w:t xml:space="preserve"> to </w:t>
      </w:r>
      <w:r w:rsidR="00D95C53" w:rsidRPr="004C5271">
        <w:rPr>
          <w:rFonts w:asciiTheme="majorBidi" w:hAnsiTheme="majorBidi" w:cstheme="majorBidi"/>
          <w:lang w:val="en-AU"/>
        </w:rPr>
        <w:t xml:space="preserve">protect </w:t>
      </w:r>
      <w:r w:rsidRPr="004C5271">
        <w:rPr>
          <w:rFonts w:asciiTheme="majorBidi" w:hAnsiTheme="majorBidi" w:cstheme="majorBidi"/>
          <w:lang w:val="en-AU"/>
        </w:rPr>
        <w:t xml:space="preserve">assets from </w:t>
      </w:r>
      <w:r w:rsidR="00440305" w:rsidRPr="004C5271">
        <w:rPr>
          <w:rFonts w:asciiTheme="majorBidi" w:hAnsiTheme="majorBidi" w:cstheme="majorBidi"/>
          <w:lang w:val="en-AU"/>
        </w:rPr>
        <w:t xml:space="preserve">a family provision </w:t>
      </w:r>
      <w:r w:rsidRPr="004C5271">
        <w:rPr>
          <w:rFonts w:asciiTheme="majorBidi" w:hAnsiTheme="majorBidi" w:cstheme="majorBidi"/>
          <w:lang w:val="en-AU"/>
        </w:rPr>
        <w:t xml:space="preserve">challenge. The extent </w:t>
      </w:r>
      <w:r w:rsidR="00C11EB6" w:rsidRPr="004C5271">
        <w:rPr>
          <w:rFonts w:asciiTheme="majorBidi" w:hAnsiTheme="majorBidi" w:cstheme="majorBidi"/>
          <w:lang w:val="en-AU"/>
        </w:rPr>
        <w:t>to</w:t>
      </w:r>
      <w:r w:rsidRPr="004C5271">
        <w:rPr>
          <w:rFonts w:asciiTheme="majorBidi" w:hAnsiTheme="majorBidi" w:cstheme="majorBidi"/>
          <w:lang w:val="en-AU"/>
        </w:rPr>
        <w:t xml:space="preserve"> which </w:t>
      </w:r>
      <w:r w:rsidR="00C11EB6" w:rsidRPr="004C5271">
        <w:rPr>
          <w:rFonts w:asciiTheme="majorBidi" w:hAnsiTheme="majorBidi" w:cstheme="majorBidi"/>
          <w:lang w:val="en-AU"/>
        </w:rPr>
        <w:t>this</w:t>
      </w:r>
      <w:r w:rsidRPr="004C5271">
        <w:rPr>
          <w:rFonts w:asciiTheme="majorBidi" w:hAnsiTheme="majorBidi" w:cstheme="majorBidi"/>
          <w:lang w:val="en-AU"/>
        </w:rPr>
        <w:t xml:space="preserve"> occurs</w:t>
      </w:r>
      <w:r w:rsidR="00440305" w:rsidRPr="004C5271">
        <w:rPr>
          <w:rFonts w:asciiTheme="majorBidi" w:hAnsiTheme="majorBidi" w:cstheme="majorBidi"/>
          <w:lang w:val="en-AU"/>
        </w:rPr>
        <w:t>, however,</w:t>
      </w:r>
      <w:r w:rsidRPr="004C5271">
        <w:rPr>
          <w:rFonts w:asciiTheme="majorBidi" w:hAnsiTheme="majorBidi" w:cstheme="majorBidi"/>
          <w:lang w:val="en-AU"/>
        </w:rPr>
        <w:t xml:space="preserve"> </w:t>
      </w:r>
      <w:r w:rsidR="00440305" w:rsidRPr="004C5271">
        <w:rPr>
          <w:rFonts w:asciiTheme="majorBidi" w:hAnsiTheme="majorBidi" w:cstheme="majorBidi"/>
          <w:lang w:val="en-AU"/>
        </w:rPr>
        <w:t xml:space="preserve">remains </w:t>
      </w:r>
      <w:r w:rsidR="00412CE5" w:rsidRPr="004C5271">
        <w:rPr>
          <w:rFonts w:asciiTheme="majorBidi" w:hAnsiTheme="majorBidi" w:cstheme="majorBidi"/>
          <w:lang w:val="en-AU"/>
        </w:rPr>
        <w:t>unquantified</w:t>
      </w:r>
      <w:r w:rsidR="00946594" w:rsidRPr="004C5271">
        <w:rPr>
          <w:rFonts w:asciiTheme="majorBidi" w:hAnsiTheme="majorBidi" w:cstheme="majorBidi"/>
          <w:lang w:val="en-AU"/>
        </w:rPr>
        <w:t xml:space="preserve"> although </w:t>
      </w:r>
      <w:r w:rsidR="008C7736" w:rsidRPr="004C5271">
        <w:rPr>
          <w:rFonts w:asciiTheme="majorBidi" w:hAnsiTheme="majorBidi" w:cstheme="majorBidi"/>
          <w:lang w:val="en-AU"/>
        </w:rPr>
        <w:t>responses</w:t>
      </w:r>
      <w:r w:rsidR="00946594" w:rsidRPr="004C5271">
        <w:rPr>
          <w:rFonts w:asciiTheme="majorBidi" w:hAnsiTheme="majorBidi" w:cstheme="majorBidi"/>
          <w:lang w:val="en-AU"/>
        </w:rPr>
        <w:t xml:space="preserve"> suggest that the </w:t>
      </w:r>
      <w:r w:rsidR="00874574" w:rsidRPr="004C5271">
        <w:rPr>
          <w:rFonts w:asciiTheme="majorBidi" w:hAnsiTheme="majorBidi" w:cstheme="majorBidi"/>
          <w:lang w:val="en-AU"/>
        </w:rPr>
        <w:t>frequency</w:t>
      </w:r>
      <w:r w:rsidR="00946594" w:rsidRPr="004C5271">
        <w:rPr>
          <w:rFonts w:asciiTheme="majorBidi" w:hAnsiTheme="majorBidi" w:cstheme="majorBidi"/>
          <w:lang w:val="en-AU"/>
        </w:rPr>
        <w:t xml:space="preserve"> is relatively </w:t>
      </w:r>
      <w:r w:rsidR="005808EE" w:rsidRPr="004C5271">
        <w:rPr>
          <w:rFonts w:asciiTheme="majorBidi" w:hAnsiTheme="majorBidi" w:cstheme="majorBidi"/>
          <w:lang w:val="en-AU"/>
        </w:rPr>
        <w:t>low</w:t>
      </w:r>
      <w:r w:rsidRPr="004C5271">
        <w:rPr>
          <w:rFonts w:asciiTheme="majorBidi" w:hAnsiTheme="majorBidi" w:cstheme="majorBidi"/>
          <w:lang w:val="en-AU"/>
        </w:rPr>
        <w:t xml:space="preserve">. </w:t>
      </w:r>
    </w:p>
    <w:p w14:paraId="07C36D6D" w14:textId="2EA6E4FF" w:rsidR="00986FBD" w:rsidRPr="004C5271" w:rsidRDefault="00986FBD" w:rsidP="00AE2B8C">
      <w:pPr>
        <w:pStyle w:val="Sub-HeadingTLRI"/>
      </w:pPr>
      <w:r w:rsidRPr="004C5271">
        <w:lastRenderedPageBreak/>
        <w:t>What does the public think about this circumstance?</w:t>
      </w:r>
    </w:p>
    <w:p w14:paraId="65B99663" w14:textId="34CAFE2A" w:rsidR="00F07932" w:rsidRPr="004C5271" w:rsidRDefault="00F07932" w:rsidP="004711EC">
      <w:pPr>
        <w:pStyle w:val="NormalNumberedTextTLRI"/>
        <w:rPr>
          <w:rFonts w:asciiTheme="majorBidi" w:hAnsiTheme="majorBidi" w:cstheme="majorBidi"/>
          <w:lang w:val="en-AU"/>
        </w:rPr>
      </w:pPr>
      <w:r w:rsidRPr="004C5271">
        <w:rPr>
          <w:rFonts w:asciiTheme="majorBidi" w:hAnsiTheme="majorBidi" w:cstheme="majorBidi"/>
          <w:lang w:val="en-AU"/>
        </w:rPr>
        <w:t xml:space="preserve">The question that follows </w:t>
      </w:r>
      <w:r w:rsidR="00FB370F" w:rsidRPr="004C5271">
        <w:rPr>
          <w:rFonts w:asciiTheme="majorBidi" w:hAnsiTheme="majorBidi" w:cstheme="majorBidi"/>
          <w:lang w:val="en-AU"/>
        </w:rPr>
        <w:t xml:space="preserve">concerns </w:t>
      </w:r>
      <w:r w:rsidRPr="004C5271">
        <w:rPr>
          <w:rFonts w:asciiTheme="majorBidi" w:hAnsiTheme="majorBidi" w:cstheme="majorBidi"/>
          <w:lang w:val="en-AU"/>
        </w:rPr>
        <w:t xml:space="preserve">the degree to which </w:t>
      </w:r>
      <w:r w:rsidR="00C11EB6" w:rsidRPr="004C5271">
        <w:rPr>
          <w:rFonts w:asciiTheme="majorBidi" w:hAnsiTheme="majorBidi" w:cstheme="majorBidi"/>
          <w:lang w:val="en-AU"/>
        </w:rPr>
        <w:t>Tasmanians</w:t>
      </w:r>
      <w:r w:rsidRPr="004C5271">
        <w:rPr>
          <w:rFonts w:asciiTheme="majorBidi" w:hAnsiTheme="majorBidi" w:cstheme="majorBidi"/>
          <w:lang w:val="en-AU"/>
        </w:rPr>
        <w:t xml:space="preserve"> consider it appropriate</w:t>
      </w:r>
      <w:r w:rsidR="00D95C53" w:rsidRPr="004C5271">
        <w:rPr>
          <w:rFonts w:asciiTheme="majorBidi" w:hAnsiTheme="majorBidi" w:cstheme="majorBidi"/>
          <w:lang w:val="en-AU"/>
        </w:rPr>
        <w:t xml:space="preserve"> for individuals to be able to take steps to protect assets</w:t>
      </w:r>
      <w:r w:rsidRPr="004C5271">
        <w:rPr>
          <w:rFonts w:asciiTheme="majorBidi" w:hAnsiTheme="majorBidi" w:cstheme="majorBidi"/>
          <w:lang w:val="en-AU"/>
        </w:rPr>
        <w:t xml:space="preserve">. </w:t>
      </w:r>
      <w:r w:rsidR="00631301" w:rsidRPr="004C5271">
        <w:rPr>
          <w:rFonts w:asciiTheme="majorBidi" w:hAnsiTheme="majorBidi" w:cstheme="majorBidi"/>
          <w:lang w:val="en-AU"/>
        </w:rPr>
        <w:t xml:space="preserve">If </w:t>
      </w:r>
      <w:r w:rsidR="00310363" w:rsidRPr="004C5271">
        <w:rPr>
          <w:rFonts w:asciiTheme="majorBidi" w:hAnsiTheme="majorBidi" w:cstheme="majorBidi"/>
          <w:lang w:val="en-AU"/>
        </w:rPr>
        <w:t xml:space="preserve">there is broad </w:t>
      </w:r>
      <w:r w:rsidR="00631301" w:rsidRPr="004C5271">
        <w:rPr>
          <w:rFonts w:asciiTheme="majorBidi" w:hAnsiTheme="majorBidi" w:cstheme="majorBidi"/>
          <w:lang w:val="en-AU"/>
        </w:rPr>
        <w:t xml:space="preserve">community support </w:t>
      </w:r>
      <w:r w:rsidR="00310363" w:rsidRPr="004C5271">
        <w:rPr>
          <w:rFonts w:asciiTheme="majorBidi" w:hAnsiTheme="majorBidi" w:cstheme="majorBidi"/>
          <w:lang w:val="en-AU"/>
        </w:rPr>
        <w:t xml:space="preserve">for </w:t>
      </w:r>
      <w:r w:rsidR="00631301" w:rsidRPr="004C5271">
        <w:rPr>
          <w:rFonts w:asciiTheme="majorBidi" w:hAnsiTheme="majorBidi" w:cstheme="majorBidi"/>
          <w:lang w:val="en-AU"/>
        </w:rPr>
        <w:t>individuals hav</w:t>
      </w:r>
      <w:r w:rsidR="00412CE5" w:rsidRPr="004C5271">
        <w:rPr>
          <w:rFonts w:asciiTheme="majorBidi" w:hAnsiTheme="majorBidi" w:cstheme="majorBidi"/>
          <w:lang w:val="en-AU"/>
        </w:rPr>
        <w:t>ing</w:t>
      </w:r>
      <w:r w:rsidR="00631301" w:rsidRPr="004C5271">
        <w:rPr>
          <w:rFonts w:asciiTheme="majorBidi" w:hAnsiTheme="majorBidi" w:cstheme="majorBidi"/>
          <w:lang w:val="en-AU"/>
        </w:rPr>
        <w:t xml:space="preserve"> the ability to remove assets from </w:t>
      </w:r>
      <w:r w:rsidR="0096206D" w:rsidRPr="004C5271">
        <w:rPr>
          <w:rFonts w:asciiTheme="majorBidi" w:hAnsiTheme="majorBidi" w:cstheme="majorBidi"/>
          <w:lang w:val="en-AU"/>
        </w:rPr>
        <w:t>their estate</w:t>
      </w:r>
      <w:r w:rsidR="00631301" w:rsidRPr="004C5271">
        <w:rPr>
          <w:rFonts w:asciiTheme="majorBidi" w:hAnsiTheme="majorBidi" w:cstheme="majorBidi"/>
          <w:lang w:val="en-AU"/>
        </w:rPr>
        <w:t xml:space="preserve">, then there is no ‘problem’ requiring redress. </w:t>
      </w:r>
      <w:r w:rsidRPr="004C5271">
        <w:rPr>
          <w:rFonts w:asciiTheme="majorBidi" w:hAnsiTheme="majorBidi" w:cstheme="majorBidi"/>
          <w:lang w:val="en-AU"/>
        </w:rPr>
        <w:t>The Issues Paper therefore asked the following question:</w:t>
      </w:r>
    </w:p>
    <w:p w14:paraId="7C30E093" w14:textId="49D7D014" w:rsidR="00914E47" w:rsidRPr="004C5271" w:rsidRDefault="00914E47" w:rsidP="003F7827">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b/>
          <w:bCs/>
          <w:lang w:val="en-AU"/>
        </w:rPr>
      </w:pPr>
      <w:r w:rsidRPr="004C5271">
        <w:rPr>
          <w:rFonts w:asciiTheme="majorBidi" w:hAnsiTheme="majorBidi" w:cstheme="majorBidi"/>
          <w:b/>
          <w:bCs/>
          <w:lang w:val="en-AU"/>
        </w:rPr>
        <w:t>Question 2</w:t>
      </w:r>
    </w:p>
    <w:bookmarkEnd w:id="121"/>
    <w:p w14:paraId="7A247384" w14:textId="4C2EAE21" w:rsidR="00914E47" w:rsidRPr="004C5271" w:rsidRDefault="00914E47" w:rsidP="003F7827">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 xml:space="preserve">Should people be entitled to deal with their assets during their lifetime to reduce the property that is in their estate and available to claim under the </w:t>
      </w:r>
      <w:r w:rsidR="00282DB1" w:rsidRPr="004C5271">
        <w:rPr>
          <w:rFonts w:asciiTheme="majorBidi" w:hAnsiTheme="majorBidi" w:cstheme="majorBidi"/>
          <w:i/>
          <w:iCs/>
          <w:lang w:val="en-AU"/>
        </w:rPr>
        <w:t>Testator’s Family Maintenance Act 1912</w:t>
      </w:r>
      <w:r w:rsidR="00282DB1" w:rsidRPr="004C5271">
        <w:rPr>
          <w:rFonts w:asciiTheme="majorBidi" w:hAnsiTheme="majorBidi" w:cstheme="majorBidi"/>
          <w:lang w:val="en-AU"/>
        </w:rPr>
        <w:t xml:space="preserve"> (Tas)</w:t>
      </w:r>
      <w:r w:rsidRPr="004C5271">
        <w:rPr>
          <w:rFonts w:asciiTheme="majorBidi" w:hAnsiTheme="majorBidi" w:cstheme="majorBidi"/>
          <w:lang w:val="en-AU"/>
        </w:rPr>
        <w:t>? Please provide reasons for your opinion.</w:t>
      </w:r>
      <w:r w:rsidR="000D6F4B" w:rsidRPr="004C5271">
        <w:rPr>
          <w:rStyle w:val="FootnoteReference"/>
          <w:rFonts w:asciiTheme="majorBidi" w:hAnsiTheme="majorBidi" w:cstheme="majorBidi"/>
        </w:rPr>
        <w:footnoteReference w:id="264"/>
      </w:r>
    </w:p>
    <w:p w14:paraId="395E407D" w14:textId="51460996" w:rsidR="0083725B" w:rsidRPr="004C5271" w:rsidRDefault="00C11EB6" w:rsidP="0083725B">
      <w:pPr>
        <w:pStyle w:val="NormalNumberedTextTLRI"/>
        <w:rPr>
          <w:rFonts w:asciiTheme="majorBidi" w:hAnsiTheme="majorBidi" w:cstheme="majorBidi"/>
          <w:lang w:val="en-AU"/>
        </w:rPr>
      </w:pPr>
      <w:bookmarkStart w:id="123" w:name="Question3"/>
      <w:r w:rsidRPr="004C5271">
        <w:rPr>
          <w:rFonts w:asciiTheme="majorBidi" w:hAnsiTheme="majorBidi" w:cstheme="majorBidi"/>
          <w:lang w:val="en-AU"/>
        </w:rPr>
        <w:t xml:space="preserve">There </w:t>
      </w:r>
      <w:r w:rsidR="00C52114">
        <w:rPr>
          <w:rFonts w:asciiTheme="majorBidi" w:hAnsiTheme="majorBidi" w:cstheme="majorBidi"/>
          <w:lang w:val="en-AU"/>
        </w:rPr>
        <w:t>was</w:t>
      </w:r>
      <w:r w:rsidRPr="004C5271">
        <w:rPr>
          <w:rFonts w:asciiTheme="majorBidi" w:hAnsiTheme="majorBidi" w:cstheme="majorBidi"/>
          <w:lang w:val="en-AU"/>
        </w:rPr>
        <w:t xml:space="preserve"> a diverse range of answers to this question, ranging from those strongly opposed to avoidance schemes, to those strongly in suppor</w:t>
      </w:r>
      <w:r w:rsidR="00A61A27" w:rsidRPr="004C5271">
        <w:rPr>
          <w:rFonts w:asciiTheme="majorBidi" w:hAnsiTheme="majorBidi" w:cstheme="majorBidi"/>
          <w:lang w:val="en-AU"/>
        </w:rPr>
        <w:t xml:space="preserve">t of people retaining the ability to structure their affairs to reduce the assets </w:t>
      </w:r>
      <w:r w:rsidR="00693881" w:rsidRPr="004C5271">
        <w:rPr>
          <w:rFonts w:asciiTheme="majorBidi" w:hAnsiTheme="majorBidi" w:cstheme="majorBidi"/>
          <w:lang w:val="en-AU"/>
        </w:rPr>
        <w:t>in their estate</w:t>
      </w:r>
      <w:r w:rsidR="00A61A27" w:rsidRPr="004C5271">
        <w:rPr>
          <w:rFonts w:asciiTheme="majorBidi" w:hAnsiTheme="majorBidi" w:cstheme="majorBidi"/>
          <w:lang w:val="en-AU"/>
        </w:rPr>
        <w:t>.</w:t>
      </w:r>
    </w:p>
    <w:p w14:paraId="19618776" w14:textId="1820B83E" w:rsidR="00A61A27" w:rsidRPr="004C5271" w:rsidRDefault="00A61A27" w:rsidP="0083725B">
      <w:pPr>
        <w:pStyle w:val="NormalNumberedTextTLRI"/>
        <w:rPr>
          <w:rFonts w:asciiTheme="majorBidi" w:hAnsiTheme="majorBidi" w:cstheme="majorBidi"/>
          <w:lang w:val="en-AU"/>
        </w:rPr>
      </w:pPr>
      <w:r w:rsidRPr="004C5271">
        <w:rPr>
          <w:rFonts w:asciiTheme="majorBidi" w:hAnsiTheme="majorBidi" w:cstheme="majorBidi"/>
          <w:lang w:val="en-AU"/>
        </w:rPr>
        <w:t xml:space="preserve">Of the </w:t>
      </w:r>
      <w:r w:rsidR="00624C50" w:rsidRPr="004C5271">
        <w:rPr>
          <w:rFonts w:asciiTheme="majorBidi" w:hAnsiTheme="majorBidi" w:cstheme="majorBidi"/>
          <w:lang w:val="en-AU"/>
        </w:rPr>
        <w:t>six</w:t>
      </w:r>
      <w:r w:rsidRPr="004C5271">
        <w:rPr>
          <w:rFonts w:asciiTheme="majorBidi" w:hAnsiTheme="majorBidi" w:cstheme="majorBidi"/>
          <w:lang w:val="en-AU"/>
        </w:rPr>
        <w:t xml:space="preserve"> </w:t>
      </w:r>
      <w:r w:rsidR="00624C50" w:rsidRPr="004C5271">
        <w:rPr>
          <w:rFonts w:asciiTheme="majorBidi" w:hAnsiTheme="majorBidi" w:cstheme="majorBidi"/>
          <w:lang w:val="en-AU"/>
        </w:rPr>
        <w:t>submissions</w:t>
      </w:r>
      <w:r w:rsidR="00722A2F" w:rsidRPr="004C5271">
        <w:rPr>
          <w:rStyle w:val="FootnoteReference"/>
          <w:rFonts w:asciiTheme="majorBidi" w:hAnsiTheme="majorBidi" w:cstheme="majorBidi"/>
          <w:lang w:val="en-AU"/>
        </w:rPr>
        <w:footnoteReference w:id="265"/>
      </w:r>
      <w:r w:rsidRPr="004C5271">
        <w:rPr>
          <w:rFonts w:asciiTheme="majorBidi" w:hAnsiTheme="majorBidi" w:cstheme="majorBidi"/>
          <w:lang w:val="en-AU"/>
        </w:rPr>
        <w:t xml:space="preserve"> expressing concerns with the current scheme, reasons given in </w:t>
      </w:r>
      <w:r w:rsidR="008C7736" w:rsidRPr="004C5271">
        <w:rPr>
          <w:rFonts w:asciiTheme="majorBidi" w:hAnsiTheme="majorBidi" w:cstheme="majorBidi"/>
          <w:lang w:val="en-AU"/>
        </w:rPr>
        <w:t xml:space="preserve">support of their views </w:t>
      </w:r>
      <w:r w:rsidRPr="004C5271">
        <w:rPr>
          <w:rFonts w:asciiTheme="majorBidi" w:hAnsiTheme="majorBidi" w:cstheme="majorBidi"/>
          <w:lang w:val="en-AU"/>
        </w:rPr>
        <w:t>included</w:t>
      </w:r>
      <w:r w:rsidR="007E414A" w:rsidRPr="004C5271">
        <w:rPr>
          <w:rFonts w:asciiTheme="majorBidi" w:hAnsiTheme="majorBidi" w:cstheme="majorBidi"/>
          <w:lang w:val="en-AU"/>
        </w:rPr>
        <w:t xml:space="preserve"> that</w:t>
      </w:r>
      <w:r w:rsidRPr="004C5271">
        <w:rPr>
          <w:rFonts w:asciiTheme="majorBidi" w:hAnsiTheme="majorBidi" w:cstheme="majorBidi"/>
          <w:lang w:val="en-AU"/>
        </w:rPr>
        <w:t>:</w:t>
      </w:r>
    </w:p>
    <w:p w14:paraId="7AE9ED51" w14:textId="66B0F936" w:rsidR="00A61A27" w:rsidRPr="004C5271" w:rsidRDefault="00A61A27"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 xml:space="preserve">the effectiveness of the </w:t>
      </w:r>
      <w:r w:rsidR="00446ACA" w:rsidRPr="004C5271">
        <w:rPr>
          <w:rFonts w:asciiTheme="majorBidi" w:hAnsiTheme="majorBidi" w:cstheme="majorBidi"/>
          <w:i/>
          <w:iCs/>
          <w:lang w:val="en-AU"/>
        </w:rPr>
        <w:t xml:space="preserve">TFM </w:t>
      </w:r>
      <w:r w:rsidRPr="004C5271">
        <w:rPr>
          <w:rFonts w:asciiTheme="majorBidi" w:hAnsiTheme="majorBidi" w:cstheme="majorBidi"/>
          <w:i/>
          <w:iCs/>
          <w:lang w:val="en-AU"/>
        </w:rPr>
        <w:t>Act</w:t>
      </w:r>
      <w:r w:rsidRPr="004C5271">
        <w:rPr>
          <w:rFonts w:asciiTheme="majorBidi" w:hAnsiTheme="majorBidi" w:cstheme="majorBidi"/>
          <w:lang w:val="en-AU"/>
        </w:rPr>
        <w:t xml:space="preserve"> is severely limited </w:t>
      </w:r>
      <w:r w:rsidR="00722A2F" w:rsidRPr="004C5271">
        <w:rPr>
          <w:rFonts w:asciiTheme="majorBidi" w:hAnsiTheme="majorBidi" w:cstheme="majorBidi"/>
          <w:lang w:val="en-AU"/>
        </w:rPr>
        <w:t xml:space="preserve">whilst </w:t>
      </w:r>
      <w:r w:rsidRPr="004C5271">
        <w:rPr>
          <w:rFonts w:asciiTheme="majorBidi" w:hAnsiTheme="majorBidi" w:cstheme="majorBidi"/>
          <w:lang w:val="en-AU"/>
        </w:rPr>
        <w:t>people</w:t>
      </w:r>
      <w:r w:rsidR="00722A2F" w:rsidRPr="004C5271">
        <w:rPr>
          <w:rFonts w:asciiTheme="majorBidi" w:hAnsiTheme="majorBidi" w:cstheme="majorBidi"/>
          <w:lang w:val="en-AU"/>
        </w:rPr>
        <w:t xml:space="preserve"> </w:t>
      </w:r>
      <w:proofErr w:type="gramStart"/>
      <w:r w:rsidR="00722A2F" w:rsidRPr="004C5271">
        <w:rPr>
          <w:rFonts w:asciiTheme="majorBidi" w:hAnsiTheme="majorBidi" w:cstheme="majorBidi"/>
          <w:lang w:val="en-AU"/>
        </w:rPr>
        <w:t>are able</w:t>
      </w:r>
      <w:r w:rsidRPr="004C5271">
        <w:rPr>
          <w:rFonts w:asciiTheme="majorBidi" w:hAnsiTheme="majorBidi" w:cstheme="majorBidi"/>
          <w:lang w:val="en-AU"/>
        </w:rPr>
        <w:t xml:space="preserve"> to</w:t>
      </w:r>
      <w:proofErr w:type="gramEnd"/>
      <w:r w:rsidRPr="004C5271">
        <w:rPr>
          <w:rFonts w:asciiTheme="majorBidi" w:hAnsiTheme="majorBidi" w:cstheme="majorBidi"/>
          <w:lang w:val="en-AU"/>
        </w:rPr>
        <w:t xml:space="preserve"> limit</w:t>
      </w:r>
      <w:r w:rsidR="00F06C50" w:rsidRPr="004C5271">
        <w:rPr>
          <w:rFonts w:asciiTheme="majorBidi" w:hAnsiTheme="majorBidi" w:cstheme="majorBidi"/>
          <w:lang w:val="en-AU"/>
        </w:rPr>
        <w:t>,</w:t>
      </w:r>
      <w:r w:rsidRPr="004C5271">
        <w:rPr>
          <w:rFonts w:asciiTheme="majorBidi" w:hAnsiTheme="majorBidi" w:cstheme="majorBidi"/>
          <w:lang w:val="en-AU"/>
        </w:rPr>
        <w:t xml:space="preserve"> </w:t>
      </w:r>
      <w:r w:rsidR="00F06C50" w:rsidRPr="004C5271">
        <w:rPr>
          <w:rFonts w:asciiTheme="majorBidi" w:hAnsiTheme="majorBidi" w:cstheme="majorBidi"/>
          <w:lang w:val="en-AU"/>
        </w:rPr>
        <w:t>and sometimes eliminate,</w:t>
      </w:r>
      <w:r w:rsidRPr="004C5271">
        <w:rPr>
          <w:rFonts w:asciiTheme="majorBidi" w:hAnsiTheme="majorBidi" w:cstheme="majorBidi"/>
          <w:lang w:val="en-AU"/>
        </w:rPr>
        <w:t xml:space="preserve"> family provision claims;</w:t>
      </w:r>
    </w:p>
    <w:p w14:paraId="23776812" w14:textId="6CA4A898" w:rsidR="005E53A7" w:rsidRPr="004C5271" w:rsidRDefault="005E53A7"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lastRenderedPageBreak/>
        <w:t xml:space="preserve">most statutes dealing with financial </w:t>
      </w:r>
      <w:r w:rsidR="00874574" w:rsidRPr="004C5271">
        <w:rPr>
          <w:rFonts w:asciiTheme="majorBidi" w:hAnsiTheme="majorBidi" w:cstheme="majorBidi"/>
          <w:lang w:val="en-AU"/>
        </w:rPr>
        <w:t>impositions</w:t>
      </w:r>
      <w:r w:rsidRPr="004C5271">
        <w:rPr>
          <w:rFonts w:asciiTheme="majorBidi" w:hAnsiTheme="majorBidi" w:cstheme="majorBidi"/>
          <w:lang w:val="en-AU"/>
        </w:rPr>
        <w:t xml:space="preserve"> contain anti-avoidance provisions </w:t>
      </w:r>
      <w:r w:rsidR="00640F99" w:rsidRPr="004C5271">
        <w:rPr>
          <w:rFonts w:asciiTheme="majorBidi" w:hAnsiTheme="majorBidi" w:cstheme="majorBidi"/>
          <w:lang w:val="en-AU"/>
        </w:rPr>
        <w:t>—</w:t>
      </w:r>
      <w:r w:rsidRPr="004C5271">
        <w:rPr>
          <w:rFonts w:asciiTheme="majorBidi" w:hAnsiTheme="majorBidi" w:cstheme="majorBidi"/>
          <w:lang w:val="en-AU"/>
        </w:rPr>
        <w:t xml:space="preserve"> for example, taxation, family law</w:t>
      </w:r>
      <w:r w:rsidR="00421340" w:rsidRPr="004C5271">
        <w:rPr>
          <w:rFonts w:asciiTheme="majorBidi" w:hAnsiTheme="majorBidi" w:cstheme="majorBidi"/>
          <w:lang w:val="en-AU"/>
        </w:rPr>
        <w:t xml:space="preserve"> and </w:t>
      </w:r>
      <w:r w:rsidRPr="004C5271">
        <w:rPr>
          <w:rFonts w:asciiTheme="majorBidi" w:hAnsiTheme="majorBidi" w:cstheme="majorBidi"/>
          <w:lang w:val="en-AU"/>
        </w:rPr>
        <w:t>bankruptcy;</w:t>
      </w:r>
      <w:r w:rsidRPr="004C5271">
        <w:rPr>
          <w:rStyle w:val="FootnoteReference"/>
          <w:rFonts w:asciiTheme="majorBidi" w:hAnsiTheme="majorBidi" w:cstheme="majorBidi"/>
          <w:lang w:val="en-AU"/>
        </w:rPr>
        <w:footnoteReference w:id="266"/>
      </w:r>
    </w:p>
    <w:p w14:paraId="2D580701" w14:textId="41BC5F43" w:rsidR="00A61A27" w:rsidRPr="004C5271" w:rsidRDefault="005E53A7"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 xml:space="preserve">they </w:t>
      </w:r>
      <w:r w:rsidR="00A61A27" w:rsidRPr="004C5271">
        <w:rPr>
          <w:rFonts w:asciiTheme="majorBidi" w:hAnsiTheme="majorBidi" w:cstheme="majorBidi"/>
          <w:lang w:val="en-AU"/>
        </w:rPr>
        <w:t xml:space="preserve">had experienced </w:t>
      </w:r>
      <w:r w:rsidR="00F06C50" w:rsidRPr="004C5271">
        <w:rPr>
          <w:rFonts w:asciiTheme="majorBidi" w:hAnsiTheme="majorBidi" w:cstheme="majorBidi"/>
          <w:lang w:val="en-AU"/>
        </w:rPr>
        <w:t>situations</w:t>
      </w:r>
      <w:r w:rsidR="00A61A27" w:rsidRPr="004C5271">
        <w:rPr>
          <w:rFonts w:asciiTheme="majorBidi" w:hAnsiTheme="majorBidi" w:cstheme="majorBidi"/>
          <w:lang w:val="en-AU"/>
        </w:rPr>
        <w:t xml:space="preserve"> where they considered legitimate claims had been defeated through there being no assets able to be claimed;</w:t>
      </w:r>
      <w:r w:rsidR="007E3796" w:rsidRPr="004C5271">
        <w:rPr>
          <w:rStyle w:val="FootnoteReference"/>
          <w:rFonts w:asciiTheme="majorBidi" w:hAnsiTheme="majorBidi" w:cstheme="majorBidi"/>
          <w:lang w:val="en-AU"/>
        </w:rPr>
        <w:t xml:space="preserve"> </w:t>
      </w:r>
      <w:r w:rsidR="007E3796" w:rsidRPr="004C5271">
        <w:rPr>
          <w:rStyle w:val="FootnoteReference"/>
          <w:rFonts w:asciiTheme="majorBidi" w:hAnsiTheme="majorBidi" w:cstheme="majorBidi"/>
          <w:lang w:val="en-AU"/>
        </w:rPr>
        <w:footnoteReference w:id="267"/>
      </w:r>
      <w:r w:rsidR="007E3796" w:rsidRPr="004C5271">
        <w:rPr>
          <w:rFonts w:asciiTheme="majorBidi" w:hAnsiTheme="majorBidi" w:cstheme="majorBidi"/>
          <w:lang w:val="en-AU"/>
        </w:rPr>
        <w:t xml:space="preserve"> </w:t>
      </w:r>
      <w:r w:rsidR="00612928" w:rsidRPr="004C5271">
        <w:rPr>
          <w:rFonts w:asciiTheme="majorBidi" w:hAnsiTheme="majorBidi" w:cstheme="majorBidi"/>
          <w:lang w:val="en-AU"/>
        </w:rPr>
        <w:t>and</w:t>
      </w:r>
    </w:p>
    <w:p w14:paraId="1A419FEF" w14:textId="622F5141" w:rsidR="00DC0881" w:rsidRPr="004C5271" w:rsidRDefault="00722A2F" w:rsidP="00412CE5">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 xml:space="preserve">it can result in </w:t>
      </w:r>
      <w:r w:rsidR="00C9299E" w:rsidRPr="004C5271">
        <w:rPr>
          <w:rFonts w:asciiTheme="majorBidi" w:hAnsiTheme="majorBidi" w:cstheme="majorBidi"/>
          <w:lang w:val="en-AU"/>
        </w:rPr>
        <w:t>eligible applicants</w:t>
      </w:r>
      <w:r w:rsidR="005E53A7" w:rsidRPr="004C5271">
        <w:rPr>
          <w:rFonts w:asciiTheme="majorBidi" w:hAnsiTheme="majorBidi" w:cstheme="majorBidi"/>
          <w:lang w:val="en-AU"/>
        </w:rPr>
        <w:t xml:space="preserve"> </w:t>
      </w:r>
      <w:r w:rsidRPr="004C5271">
        <w:rPr>
          <w:rFonts w:asciiTheme="majorBidi" w:hAnsiTheme="majorBidi" w:cstheme="majorBidi"/>
          <w:lang w:val="en-AU"/>
        </w:rPr>
        <w:t xml:space="preserve">in financial need </w:t>
      </w:r>
      <w:r w:rsidR="00C9299E" w:rsidRPr="004C5271">
        <w:rPr>
          <w:rFonts w:asciiTheme="majorBidi" w:hAnsiTheme="majorBidi" w:cstheme="majorBidi"/>
          <w:lang w:val="en-AU"/>
        </w:rPr>
        <w:t xml:space="preserve">becoming or </w:t>
      </w:r>
      <w:r w:rsidRPr="004C5271">
        <w:rPr>
          <w:rFonts w:asciiTheme="majorBidi" w:hAnsiTheme="majorBidi" w:cstheme="majorBidi"/>
          <w:lang w:val="en-AU"/>
        </w:rPr>
        <w:t xml:space="preserve">remaining reliant upon </w:t>
      </w:r>
      <w:r w:rsidR="0038128F" w:rsidRPr="004C5271">
        <w:rPr>
          <w:rFonts w:asciiTheme="majorBidi" w:hAnsiTheme="majorBidi" w:cstheme="majorBidi"/>
          <w:lang w:val="en-AU"/>
        </w:rPr>
        <w:t>g</w:t>
      </w:r>
      <w:r w:rsidRPr="004C5271">
        <w:rPr>
          <w:rFonts w:asciiTheme="majorBidi" w:hAnsiTheme="majorBidi" w:cstheme="majorBidi"/>
          <w:lang w:val="en-AU"/>
        </w:rPr>
        <w:t>overnment support</w:t>
      </w:r>
      <w:r w:rsidR="00612928" w:rsidRPr="004C5271">
        <w:rPr>
          <w:rFonts w:asciiTheme="majorBidi" w:hAnsiTheme="majorBidi" w:cstheme="majorBidi"/>
          <w:lang w:val="en-AU"/>
        </w:rPr>
        <w:t>.</w:t>
      </w:r>
      <w:r w:rsidR="00421340" w:rsidRPr="004C5271">
        <w:rPr>
          <w:rStyle w:val="FootnoteReference"/>
          <w:rFonts w:asciiTheme="majorBidi" w:hAnsiTheme="majorBidi" w:cstheme="majorBidi"/>
          <w:lang w:val="en-AU"/>
        </w:rPr>
        <w:footnoteReference w:id="268"/>
      </w:r>
      <w:r w:rsidR="00874574" w:rsidRPr="004C5271">
        <w:rPr>
          <w:rFonts w:asciiTheme="majorBidi" w:hAnsiTheme="majorBidi" w:cstheme="majorBidi"/>
          <w:lang w:val="en-AU"/>
        </w:rPr>
        <w:t xml:space="preserve"> </w:t>
      </w:r>
    </w:p>
    <w:p w14:paraId="74E7C276" w14:textId="506D3001" w:rsidR="00DD6BE4" w:rsidRPr="004C5271" w:rsidRDefault="00DD6BE4" w:rsidP="002444FB">
      <w:pPr>
        <w:pStyle w:val="NormalNumberedTextTLRI"/>
        <w:rPr>
          <w:rFonts w:asciiTheme="majorBidi" w:hAnsiTheme="majorBidi" w:cstheme="majorBidi"/>
          <w:lang w:val="en-AU"/>
        </w:rPr>
      </w:pPr>
      <w:r w:rsidRPr="004C5271">
        <w:rPr>
          <w:rFonts w:asciiTheme="majorBidi" w:hAnsiTheme="majorBidi" w:cstheme="majorBidi"/>
          <w:lang w:val="en-AU"/>
        </w:rPr>
        <w:t>All</w:t>
      </w:r>
      <w:r w:rsidR="007E414A" w:rsidRPr="004C5271">
        <w:rPr>
          <w:rFonts w:asciiTheme="majorBidi" w:hAnsiTheme="majorBidi" w:cstheme="majorBidi"/>
          <w:lang w:val="en-AU"/>
        </w:rPr>
        <w:t xml:space="preserve"> of the </w:t>
      </w:r>
      <w:r w:rsidR="00C76CC1" w:rsidRPr="004C5271">
        <w:rPr>
          <w:rFonts w:asciiTheme="majorBidi" w:hAnsiTheme="majorBidi" w:cstheme="majorBidi"/>
          <w:lang w:val="en-AU"/>
        </w:rPr>
        <w:t>respondents</w:t>
      </w:r>
      <w:r w:rsidR="007E414A" w:rsidRPr="004C5271">
        <w:rPr>
          <w:rStyle w:val="FootnoteReference"/>
          <w:rFonts w:asciiTheme="majorBidi" w:hAnsiTheme="majorBidi" w:cstheme="majorBidi"/>
          <w:lang w:val="en-AU"/>
        </w:rPr>
        <w:footnoteReference w:id="269"/>
      </w:r>
      <w:r w:rsidR="007E414A" w:rsidRPr="004C5271">
        <w:rPr>
          <w:rFonts w:asciiTheme="majorBidi" w:hAnsiTheme="majorBidi" w:cstheme="majorBidi"/>
          <w:lang w:val="en-AU"/>
        </w:rPr>
        <w:t xml:space="preserve"> </w:t>
      </w:r>
      <w:r w:rsidR="00FA2AA0" w:rsidRPr="004C5271">
        <w:rPr>
          <w:rFonts w:asciiTheme="majorBidi" w:hAnsiTheme="majorBidi" w:cstheme="majorBidi"/>
          <w:lang w:val="en-AU"/>
        </w:rPr>
        <w:t xml:space="preserve">that </w:t>
      </w:r>
      <w:r w:rsidR="004F24D3" w:rsidRPr="004C5271">
        <w:rPr>
          <w:rFonts w:asciiTheme="majorBidi" w:hAnsiTheme="majorBidi" w:cstheme="majorBidi"/>
          <w:lang w:val="en-AU"/>
        </w:rPr>
        <w:t>stated</w:t>
      </w:r>
      <w:r w:rsidR="00DA2910" w:rsidRPr="004C5271">
        <w:rPr>
          <w:rFonts w:asciiTheme="majorBidi" w:hAnsiTheme="majorBidi" w:cstheme="majorBidi"/>
          <w:lang w:val="en-AU"/>
        </w:rPr>
        <w:t xml:space="preserve"> that </w:t>
      </w:r>
      <w:r w:rsidR="007E414A" w:rsidRPr="004C5271">
        <w:rPr>
          <w:rFonts w:asciiTheme="majorBidi" w:hAnsiTheme="majorBidi" w:cstheme="majorBidi"/>
          <w:lang w:val="en-AU"/>
        </w:rPr>
        <w:t xml:space="preserve">their claims had been defeated through </w:t>
      </w:r>
      <w:r w:rsidR="00874574" w:rsidRPr="004C5271">
        <w:rPr>
          <w:rFonts w:asciiTheme="majorBidi" w:hAnsiTheme="majorBidi" w:cstheme="majorBidi"/>
          <w:lang w:val="en-AU"/>
        </w:rPr>
        <w:t xml:space="preserve">assets being transferred </w:t>
      </w:r>
      <w:r w:rsidR="00B97880" w:rsidRPr="004C5271">
        <w:rPr>
          <w:rFonts w:asciiTheme="majorBidi" w:hAnsiTheme="majorBidi" w:cstheme="majorBidi"/>
          <w:lang w:val="en-AU"/>
        </w:rPr>
        <w:t xml:space="preserve">prior to death </w:t>
      </w:r>
      <w:r w:rsidR="007E414A" w:rsidRPr="004C5271">
        <w:rPr>
          <w:rFonts w:asciiTheme="majorBidi" w:hAnsiTheme="majorBidi" w:cstheme="majorBidi"/>
          <w:lang w:val="en-AU"/>
        </w:rPr>
        <w:t xml:space="preserve">raised concerns about </w:t>
      </w:r>
      <w:r w:rsidR="00DA2910" w:rsidRPr="004C5271">
        <w:rPr>
          <w:rFonts w:asciiTheme="majorBidi" w:hAnsiTheme="majorBidi" w:cstheme="majorBidi"/>
          <w:lang w:val="en-AU"/>
        </w:rPr>
        <w:t>the circumstances in which transfers</w:t>
      </w:r>
      <w:r w:rsidRPr="004C5271">
        <w:rPr>
          <w:rFonts w:asciiTheme="majorBidi" w:hAnsiTheme="majorBidi" w:cstheme="majorBidi"/>
          <w:lang w:val="en-AU"/>
        </w:rPr>
        <w:t xml:space="preserve"> or the making of a will</w:t>
      </w:r>
      <w:r w:rsidR="00DA2910" w:rsidRPr="004C5271">
        <w:rPr>
          <w:rFonts w:asciiTheme="majorBidi" w:hAnsiTheme="majorBidi" w:cstheme="majorBidi"/>
          <w:lang w:val="en-AU"/>
        </w:rPr>
        <w:t xml:space="preserve"> </w:t>
      </w:r>
      <w:r w:rsidR="00B97880" w:rsidRPr="004C5271">
        <w:rPr>
          <w:rFonts w:asciiTheme="majorBidi" w:hAnsiTheme="majorBidi" w:cstheme="majorBidi"/>
          <w:lang w:val="en-AU"/>
        </w:rPr>
        <w:t xml:space="preserve">had </w:t>
      </w:r>
      <w:r w:rsidR="00DA2910" w:rsidRPr="004C5271">
        <w:rPr>
          <w:rFonts w:asciiTheme="majorBidi" w:hAnsiTheme="majorBidi" w:cstheme="majorBidi"/>
          <w:lang w:val="en-AU"/>
        </w:rPr>
        <w:t>occurred.</w:t>
      </w:r>
      <w:r w:rsidR="0068653C" w:rsidRPr="004C5271">
        <w:rPr>
          <w:rStyle w:val="FootnoteReference"/>
          <w:rFonts w:asciiTheme="majorBidi" w:hAnsiTheme="majorBidi" w:cstheme="majorBidi"/>
          <w:lang w:val="en-AU"/>
        </w:rPr>
        <w:footnoteReference w:id="270"/>
      </w:r>
      <w:r w:rsidR="00DA2910" w:rsidRPr="004C5271">
        <w:rPr>
          <w:rFonts w:asciiTheme="majorBidi" w:hAnsiTheme="majorBidi" w:cstheme="majorBidi"/>
          <w:lang w:val="en-AU"/>
        </w:rPr>
        <w:t xml:space="preserve"> Issues about </w:t>
      </w:r>
      <w:r w:rsidR="00B97880" w:rsidRPr="004C5271">
        <w:rPr>
          <w:rFonts w:asciiTheme="majorBidi" w:hAnsiTheme="majorBidi" w:cstheme="majorBidi"/>
          <w:lang w:val="en-AU"/>
        </w:rPr>
        <w:t xml:space="preserve">a </w:t>
      </w:r>
      <w:r w:rsidR="007E414A" w:rsidRPr="004C5271">
        <w:rPr>
          <w:rFonts w:asciiTheme="majorBidi" w:hAnsiTheme="majorBidi" w:cstheme="majorBidi"/>
          <w:lang w:val="en-AU"/>
        </w:rPr>
        <w:t>parent</w:t>
      </w:r>
      <w:r w:rsidR="00B97880" w:rsidRPr="004C5271">
        <w:rPr>
          <w:rFonts w:asciiTheme="majorBidi" w:hAnsiTheme="majorBidi" w:cstheme="majorBidi"/>
          <w:lang w:val="en-AU"/>
        </w:rPr>
        <w:t>’</w:t>
      </w:r>
      <w:r w:rsidR="007E414A" w:rsidRPr="004C5271">
        <w:rPr>
          <w:rFonts w:asciiTheme="majorBidi" w:hAnsiTheme="majorBidi" w:cstheme="majorBidi"/>
          <w:lang w:val="en-AU"/>
        </w:rPr>
        <w:t xml:space="preserve">s capacity at the time </w:t>
      </w:r>
      <w:r w:rsidR="00DA2910" w:rsidRPr="004C5271">
        <w:rPr>
          <w:rFonts w:asciiTheme="majorBidi" w:hAnsiTheme="majorBidi" w:cstheme="majorBidi"/>
          <w:lang w:val="en-AU"/>
        </w:rPr>
        <w:t xml:space="preserve">of </w:t>
      </w:r>
      <w:r w:rsidR="00B97880" w:rsidRPr="004C5271">
        <w:rPr>
          <w:rFonts w:asciiTheme="majorBidi" w:hAnsiTheme="majorBidi" w:cstheme="majorBidi"/>
          <w:lang w:val="en-AU"/>
        </w:rPr>
        <w:t>a</w:t>
      </w:r>
      <w:r w:rsidR="00DA2910" w:rsidRPr="004C5271">
        <w:rPr>
          <w:rFonts w:asciiTheme="majorBidi" w:hAnsiTheme="majorBidi" w:cstheme="majorBidi"/>
          <w:lang w:val="en-AU"/>
        </w:rPr>
        <w:t xml:space="preserve"> transfer(s)</w:t>
      </w:r>
      <w:r w:rsidR="004F24D3" w:rsidRPr="004C5271">
        <w:rPr>
          <w:rFonts w:asciiTheme="majorBidi" w:hAnsiTheme="majorBidi" w:cstheme="majorBidi"/>
          <w:lang w:val="en-AU"/>
        </w:rPr>
        <w:t xml:space="preserve"> and </w:t>
      </w:r>
      <w:r w:rsidR="00B97880" w:rsidRPr="004C5271">
        <w:rPr>
          <w:rFonts w:asciiTheme="majorBidi" w:hAnsiTheme="majorBidi" w:cstheme="majorBidi"/>
          <w:lang w:val="en-AU"/>
        </w:rPr>
        <w:t>allegations of</w:t>
      </w:r>
      <w:r w:rsidR="004F24D3" w:rsidRPr="004C5271">
        <w:rPr>
          <w:rFonts w:asciiTheme="majorBidi" w:hAnsiTheme="majorBidi" w:cstheme="majorBidi"/>
          <w:lang w:val="en-AU"/>
        </w:rPr>
        <w:t xml:space="preserve"> undue</w:t>
      </w:r>
      <w:r w:rsidR="00DA2910" w:rsidRPr="004C5271">
        <w:rPr>
          <w:rFonts w:asciiTheme="majorBidi" w:hAnsiTheme="majorBidi" w:cstheme="majorBidi"/>
          <w:lang w:val="en-AU"/>
        </w:rPr>
        <w:t xml:space="preserve"> influence</w:t>
      </w:r>
      <w:r w:rsidRPr="004C5271">
        <w:rPr>
          <w:rFonts w:asciiTheme="majorBidi" w:hAnsiTheme="majorBidi" w:cstheme="majorBidi"/>
          <w:lang w:val="en-AU"/>
        </w:rPr>
        <w:t>, deception,</w:t>
      </w:r>
      <w:r w:rsidR="00DA2910" w:rsidRPr="004C5271">
        <w:rPr>
          <w:rFonts w:asciiTheme="majorBidi" w:hAnsiTheme="majorBidi" w:cstheme="majorBidi"/>
          <w:lang w:val="en-AU"/>
        </w:rPr>
        <w:t xml:space="preserve"> coercion</w:t>
      </w:r>
      <w:r w:rsidRPr="004C5271">
        <w:rPr>
          <w:rFonts w:asciiTheme="majorBidi" w:hAnsiTheme="majorBidi" w:cstheme="majorBidi"/>
          <w:lang w:val="en-AU"/>
        </w:rPr>
        <w:t xml:space="preserve"> and fraud</w:t>
      </w:r>
      <w:r w:rsidR="00DA2910" w:rsidRPr="004C5271">
        <w:rPr>
          <w:rFonts w:asciiTheme="majorBidi" w:hAnsiTheme="majorBidi" w:cstheme="majorBidi"/>
          <w:lang w:val="en-AU"/>
        </w:rPr>
        <w:t xml:space="preserve"> were mentioned</w:t>
      </w:r>
      <w:r w:rsidR="00EC23FA" w:rsidRPr="004C5271">
        <w:rPr>
          <w:rFonts w:asciiTheme="majorBidi" w:hAnsiTheme="majorBidi" w:cstheme="majorBidi"/>
          <w:lang w:val="en-AU"/>
        </w:rPr>
        <w:t xml:space="preserve"> with it </w:t>
      </w:r>
      <w:r w:rsidR="005B26A4" w:rsidRPr="004C5271">
        <w:rPr>
          <w:rFonts w:asciiTheme="majorBidi" w:hAnsiTheme="majorBidi" w:cstheme="majorBidi"/>
          <w:lang w:val="en-AU"/>
        </w:rPr>
        <w:t xml:space="preserve">being </w:t>
      </w:r>
      <w:r w:rsidR="00EC23FA" w:rsidRPr="004C5271">
        <w:rPr>
          <w:rFonts w:asciiTheme="majorBidi" w:hAnsiTheme="majorBidi" w:cstheme="majorBidi"/>
          <w:lang w:val="en-AU"/>
        </w:rPr>
        <w:t>apparent that these concerns contributed to respondents’</w:t>
      </w:r>
      <w:r w:rsidR="00421340" w:rsidRPr="004C5271">
        <w:rPr>
          <w:rFonts w:asciiTheme="majorBidi" w:hAnsiTheme="majorBidi" w:cstheme="majorBidi"/>
          <w:lang w:val="en-AU"/>
        </w:rPr>
        <w:t xml:space="preserve"> sense of</w:t>
      </w:r>
      <w:r w:rsidR="00EC23FA" w:rsidRPr="004C5271">
        <w:rPr>
          <w:rFonts w:asciiTheme="majorBidi" w:hAnsiTheme="majorBidi" w:cstheme="majorBidi"/>
          <w:lang w:val="en-AU"/>
        </w:rPr>
        <w:t xml:space="preserve"> anger and frustration that </w:t>
      </w:r>
      <w:r w:rsidR="00421340" w:rsidRPr="004C5271">
        <w:rPr>
          <w:rFonts w:asciiTheme="majorBidi" w:hAnsiTheme="majorBidi" w:cstheme="majorBidi"/>
          <w:lang w:val="en-AU"/>
        </w:rPr>
        <w:t xml:space="preserve">they felt </w:t>
      </w:r>
      <w:r w:rsidR="00EC23FA" w:rsidRPr="004C5271">
        <w:rPr>
          <w:rFonts w:asciiTheme="majorBidi" w:hAnsiTheme="majorBidi" w:cstheme="majorBidi"/>
          <w:lang w:val="en-AU"/>
        </w:rPr>
        <w:t xml:space="preserve">their claims </w:t>
      </w:r>
      <w:r w:rsidR="003E1F3C" w:rsidRPr="004C5271">
        <w:rPr>
          <w:rFonts w:asciiTheme="majorBidi" w:hAnsiTheme="majorBidi" w:cstheme="majorBidi"/>
          <w:lang w:val="en-AU"/>
        </w:rPr>
        <w:t>had been effectively</w:t>
      </w:r>
      <w:r w:rsidR="00EC23FA" w:rsidRPr="004C5271">
        <w:rPr>
          <w:rFonts w:asciiTheme="majorBidi" w:hAnsiTheme="majorBidi" w:cstheme="majorBidi"/>
          <w:lang w:val="en-AU"/>
        </w:rPr>
        <w:t xml:space="preserve"> defeated</w:t>
      </w:r>
      <w:r w:rsidR="002444FB" w:rsidRPr="004C5271">
        <w:rPr>
          <w:rFonts w:asciiTheme="majorBidi" w:hAnsiTheme="majorBidi" w:cstheme="majorBidi"/>
          <w:lang w:val="en-AU"/>
        </w:rPr>
        <w:t xml:space="preserve"> in these circumstances</w:t>
      </w:r>
      <w:r w:rsidR="00DA2910" w:rsidRPr="004C5271">
        <w:rPr>
          <w:rFonts w:asciiTheme="majorBidi" w:hAnsiTheme="majorBidi" w:cstheme="majorBidi"/>
          <w:lang w:val="en-AU"/>
        </w:rPr>
        <w:t xml:space="preserve">. </w:t>
      </w:r>
      <w:r w:rsidR="00421340" w:rsidRPr="004C5271">
        <w:rPr>
          <w:rFonts w:asciiTheme="majorBidi" w:hAnsiTheme="majorBidi" w:cstheme="majorBidi"/>
          <w:lang w:val="en-AU"/>
        </w:rPr>
        <w:t xml:space="preserve">There was a sense that </w:t>
      </w:r>
      <w:r w:rsidR="001A7D30" w:rsidRPr="004C5271">
        <w:rPr>
          <w:rFonts w:asciiTheme="majorBidi" w:hAnsiTheme="majorBidi" w:cstheme="majorBidi"/>
          <w:lang w:val="en-AU"/>
        </w:rPr>
        <w:t xml:space="preserve">respondents considered that choices about the transfer of assets </w:t>
      </w:r>
      <w:r w:rsidR="00421340" w:rsidRPr="004C5271">
        <w:rPr>
          <w:rFonts w:asciiTheme="majorBidi" w:hAnsiTheme="majorBidi" w:cstheme="majorBidi"/>
          <w:lang w:val="en-AU"/>
        </w:rPr>
        <w:t xml:space="preserve">were not a true reflection of their </w:t>
      </w:r>
      <w:r w:rsidRPr="004C5271">
        <w:rPr>
          <w:rFonts w:asciiTheme="majorBidi" w:hAnsiTheme="majorBidi" w:cstheme="majorBidi"/>
          <w:lang w:val="en-AU"/>
        </w:rPr>
        <w:t>parents</w:t>
      </w:r>
      <w:r w:rsidR="005B26A4" w:rsidRPr="004C5271">
        <w:rPr>
          <w:rFonts w:asciiTheme="majorBidi" w:hAnsiTheme="majorBidi" w:cstheme="majorBidi"/>
          <w:lang w:val="en-AU"/>
        </w:rPr>
        <w:t>’</w:t>
      </w:r>
      <w:r w:rsidR="00421340" w:rsidRPr="004C5271">
        <w:rPr>
          <w:rFonts w:asciiTheme="majorBidi" w:hAnsiTheme="majorBidi" w:cstheme="majorBidi"/>
          <w:lang w:val="en-AU"/>
        </w:rPr>
        <w:t xml:space="preserve"> wishes and intentions</w:t>
      </w:r>
      <w:r w:rsidR="00310EAD" w:rsidRPr="004C5271">
        <w:rPr>
          <w:rFonts w:asciiTheme="majorBidi" w:hAnsiTheme="majorBidi" w:cstheme="majorBidi"/>
          <w:lang w:val="en-AU"/>
        </w:rPr>
        <w:t xml:space="preserve"> </w:t>
      </w:r>
      <w:r w:rsidR="002444FB" w:rsidRPr="004C5271">
        <w:rPr>
          <w:rFonts w:asciiTheme="majorBidi" w:hAnsiTheme="majorBidi" w:cstheme="majorBidi"/>
          <w:lang w:val="en-AU"/>
        </w:rPr>
        <w:t>and were instigated by third parties (step-parents or siblings) with ill-motives. I</w:t>
      </w:r>
      <w:r w:rsidR="001A7D30" w:rsidRPr="004C5271">
        <w:rPr>
          <w:rFonts w:asciiTheme="majorBidi" w:hAnsiTheme="majorBidi" w:cstheme="majorBidi"/>
          <w:lang w:val="en-AU"/>
        </w:rPr>
        <w:t>n other words,</w:t>
      </w:r>
      <w:r w:rsidR="00C60A44" w:rsidRPr="004C5271">
        <w:rPr>
          <w:rFonts w:asciiTheme="majorBidi" w:hAnsiTheme="majorBidi" w:cstheme="majorBidi"/>
          <w:lang w:val="en-AU"/>
        </w:rPr>
        <w:t xml:space="preserve"> it appeared</w:t>
      </w:r>
      <w:r w:rsidR="001A7D30" w:rsidRPr="004C5271">
        <w:rPr>
          <w:rFonts w:asciiTheme="majorBidi" w:hAnsiTheme="majorBidi" w:cstheme="majorBidi"/>
          <w:lang w:val="en-AU"/>
        </w:rPr>
        <w:t xml:space="preserve"> </w:t>
      </w:r>
      <w:r w:rsidR="002444FB" w:rsidRPr="004C5271">
        <w:rPr>
          <w:rFonts w:asciiTheme="majorBidi" w:hAnsiTheme="majorBidi" w:cstheme="majorBidi"/>
          <w:lang w:val="en-AU"/>
        </w:rPr>
        <w:t xml:space="preserve">these respondents were of the view </w:t>
      </w:r>
      <w:r w:rsidR="001A7D30" w:rsidRPr="004C5271">
        <w:rPr>
          <w:rFonts w:asciiTheme="majorBidi" w:hAnsiTheme="majorBidi" w:cstheme="majorBidi"/>
          <w:lang w:val="en-AU"/>
        </w:rPr>
        <w:t>that the</w:t>
      </w:r>
      <w:r w:rsidR="002444FB" w:rsidRPr="004C5271">
        <w:rPr>
          <w:rFonts w:asciiTheme="majorBidi" w:hAnsiTheme="majorBidi" w:cstheme="majorBidi"/>
          <w:lang w:val="en-AU"/>
        </w:rPr>
        <w:t xml:space="preserve">ir </w:t>
      </w:r>
      <w:r w:rsidRPr="004C5271">
        <w:rPr>
          <w:rFonts w:asciiTheme="majorBidi" w:hAnsiTheme="majorBidi" w:cstheme="majorBidi"/>
          <w:lang w:val="en-AU"/>
        </w:rPr>
        <w:t>parents</w:t>
      </w:r>
      <w:r w:rsidR="005B26A4" w:rsidRPr="004C5271">
        <w:rPr>
          <w:rFonts w:asciiTheme="majorBidi" w:hAnsiTheme="majorBidi" w:cstheme="majorBidi"/>
          <w:lang w:val="en-AU"/>
        </w:rPr>
        <w:t>’</w:t>
      </w:r>
      <w:r w:rsidRPr="004C5271">
        <w:rPr>
          <w:rFonts w:asciiTheme="majorBidi" w:hAnsiTheme="majorBidi" w:cstheme="majorBidi"/>
          <w:lang w:val="en-AU"/>
        </w:rPr>
        <w:t xml:space="preserve"> </w:t>
      </w:r>
      <w:r w:rsidR="001A7D30" w:rsidRPr="004C5271">
        <w:rPr>
          <w:rFonts w:asciiTheme="majorBidi" w:hAnsiTheme="majorBidi" w:cstheme="majorBidi"/>
          <w:lang w:val="en-AU"/>
        </w:rPr>
        <w:t>ability to act as ‘wise and just testator</w:t>
      </w:r>
      <w:r w:rsidR="005B26A4" w:rsidRPr="004C5271">
        <w:rPr>
          <w:rFonts w:asciiTheme="majorBidi" w:hAnsiTheme="majorBidi" w:cstheme="majorBidi"/>
          <w:lang w:val="en-AU"/>
        </w:rPr>
        <w:t>s</w:t>
      </w:r>
      <w:r w:rsidR="001A7D30" w:rsidRPr="004C5271">
        <w:rPr>
          <w:rFonts w:asciiTheme="majorBidi" w:hAnsiTheme="majorBidi" w:cstheme="majorBidi"/>
          <w:lang w:val="en-AU"/>
        </w:rPr>
        <w:t xml:space="preserve">’ was overborne </w:t>
      </w:r>
      <w:r w:rsidR="001A7D30" w:rsidRPr="004C5271">
        <w:rPr>
          <w:rFonts w:asciiTheme="majorBidi" w:hAnsiTheme="majorBidi" w:cstheme="majorBidi"/>
          <w:lang w:val="en-AU"/>
        </w:rPr>
        <w:lastRenderedPageBreak/>
        <w:t xml:space="preserve">by external factors </w:t>
      </w:r>
      <w:r w:rsidR="00421340" w:rsidRPr="004C5271">
        <w:rPr>
          <w:rFonts w:asciiTheme="majorBidi" w:hAnsiTheme="majorBidi" w:cstheme="majorBidi"/>
          <w:lang w:val="en-AU"/>
        </w:rPr>
        <w:t xml:space="preserve">and </w:t>
      </w:r>
      <w:r w:rsidR="001A7D30" w:rsidRPr="004C5271">
        <w:rPr>
          <w:rFonts w:asciiTheme="majorBidi" w:hAnsiTheme="majorBidi" w:cstheme="majorBidi"/>
          <w:lang w:val="en-AU"/>
        </w:rPr>
        <w:t xml:space="preserve">that this was one reason justifying </w:t>
      </w:r>
      <w:r w:rsidRPr="004C5271">
        <w:rPr>
          <w:rFonts w:asciiTheme="majorBidi" w:hAnsiTheme="majorBidi" w:cstheme="majorBidi"/>
          <w:lang w:val="en-AU"/>
        </w:rPr>
        <w:t>a</w:t>
      </w:r>
      <w:r w:rsidR="001A7D30" w:rsidRPr="004C5271">
        <w:rPr>
          <w:rFonts w:asciiTheme="majorBidi" w:hAnsiTheme="majorBidi" w:cstheme="majorBidi"/>
          <w:lang w:val="en-AU"/>
        </w:rPr>
        <w:t xml:space="preserve"> need for judicial intervention. </w:t>
      </w:r>
    </w:p>
    <w:p w14:paraId="1F588CA8" w14:textId="6FA38902" w:rsidR="005351CC" w:rsidRPr="004C5271" w:rsidRDefault="002444FB" w:rsidP="00624C50">
      <w:pPr>
        <w:pStyle w:val="NormalNumberedTextTLRI"/>
        <w:rPr>
          <w:rFonts w:asciiTheme="majorBidi" w:hAnsiTheme="majorBidi" w:cstheme="majorBidi"/>
          <w:lang w:val="en-AU"/>
        </w:rPr>
      </w:pPr>
      <w:r w:rsidRPr="004C5271">
        <w:rPr>
          <w:rFonts w:asciiTheme="majorBidi" w:hAnsiTheme="majorBidi" w:cstheme="majorBidi"/>
          <w:lang w:val="en-AU"/>
        </w:rPr>
        <w:t xml:space="preserve">These submissions demonstrate the complexities and range of issues that can arise in estate disputes with sometimes interweaving or compounding issues exacerbating frustration and dissatisfaction with existing laws. </w:t>
      </w:r>
      <w:r w:rsidR="00DD6BE4" w:rsidRPr="004C5271">
        <w:rPr>
          <w:rFonts w:asciiTheme="majorBidi" w:hAnsiTheme="majorBidi" w:cstheme="majorBidi"/>
          <w:lang w:val="en-AU"/>
        </w:rPr>
        <w:t>However</w:t>
      </w:r>
      <w:r w:rsidR="00640F99" w:rsidRPr="004C5271">
        <w:rPr>
          <w:rFonts w:asciiTheme="majorBidi" w:hAnsiTheme="majorBidi" w:cstheme="majorBidi"/>
          <w:lang w:val="en-AU"/>
        </w:rPr>
        <w:t>,</w:t>
      </w:r>
      <w:r w:rsidR="00DD6BE4" w:rsidRPr="004C5271">
        <w:rPr>
          <w:rFonts w:asciiTheme="majorBidi" w:hAnsiTheme="majorBidi" w:cstheme="majorBidi"/>
          <w:lang w:val="en-AU"/>
        </w:rPr>
        <w:t xml:space="preserve"> a</w:t>
      </w:r>
      <w:r w:rsidR="00DA2910" w:rsidRPr="004C5271">
        <w:rPr>
          <w:rFonts w:asciiTheme="majorBidi" w:hAnsiTheme="majorBidi" w:cstheme="majorBidi"/>
          <w:lang w:val="en-AU"/>
        </w:rPr>
        <w:t>s explained elsewhere in this report,</w:t>
      </w:r>
      <w:r w:rsidR="00DA2910" w:rsidRPr="004C5271">
        <w:rPr>
          <w:rStyle w:val="FootnoteReference"/>
          <w:rFonts w:asciiTheme="majorBidi" w:hAnsiTheme="majorBidi" w:cstheme="majorBidi"/>
          <w:lang w:val="en-AU"/>
        </w:rPr>
        <w:footnoteReference w:id="271"/>
      </w:r>
      <w:r w:rsidR="00DA2910" w:rsidRPr="004C5271">
        <w:rPr>
          <w:rFonts w:asciiTheme="majorBidi" w:hAnsiTheme="majorBidi" w:cstheme="majorBidi"/>
          <w:lang w:val="en-AU"/>
        </w:rPr>
        <w:t xml:space="preserve"> </w:t>
      </w:r>
      <w:r w:rsidR="00B97880" w:rsidRPr="004C5271">
        <w:rPr>
          <w:rFonts w:asciiTheme="majorBidi" w:hAnsiTheme="majorBidi" w:cstheme="majorBidi"/>
          <w:lang w:val="en-AU"/>
        </w:rPr>
        <w:t>concerns</w:t>
      </w:r>
      <w:r w:rsidR="00DA2910" w:rsidRPr="004C5271">
        <w:rPr>
          <w:rFonts w:asciiTheme="majorBidi" w:hAnsiTheme="majorBidi" w:cstheme="majorBidi"/>
          <w:lang w:val="en-AU"/>
        </w:rPr>
        <w:t xml:space="preserve"> </w:t>
      </w:r>
      <w:r w:rsidR="004F24D3" w:rsidRPr="004C5271">
        <w:rPr>
          <w:rFonts w:asciiTheme="majorBidi" w:hAnsiTheme="majorBidi" w:cstheme="majorBidi"/>
          <w:lang w:val="en-AU"/>
        </w:rPr>
        <w:t xml:space="preserve">about </w:t>
      </w:r>
      <w:r w:rsidR="00DA2910" w:rsidRPr="004C5271">
        <w:rPr>
          <w:rFonts w:asciiTheme="majorBidi" w:hAnsiTheme="majorBidi" w:cstheme="majorBidi"/>
          <w:lang w:val="en-AU"/>
        </w:rPr>
        <w:t xml:space="preserve">the validity of </w:t>
      </w:r>
      <w:r w:rsidR="00B97880" w:rsidRPr="004C5271">
        <w:rPr>
          <w:rFonts w:asciiTheme="majorBidi" w:hAnsiTheme="majorBidi" w:cstheme="majorBidi"/>
          <w:lang w:val="en-AU"/>
        </w:rPr>
        <w:t>a</w:t>
      </w:r>
      <w:r w:rsidR="00FB7660" w:rsidRPr="004C5271">
        <w:rPr>
          <w:rFonts w:asciiTheme="majorBidi" w:hAnsiTheme="majorBidi" w:cstheme="majorBidi"/>
          <w:lang w:val="en-AU"/>
        </w:rPr>
        <w:t xml:space="preserve"> </w:t>
      </w:r>
      <w:r w:rsidRPr="004C5271">
        <w:rPr>
          <w:rFonts w:asciiTheme="majorBidi" w:hAnsiTheme="majorBidi" w:cstheme="majorBidi"/>
          <w:lang w:val="en-AU"/>
        </w:rPr>
        <w:t xml:space="preserve">gift or </w:t>
      </w:r>
      <w:r w:rsidR="00DA2910" w:rsidRPr="004C5271">
        <w:rPr>
          <w:rFonts w:asciiTheme="majorBidi" w:hAnsiTheme="majorBidi" w:cstheme="majorBidi"/>
          <w:lang w:val="en-AU"/>
        </w:rPr>
        <w:t xml:space="preserve">transfer due to </w:t>
      </w:r>
      <w:r w:rsidR="00B97880" w:rsidRPr="004C5271">
        <w:rPr>
          <w:rFonts w:asciiTheme="majorBidi" w:hAnsiTheme="majorBidi" w:cstheme="majorBidi"/>
          <w:lang w:val="en-AU"/>
        </w:rPr>
        <w:t>in</w:t>
      </w:r>
      <w:r w:rsidR="00DA2910" w:rsidRPr="004C5271">
        <w:rPr>
          <w:rFonts w:asciiTheme="majorBidi" w:hAnsiTheme="majorBidi" w:cstheme="majorBidi"/>
          <w:lang w:val="en-AU"/>
        </w:rPr>
        <w:t>capacity, undue influence or fraud</w:t>
      </w:r>
      <w:r w:rsidR="00B97880" w:rsidRPr="004C5271">
        <w:rPr>
          <w:rFonts w:asciiTheme="majorBidi" w:hAnsiTheme="majorBidi" w:cstheme="majorBidi"/>
          <w:lang w:val="en-AU"/>
        </w:rPr>
        <w:t xml:space="preserve"> and questions about the validity of a person’s will</w:t>
      </w:r>
      <w:r w:rsidR="00DA2910" w:rsidRPr="004C5271">
        <w:rPr>
          <w:rFonts w:asciiTheme="majorBidi" w:hAnsiTheme="majorBidi" w:cstheme="majorBidi"/>
          <w:lang w:val="en-AU"/>
        </w:rPr>
        <w:t xml:space="preserve"> </w:t>
      </w:r>
      <w:r w:rsidR="004F24D3" w:rsidRPr="004C5271">
        <w:rPr>
          <w:rFonts w:asciiTheme="majorBidi" w:hAnsiTheme="majorBidi" w:cstheme="majorBidi"/>
          <w:lang w:val="en-AU"/>
        </w:rPr>
        <w:t>are not necessary components for the making of a notional estate order</w:t>
      </w:r>
      <w:r w:rsidR="003E1F3C" w:rsidRPr="004C5271">
        <w:rPr>
          <w:rFonts w:asciiTheme="majorBidi" w:hAnsiTheme="majorBidi" w:cstheme="majorBidi"/>
          <w:lang w:val="en-AU"/>
        </w:rPr>
        <w:t xml:space="preserve"> and t</w:t>
      </w:r>
      <w:r w:rsidR="004F24D3" w:rsidRPr="004C5271">
        <w:rPr>
          <w:rFonts w:asciiTheme="majorBidi" w:hAnsiTheme="majorBidi" w:cstheme="majorBidi"/>
          <w:lang w:val="en-AU"/>
        </w:rPr>
        <w:t>hose matters can be addressed through existing causes of action.</w:t>
      </w:r>
      <w:r w:rsidR="0053108F" w:rsidRPr="004C5271">
        <w:rPr>
          <w:rStyle w:val="FootnoteReference"/>
          <w:rFonts w:asciiTheme="majorBidi" w:hAnsiTheme="majorBidi" w:cstheme="majorBidi"/>
          <w:lang w:val="en-AU"/>
        </w:rPr>
        <w:footnoteReference w:id="272"/>
      </w:r>
      <w:r w:rsidR="00421340" w:rsidRPr="004C5271">
        <w:rPr>
          <w:rFonts w:asciiTheme="majorBidi" w:hAnsiTheme="majorBidi" w:cstheme="majorBidi"/>
          <w:lang w:val="en-AU"/>
        </w:rPr>
        <w:t xml:space="preserve"> </w:t>
      </w:r>
      <w:r w:rsidRPr="004C5271">
        <w:rPr>
          <w:rFonts w:asciiTheme="majorBidi" w:hAnsiTheme="majorBidi" w:cstheme="majorBidi"/>
          <w:lang w:val="en-AU"/>
        </w:rPr>
        <w:t xml:space="preserve">In other words, enactment of notional estate legislation would not alter a person’s </w:t>
      </w:r>
      <w:r w:rsidR="00DD6BE4" w:rsidRPr="004C5271">
        <w:rPr>
          <w:rFonts w:asciiTheme="majorBidi" w:hAnsiTheme="majorBidi" w:cstheme="majorBidi"/>
          <w:lang w:val="en-AU"/>
        </w:rPr>
        <w:t>existing right</w:t>
      </w:r>
      <w:r w:rsidRPr="004C5271">
        <w:rPr>
          <w:rFonts w:asciiTheme="majorBidi" w:hAnsiTheme="majorBidi" w:cstheme="majorBidi"/>
          <w:lang w:val="en-AU"/>
        </w:rPr>
        <w:t xml:space="preserve"> to seek redress where </w:t>
      </w:r>
      <w:r w:rsidR="00DD6BE4" w:rsidRPr="004C5271">
        <w:rPr>
          <w:rFonts w:asciiTheme="majorBidi" w:hAnsiTheme="majorBidi" w:cstheme="majorBidi"/>
          <w:lang w:val="en-AU"/>
        </w:rPr>
        <w:t xml:space="preserve">they assert that </w:t>
      </w:r>
      <w:r w:rsidRPr="004C5271">
        <w:rPr>
          <w:rFonts w:asciiTheme="majorBidi" w:hAnsiTheme="majorBidi" w:cstheme="majorBidi"/>
          <w:lang w:val="en-AU"/>
        </w:rPr>
        <w:t xml:space="preserve">gifts and transfers </w:t>
      </w:r>
      <w:r w:rsidR="00DD6BE4" w:rsidRPr="004C5271">
        <w:rPr>
          <w:rFonts w:asciiTheme="majorBidi" w:hAnsiTheme="majorBidi" w:cstheme="majorBidi"/>
          <w:lang w:val="en-AU"/>
        </w:rPr>
        <w:t>have been</w:t>
      </w:r>
      <w:r w:rsidRPr="004C5271">
        <w:rPr>
          <w:rFonts w:asciiTheme="majorBidi" w:hAnsiTheme="majorBidi" w:cstheme="majorBidi"/>
          <w:lang w:val="en-AU"/>
        </w:rPr>
        <w:t xml:space="preserve"> completed without </w:t>
      </w:r>
      <w:r w:rsidR="00DD6BE4" w:rsidRPr="004C5271">
        <w:rPr>
          <w:rFonts w:asciiTheme="majorBidi" w:hAnsiTheme="majorBidi" w:cstheme="majorBidi"/>
          <w:lang w:val="en-AU"/>
        </w:rPr>
        <w:t xml:space="preserve">the transferor having </w:t>
      </w:r>
      <w:r w:rsidRPr="004C5271">
        <w:rPr>
          <w:rFonts w:asciiTheme="majorBidi" w:hAnsiTheme="majorBidi" w:cstheme="majorBidi"/>
          <w:lang w:val="en-AU"/>
        </w:rPr>
        <w:t>capacity or whilst subject to undue influence or fraud. Further,</w:t>
      </w:r>
      <w:r w:rsidR="00DD6BE4" w:rsidRPr="004C5271">
        <w:rPr>
          <w:rFonts w:asciiTheme="majorBidi" w:hAnsiTheme="majorBidi" w:cstheme="majorBidi"/>
          <w:lang w:val="en-AU"/>
        </w:rPr>
        <w:t xml:space="preserve"> in circumstances</w:t>
      </w:r>
      <w:r w:rsidRPr="004C5271">
        <w:rPr>
          <w:rFonts w:asciiTheme="majorBidi" w:hAnsiTheme="majorBidi" w:cstheme="majorBidi"/>
          <w:lang w:val="en-AU"/>
        </w:rPr>
        <w:t xml:space="preserve"> wh</w:t>
      </w:r>
      <w:r w:rsidR="005351CC" w:rsidRPr="004C5271">
        <w:rPr>
          <w:rFonts w:asciiTheme="majorBidi" w:hAnsiTheme="majorBidi" w:cstheme="majorBidi"/>
          <w:lang w:val="en-AU"/>
        </w:rPr>
        <w:t>ere</w:t>
      </w:r>
      <w:r w:rsidR="00B97880" w:rsidRPr="004C5271">
        <w:rPr>
          <w:rFonts w:asciiTheme="majorBidi" w:hAnsiTheme="majorBidi" w:cstheme="majorBidi"/>
          <w:lang w:val="en-AU"/>
        </w:rPr>
        <w:t xml:space="preserve"> a</w:t>
      </w:r>
      <w:r w:rsidR="005351CC" w:rsidRPr="004C5271">
        <w:rPr>
          <w:rFonts w:asciiTheme="majorBidi" w:hAnsiTheme="majorBidi" w:cstheme="majorBidi"/>
          <w:lang w:val="en-AU"/>
        </w:rPr>
        <w:t xml:space="preserve"> transaction </w:t>
      </w:r>
      <w:r w:rsidR="00B97880" w:rsidRPr="004C5271">
        <w:rPr>
          <w:rFonts w:asciiTheme="majorBidi" w:hAnsiTheme="majorBidi" w:cstheme="majorBidi"/>
          <w:lang w:val="en-AU"/>
        </w:rPr>
        <w:t>results in</w:t>
      </w:r>
      <w:r w:rsidR="005351CC" w:rsidRPr="004C5271">
        <w:rPr>
          <w:rFonts w:asciiTheme="majorBidi" w:hAnsiTheme="majorBidi" w:cstheme="majorBidi"/>
          <w:lang w:val="en-AU"/>
        </w:rPr>
        <w:t xml:space="preserve"> a step-parent </w:t>
      </w:r>
      <w:r w:rsidR="00B97880" w:rsidRPr="004C5271">
        <w:rPr>
          <w:rFonts w:asciiTheme="majorBidi" w:hAnsiTheme="majorBidi" w:cstheme="majorBidi"/>
          <w:lang w:val="en-AU"/>
        </w:rPr>
        <w:t xml:space="preserve">inheriting </w:t>
      </w:r>
      <w:r w:rsidR="005351CC" w:rsidRPr="004C5271">
        <w:rPr>
          <w:rFonts w:asciiTheme="majorBidi" w:hAnsiTheme="majorBidi" w:cstheme="majorBidi"/>
          <w:lang w:val="en-AU"/>
        </w:rPr>
        <w:t>a biological parent</w:t>
      </w:r>
      <w:r w:rsidR="00DD6BE4" w:rsidRPr="004C5271">
        <w:rPr>
          <w:rFonts w:asciiTheme="majorBidi" w:hAnsiTheme="majorBidi" w:cstheme="majorBidi"/>
          <w:lang w:val="en-AU"/>
        </w:rPr>
        <w:t>’s asset</w:t>
      </w:r>
      <w:r w:rsidR="005351CC" w:rsidRPr="004C5271">
        <w:rPr>
          <w:rFonts w:asciiTheme="majorBidi" w:hAnsiTheme="majorBidi" w:cstheme="majorBidi"/>
          <w:lang w:val="en-AU"/>
        </w:rPr>
        <w:t xml:space="preserve">, children </w:t>
      </w:r>
      <w:r w:rsidR="00B97880" w:rsidRPr="004C5271">
        <w:rPr>
          <w:rFonts w:asciiTheme="majorBidi" w:hAnsiTheme="majorBidi" w:cstheme="majorBidi"/>
          <w:lang w:val="en-AU"/>
        </w:rPr>
        <w:t xml:space="preserve">(the recipient’s step-children) </w:t>
      </w:r>
      <w:r w:rsidR="005351CC" w:rsidRPr="004C5271">
        <w:rPr>
          <w:rFonts w:asciiTheme="majorBidi" w:hAnsiTheme="majorBidi" w:cstheme="majorBidi"/>
          <w:lang w:val="en-AU"/>
        </w:rPr>
        <w:t xml:space="preserve">remain eligible to </w:t>
      </w:r>
      <w:r w:rsidR="00F77553" w:rsidRPr="004C5271">
        <w:rPr>
          <w:rFonts w:asciiTheme="majorBidi" w:hAnsiTheme="majorBidi" w:cstheme="majorBidi"/>
          <w:lang w:val="en-AU"/>
        </w:rPr>
        <w:t xml:space="preserve">pursue a </w:t>
      </w:r>
      <w:r w:rsidR="005351CC" w:rsidRPr="004C5271">
        <w:rPr>
          <w:rFonts w:asciiTheme="majorBidi" w:hAnsiTheme="majorBidi" w:cstheme="majorBidi"/>
          <w:lang w:val="en-AU"/>
        </w:rPr>
        <w:t>claim against that step-parent’s estate following their death.</w:t>
      </w:r>
      <w:r w:rsidR="005351CC" w:rsidRPr="004C5271">
        <w:rPr>
          <w:rStyle w:val="FootnoteReference"/>
          <w:rFonts w:asciiTheme="majorBidi" w:hAnsiTheme="majorBidi" w:cstheme="majorBidi"/>
          <w:lang w:val="en-AU"/>
        </w:rPr>
        <w:footnoteReference w:id="273"/>
      </w:r>
      <w:r w:rsidR="004B1A66" w:rsidRPr="004C5271">
        <w:rPr>
          <w:rFonts w:asciiTheme="majorBidi" w:hAnsiTheme="majorBidi" w:cstheme="majorBidi"/>
          <w:lang w:val="en-AU"/>
        </w:rPr>
        <w:t xml:space="preserve"> </w:t>
      </w:r>
    </w:p>
    <w:p w14:paraId="349A6FCF" w14:textId="338D064A" w:rsidR="004B1A66" w:rsidRPr="004C5271" w:rsidRDefault="00C768A8" w:rsidP="00624C50">
      <w:pPr>
        <w:pStyle w:val="NormalNumberedTextTLRI"/>
        <w:rPr>
          <w:rFonts w:asciiTheme="majorBidi" w:hAnsiTheme="majorBidi" w:cstheme="majorBidi"/>
          <w:lang w:val="en-AU"/>
        </w:rPr>
      </w:pPr>
      <w:bookmarkStart w:id="124" w:name="_Ref13504146"/>
      <w:r w:rsidRPr="004C5271">
        <w:rPr>
          <w:rFonts w:asciiTheme="majorBidi" w:hAnsiTheme="majorBidi" w:cstheme="majorBidi"/>
          <w:lang w:val="en-AU"/>
        </w:rPr>
        <w:t>Nevertheless</w:t>
      </w:r>
      <w:r w:rsidR="004B1A66" w:rsidRPr="004C5271">
        <w:rPr>
          <w:rFonts w:asciiTheme="majorBidi" w:hAnsiTheme="majorBidi" w:cstheme="majorBidi"/>
          <w:lang w:val="en-AU"/>
        </w:rPr>
        <w:t xml:space="preserve">, the examples </w:t>
      </w:r>
      <w:r w:rsidR="002C5408" w:rsidRPr="004C5271">
        <w:rPr>
          <w:rFonts w:asciiTheme="majorBidi" w:hAnsiTheme="majorBidi" w:cstheme="majorBidi"/>
          <w:lang w:val="en-AU"/>
        </w:rPr>
        <w:t>that lawyers</w:t>
      </w:r>
      <w:r w:rsidR="002C5408" w:rsidRPr="004C5271">
        <w:rPr>
          <w:rStyle w:val="FootnoteReference"/>
          <w:rFonts w:asciiTheme="majorBidi" w:hAnsiTheme="majorBidi" w:cstheme="majorBidi"/>
          <w:lang w:val="en-AU"/>
        </w:rPr>
        <w:footnoteReference w:id="274"/>
      </w:r>
      <w:r w:rsidR="002C5408" w:rsidRPr="004C5271">
        <w:rPr>
          <w:rFonts w:asciiTheme="majorBidi" w:hAnsiTheme="majorBidi" w:cstheme="majorBidi"/>
          <w:lang w:val="en-AU"/>
        </w:rPr>
        <w:t xml:space="preserve"> provided where </w:t>
      </w:r>
      <w:r w:rsidR="00F77553" w:rsidRPr="004C5271">
        <w:rPr>
          <w:rFonts w:asciiTheme="majorBidi" w:hAnsiTheme="majorBidi" w:cstheme="majorBidi"/>
          <w:lang w:val="en-AU"/>
        </w:rPr>
        <w:t xml:space="preserve">clients had been unable to pursue </w:t>
      </w:r>
      <w:r w:rsidR="002C5408" w:rsidRPr="004C5271">
        <w:rPr>
          <w:rFonts w:asciiTheme="majorBidi" w:hAnsiTheme="majorBidi" w:cstheme="majorBidi"/>
          <w:lang w:val="en-AU"/>
        </w:rPr>
        <w:t xml:space="preserve">family provision claims due to the lack of estate assets </w:t>
      </w:r>
      <w:r w:rsidR="004B1A66" w:rsidRPr="004C5271">
        <w:rPr>
          <w:rFonts w:asciiTheme="majorBidi" w:hAnsiTheme="majorBidi" w:cstheme="majorBidi"/>
          <w:lang w:val="en-AU"/>
        </w:rPr>
        <w:t xml:space="preserve">did not raise </w:t>
      </w:r>
      <w:r w:rsidR="00F77553" w:rsidRPr="004C5271">
        <w:rPr>
          <w:rFonts w:asciiTheme="majorBidi" w:hAnsiTheme="majorBidi" w:cstheme="majorBidi"/>
          <w:lang w:val="en-AU"/>
        </w:rPr>
        <w:t>questions</w:t>
      </w:r>
      <w:r w:rsidR="004B1A66" w:rsidRPr="004C5271">
        <w:rPr>
          <w:rFonts w:asciiTheme="majorBidi" w:hAnsiTheme="majorBidi" w:cstheme="majorBidi"/>
          <w:lang w:val="en-AU"/>
        </w:rPr>
        <w:t xml:space="preserve"> about the deceased’s capacity or that they were overborne by undue influence.</w:t>
      </w:r>
      <w:r w:rsidR="00176B63" w:rsidRPr="004C5271">
        <w:rPr>
          <w:rFonts w:asciiTheme="majorBidi" w:hAnsiTheme="majorBidi" w:cstheme="majorBidi"/>
          <w:lang w:val="en-AU"/>
        </w:rPr>
        <w:t xml:space="preserve"> </w:t>
      </w:r>
      <w:r w:rsidR="00F77553" w:rsidRPr="004C5271">
        <w:rPr>
          <w:rFonts w:asciiTheme="majorBidi" w:hAnsiTheme="majorBidi" w:cstheme="majorBidi"/>
          <w:lang w:val="en-AU"/>
        </w:rPr>
        <w:t xml:space="preserve">They indicated that, under existing laws, there were no </w:t>
      </w:r>
      <w:r w:rsidR="00176B63" w:rsidRPr="004C5271">
        <w:rPr>
          <w:rFonts w:asciiTheme="majorBidi" w:hAnsiTheme="majorBidi" w:cstheme="majorBidi"/>
          <w:lang w:val="en-AU"/>
        </w:rPr>
        <w:t>available remed</w:t>
      </w:r>
      <w:r w:rsidR="00F77553" w:rsidRPr="004C5271">
        <w:rPr>
          <w:rFonts w:asciiTheme="majorBidi" w:hAnsiTheme="majorBidi" w:cstheme="majorBidi"/>
          <w:lang w:val="en-AU"/>
        </w:rPr>
        <w:t>ies</w:t>
      </w:r>
      <w:r w:rsidR="00176B63" w:rsidRPr="004C5271">
        <w:rPr>
          <w:rFonts w:asciiTheme="majorBidi" w:hAnsiTheme="majorBidi" w:cstheme="majorBidi"/>
          <w:lang w:val="en-AU"/>
        </w:rPr>
        <w:t xml:space="preserve"> for those </w:t>
      </w:r>
      <w:r w:rsidR="00F77553" w:rsidRPr="004C5271">
        <w:rPr>
          <w:rFonts w:asciiTheme="majorBidi" w:hAnsiTheme="majorBidi" w:cstheme="majorBidi"/>
          <w:lang w:val="en-AU"/>
        </w:rPr>
        <w:t>clients</w:t>
      </w:r>
      <w:r w:rsidR="00176B63" w:rsidRPr="004C5271">
        <w:rPr>
          <w:rFonts w:asciiTheme="majorBidi" w:hAnsiTheme="majorBidi" w:cstheme="majorBidi"/>
          <w:lang w:val="en-AU"/>
        </w:rPr>
        <w:t xml:space="preserve"> without notional estate legislation.</w:t>
      </w:r>
      <w:bookmarkEnd w:id="124"/>
    </w:p>
    <w:p w14:paraId="29F94C2D" w14:textId="59D0D426" w:rsidR="00A61A27" w:rsidRPr="004C5271" w:rsidRDefault="00DC0881" w:rsidP="00A61A27">
      <w:pPr>
        <w:pStyle w:val="NormalNumberedTextTLRI"/>
        <w:rPr>
          <w:rFonts w:asciiTheme="majorBidi" w:hAnsiTheme="majorBidi" w:cstheme="majorBidi"/>
          <w:lang w:val="en-AU"/>
        </w:rPr>
      </w:pPr>
      <w:r w:rsidRPr="004C5271">
        <w:rPr>
          <w:rFonts w:asciiTheme="majorBidi" w:hAnsiTheme="majorBidi" w:cstheme="majorBidi"/>
          <w:lang w:val="en-AU"/>
        </w:rPr>
        <w:lastRenderedPageBreak/>
        <w:t>R</w:t>
      </w:r>
      <w:r w:rsidR="00A61A27" w:rsidRPr="004C5271">
        <w:rPr>
          <w:rFonts w:asciiTheme="majorBidi" w:hAnsiTheme="majorBidi" w:cstheme="majorBidi"/>
          <w:lang w:val="en-AU"/>
        </w:rPr>
        <w:t xml:space="preserve">easons given by those </w:t>
      </w:r>
      <w:r w:rsidR="00310363" w:rsidRPr="004C5271">
        <w:rPr>
          <w:rFonts w:asciiTheme="majorBidi" w:hAnsiTheme="majorBidi" w:cstheme="majorBidi"/>
          <w:lang w:val="en-AU"/>
        </w:rPr>
        <w:t>(n</w:t>
      </w:r>
      <w:r w:rsidR="00691251" w:rsidRPr="004C5271">
        <w:rPr>
          <w:rFonts w:asciiTheme="majorBidi" w:hAnsiTheme="majorBidi" w:cstheme="majorBidi"/>
          <w:lang w:val="en-AU"/>
        </w:rPr>
        <w:t xml:space="preserve"> = </w:t>
      </w:r>
      <w:r w:rsidR="00FF6EC2" w:rsidRPr="004C5271">
        <w:rPr>
          <w:rFonts w:asciiTheme="majorBidi" w:hAnsiTheme="majorBidi" w:cstheme="majorBidi"/>
          <w:lang w:val="en-AU"/>
        </w:rPr>
        <w:t>11</w:t>
      </w:r>
      <w:r w:rsidR="00722A2F" w:rsidRPr="004C5271">
        <w:rPr>
          <w:rStyle w:val="FootnoteReference"/>
          <w:rFonts w:asciiTheme="majorBidi" w:hAnsiTheme="majorBidi" w:cstheme="majorBidi"/>
          <w:lang w:val="en-AU"/>
        </w:rPr>
        <w:footnoteReference w:id="275"/>
      </w:r>
      <w:r w:rsidR="00310363" w:rsidRPr="004C5271">
        <w:rPr>
          <w:rFonts w:asciiTheme="majorBidi" w:hAnsiTheme="majorBidi" w:cstheme="majorBidi"/>
          <w:lang w:val="en-AU"/>
        </w:rPr>
        <w:t xml:space="preserve">) </w:t>
      </w:r>
      <w:r w:rsidR="00A61A27" w:rsidRPr="004C5271">
        <w:rPr>
          <w:rFonts w:asciiTheme="majorBidi" w:hAnsiTheme="majorBidi" w:cstheme="majorBidi"/>
          <w:lang w:val="en-AU"/>
        </w:rPr>
        <w:t xml:space="preserve">who considered it </w:t>
      </w:r>
      <w:r w:rsidR="009735A6" w:rsidRPr="004C5271">
        <w:rPr>
          <w:rFonts w:asciiTheme="majorBidi" w:hAnsiTheme="majorBidi" w:cstheme="majorBidi"/>
          <w:lang w:val="en-AU"/>
        </w:rPr>
        <w:t xml:space="preserve">valid or </w:t>
      </w:r>
      <w:r w:rsidR="00A61A27" w:rsidRPr="004C5271">
        <w:rPr>
          <w:rFonts w:asciiTheme="majorBidi" w:hAnsiTheme="majorBidi" w:cstheme="majorBidi"/>
          <w:lang w:val="en-AU"/>
        </w:rPr>
        <w:t xml:space="preserve">appropriate for individuals to </w:t>
      </w:r>
      <w:r w:rsidR="00F06C50" w:rsidRPr="004C5271">
        <w:rPr>
          <w:rFonts w:asciiTheme="majorBidi" w:hAnsiTheme="majorBidi" w:cstheme="majorBidi"/>
          <w:lang w:val="en-AU"/>
        </w:rPr>
        <w:t>be able</w:t>
      </w:r>
      <w:r w:rsidR="00A61A27" w:rsidRPr="004C5271">
        <w:rPr>
          <w:rFonts w:asciiTheme="majorBidi" w:hAnsiTheme="majorBidi" w:cstheme="majorBidi"/>
          <w:lang w:val="en-AU"/>
        </w:rPr>
        <w:t xml:space="preserve"> to structure their affairs to reduce the assets at risk included:</w:t>
      </w:r>
    </w:p>
    <w:p w14:paraId="4F15DECD" w14:textId="6599625A" w:rsidR="00A61A27" w:rsidRPr="004C5271" w:rsidRDefault="00A61A27"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the importance of freedom of testamentary disposition, or the ability for a person to decide who receives their assets after death;</w:t>
      </w:r>
      <w:r w:rsidR="00851CF0" w:rsidRPr="004C5271">
        <w:rPr>
          <w:rStyle w:val="FootnoteReference"/>
          <w:rFonts w:asciiTheme="majorBidi" w:hAnsiTheme="majorBidi" w:cstheme="majorBidi"/>
          <w:lang w:val="en-AU"/>
        </w:rPr>
        <w:footnoteReference w:id="276"/>
      </w:r>
    </w:p>
    <w:p w14:paraId="485EFEFF" w14:textId="3AFFD54D" w:rsidR="006219F4" w:rsidRPr="004C5271" w:rsidRDefault="006219F4"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th</w:t>
      </w:r>
      <w:r w:rsidR="007E357B" w:rsidRPr="004C5271">
        <w:rPr>
          <w:rFonts w:asciiTheme="majorBidi" w:hAnsiTheme="majorBidi" w:cstheme="majorBidi"/>
          <w:lang w:val="en-AU"/>
        </w:rPr>
        <w:t>at people should be able to deal with their assets during their lifetime as they wish;</w:t>
      </w:r>
      <w:r w:rsidR="007E357B" w:rsidRPr="004C5271">
        <w:rPr>
          <w:rStyle w:val="FootnoteReference"/>
          <w:rFonts w:asciiTheme="majorBidi" w:hAnsiTheme="majorBidi" w:cstheme="majorBidi"/>
          <w:lang w:val="en-AU"/>
        </w:rPr>
        <w:footnoteReference w:id="277"/>
      </w:r>
    </w:p>
    <w:p w14:paraId="1F41C4FE" w14:textId="4453C907" w:rsidR="00A61A27" w:rsidRPr="004C5271" w:rsidRDefault="00A61A27"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that it provides will</w:t>
      </w:r>
      <w:r w:rsidR="000B7F3C" w:rsidRPr="004C5271">
        <w:rPr>
          <w:rFonts w:asciiTheme="majorBidi" w:hAnsiTheme="majorBidi" w:cstheme="majorBidi"/>
          <w:lang w:val="en-AU"/>
        </w:rPr>
        <w:t>-</w:t>
      </w:r>
      <w:r w:rsidRPr="004C5271">
        <w:rPr>
          <w:rFonts w:asciiTheme="majorBidi" w:hAnsiTheme="majorBidi" w:cstheme="majorBidi"/>
          <w:lang w:val="en-AU"/>
        </w:rPr>
        <w:t>makers and their beneficiaries with certainty</w:t>
      </w:r>
      <w:r w:rsidR="00394DC8" w:rsidRPr="004C5271">
        <w:rPr>
          <w:rFonts w:asciiTheme="majorBidi" w:hAnsiTheme="majorBidi" w:cstheme="majorBidi"/>
          <w:lang w:val="en-AU"/>
        </w:rPr>
        <w:t>,</w:t>
      </w:r>
      <w:r w:rsidRPr="004C5271">
        <w:rPr>
          <w:rFonts w:asciiTheme="majorBidi" w:hAnsiTheme="majorBidi" w:cstheme="majorBidi"/>
          <w:lang w:val="en-AU"/>
        </w:rPr>
        <w:t xml:space="preserve"> and therefore peace of mind</w:t>
      </w:r>
      <w:r w:rsidR="00393156" w:rsidRPr="004C5271">
        <w:rPr>
          <w:rFonts w:asciiTheme="majorBidi" w:hAnsiTheme="majorBidi" w:cstheme="majorBidi"/>
          <w:lang w:val="en-AU"/>
        </w:rPr>
        <w:t>,</w:t>
      </w:r>
      <w:r w:rsidRPr="004C5271">
        <w:rPr>
          <w:rFonts w:asciiTheme="majorBidi" w:hAnsiTheme="majorBidi" w:cstheme="majorBidi"/>
          <w:lang w:val="en-AU"/>
        </w:rPr>
        <w:t xml:space="preserve"> that assets are free from challenge;</w:t>
      </w:r>
      <w:r w:rsidR="0009211B" w:rsidRPr="004C5271">
        <w:rPr>
          <w:rStyle w:val="FootnoteReference"/>
          <w:rFonts w:asciiTheme="majorBidi" w:hAnsiTheme="majorBidi" w:cstheme="majorBidi"/>
          <w:lang w:val="en-AU"/>
        </w:rPr>
        <w:footnoteReference w:id="278"/>
      </w:r>
    </w:p>
    <w:p w14:paraId="307FC064" w14:textId="5D53F665" w:rsidR="00A61A27" w:rsidRPr="004C5271" w:rsidRDefault="00A61A27"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that will</w:t>
      </w:r>
      <w:r w:rsidR="000B7F3C" w:rsidRPr="004C5271">
        <w:rPr>
          <w:rFonts w:asciiTheme="majorBidi" w:hAnsiTheme="majorBidi" w:cstheme="majorBidi"/>
          <w:lang w:val="en-AU"/>
        </w:rPr>
        <w:t>-</w:t>
      </w:r>
      <w:r w:rsidRPr="004C5271">
        <w:rPr>
          <w:rFonts w:asciiTheme="majorBidi" w:hAnsiTheme="majorBidi" w:cstheme="majorBidi"/>
          <w:lang w:val="en-AU"/>
        </w:rPr>
        <w:t xml:space="preserve">makers are themselves best able to consider and weigh up the various </w:t>
      </w:r>
      <w:r w:rsidR="00E51E7E" w:rsidRPr="004C5271">
        <w:rPr>
          <w:rFonts w:asciiTheme="majorBidi" w:hAnsiTheme="majorBidi" w:cstheme="majorBidi"/>
          <w:lang w:val="en-AU"/>
        </w:rPr>
        <w:t xml:space="preserve">competing </w:t>
      </w:r>
      <w:r w:rsidRPr="004C5271">
        <w:rPr>
          <w:rFonts w:asciiTheme="majorBidi" w:hAnsiTheme="majorBidi" w:cstheme="majorBidi"/>
          <w:lang w:val="en-AU"/>
        </w:rPr>
        <w:t xml:space="preserve">claims to their </w:t>
      </w:r>
      <w:r w:rsidR="00394DC8" w:rsidRPr="004C5271">
        <w:rPr>
          <w:rFonts w:asciiTheme="majorBidi" w:hAnsiTheme="majorBidi" w:cstheme="majorBidi"/>
          <w:lang w:val="en-AU"/>
        </w:rPr>
        <w:t>assets</w:t>
      </w:r>
      <w:r w:rsidRPr="004C5271">
        <w:rPr>
          <w:rFonts w:asciiTheme="majorBidi" w:hAnsiTheme="majorBidi" w:cstheme="majorBidi"/>
          <w:lang w:val="en-AU"/>
        </w:rPr>
        <w:t xml:space="preserve"> and decide what is an appropriate division in the circumstances;</w:t>
      </w:r>
      <w:r w:rsidR="00665DAA" w:rsidRPr="004C5271">
        <w:rPr>
          <w:rStyle w:val="FootnoteReference"/>
          <w:rFonts w:asciiTheme="majorBidi" w:hAnsiTheme="majorBidi" w:cstheme="majorBidi"/>
          <w:lang w:val="en-AU"/>
        </w:rPr>
        <w:footnoteReference w:id="279"/>
      </w:r>
    </w:p>
    <w:p w14:paraId="0E6A28A8" w14:textId="318E38BA" w:rsidR="00E51E7E" w:rsidRPr="004C5271" w:rsidRDefault="00E51E7E"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 xml:space="preserve">that it </w:t>
      </w:r>
      <w:r w:rsidR="00394DC8" w:rsidRPr="004C5271">
        <w:rPr>
          <w:rFonts w:asciiTheme="majorBidi" w:hAnsiTheme="majorBidi" w:cstheme="majorBidi"/>
          <w:lang w:val="en-AU"/>
        </w:rPr>
        <w:t xml:space="preserve">avoids </w:t>
      </w:r>
      <w:r w:rsidRPr="004C5271">
        <w:rPr>
          <w:rFonts w:asciiTheme="majorBidi" w:hAnsiTheme="majorBidi" w:cstheme="majorBidi"/>
          <w:lang w:val="en-AU"/>
        </w:rPr>
        <w:t>delay in the administration of estate</w:t>
      </w:r>
      <w:r w:rsidR="00393156" w:rsidRPr="004C5271">
        <w:rPr>
          <w:rFonts w:asciiTheme="majorBidi" w:hAnsiTheme="majorBidi" w:cstheme="majorBidi"/>
          <w:lang w:val="en-AU"/>
        </w:rPr>
        <w:t>s</w:t>
      </w:r>
      <w:r w:rsidRPr="004C5271">
        <w:rPr>
          <w:rFonts w:asciiTheme="majorBidi" w:hAnsiTheme="majorBidi" w:cstheme="majorBidi"/>
          <w:lang w:val="en-AU"/>
        </w:rPr>
        <w:t>;</w:t>
      </w:r>
      <w:r w:rsidR="00B305EA" w:rsidRPr="004C5271">
        <w:rPr>
          <w:rStyle w:val="FootnoteReference"/>
          <w:rFonts w:asciiTheme="majorBidi" w:hAnsiTheme="majorBidi" w:cstheme="majorBidi"/>
          <w:lang w:val="en-AU"/>
        </w:rPr>
        <w:footnoteReference w:id="280"/>
      </w:r>
      <w:r w:rsidR="0009211B" w:rsidRPr="004C5271">
        <w:rPr>
          <w:rFonts w:asciiTheme="majorBidi" w:hAnsiTheme="majorBidi" w:cstheme="majorBidi"/>
          <w:lang w:val="en-AU"/>
        </w:rPr>
        <w:t xml:space="preserve"> </w:t>
      </w:r>
    </w:p>
    <w:p w14:paraId="71A12E58" w14:textId="48B86811" w:rsidR="00874574" w:rsidRPr="004C5271" w:rsidRDefault="0009211B"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that the need for notional estate legislation has not been established through clear evidence</w:t>
      </w:r>
      <w:r w:rsidR="00910740"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281"/>
      </w:r>
      <w:r w:rsidR="00874574" w:rsidRPr="004C5271">
        <w:rPr>
          <w:rFonts w:asciiTheme="majorBidi" w:hAnsiTheme="majorBidi" w:cstheme="majorBidi"/>
          <w:lang w:val="en-AU"/>
        </w:rPr>
        <w:t xml:space="preserve"> and</w:t>
      </w:r>
      <w:r w:rsidR="007244EA" w:rsidRPr="004C5271">
        <w:rPr>
          <w:rFonts w:asciiTheme="majorBidi" w:hAnsiTheme="majorBidi" w:cstheme="majorBidi"/>
          <w:lang w:val="en-AU"/>
        </w:rPr>
        <w:t xml:space="preserve"> </w:t>
      </w:r>
    </w:p>
    <w:p w14:paraId="6079CE5F" w14:textId="72FD40F8" w:rsidR="00A61A27" w:rsidRPr="004C5271" w:rsidRDefault="00874574" w:rsidP="004273B6">
      <w:pPr>
        <w:pStyle w:val="DotPointTLRI"/>
        <w:numPr>
          <w:ilvl w:val="0"/>
          <w:numId w:val="50"/>
        </w:numPr>
        <w:ind w:left="709" w:hanging="425"/>
        <w:rPr>
          <w:rFonts w:asciiTheme="majorBidi" w:hAnsiTheme="majorBidi" w:cstheme="majorBidi"/>
          <w:lang w:val="en-AU"/>
        </w:rPr>
      </w:pPr>
      <w:r w:rsidRPr="004C5271">
        <w:rPr>
          <w:rFonts w:asciiTheme="majorBidi" w:hAnsiTheme="majorBidi" w:cstheme="majorBidi"/>
          <w:lang w:val="en-AU"/>
        </w:rPr>
        <w:t>t</w:t>
      </w:r>
      <w:r w:rsidR="007244EA" w:rsidRPr="004C5271">
        <w:rPr>
          <w:rFonts w:asciiTheme="majorBidi" w:hAnsiTheme="majorBidi" w:cstheme="majorBidi"/>
          <w:lang w:val="en-AU"/>
        </w:rPr>
        <w:t xml:space="preserve">hat there is a lack of evidence of the effectiveness of the New South Wales notional estate provisions </w:t>
      </w:r>
      <w:r w:rsidRPr="004C5271">
        <w:rPr>
          <w:rFonts w:asciiTheme="majorBidi" w:hAnsiTheme="majorBidi" w:cstheme="majorBidi"/>
          <w:lang w:val="en-AU"/>
        </w:rPr>
        <w:t xml:space="preserve">in </w:t>
      </w:r>
      <w:r w:rsidR="007244EA" w:rsidRPr="004C5271">
        <w:rPr>
          <w:rFonts w:asciiTheme="majorBidi" w:hAnsiTheme="majorBidi" w:cstheme="majorBidi"/>
          <w:lang w:val="en-AU"/>
        </w:rPr>
        <w:t>addressing any perceived need.</w:t>
      </w:r>
      <w:r w:rsidR="007244EA" w:rsidRPr="004C5271">
        <w:rPr>
          <w:rStyle w:val="FootnoteReference"/>
          <w:rFonts w:asciiTheme="majorBidi" w:hAnsiTheme="majorBidi" w:cstheme="majorBidi"/>
          <w:lang w:val="en-AU"/>
        </w:rPr>
        <w:footnoteReference w:id="282"/>
      </w:r>
    </w:p>
    <w:p w14:paraId="6B18F4CC" w14:textId="713D3448" w:rsidR="00393156" w:rsidRPr="004C5271" w:rsidRDefault="00423603" w:rsidP="00F95696">
      <w:pPr>
        <w:pStyle w:val="NormalNumberedTextTLRI"/>
        <w:rPr>
          <w:rFonts w:asciiTheme="majorBidi" w:hAnsiTheme="majorBidi" w:cstheme="majorBidi"/>
          <w:lang w:val="en-AU"/>
        </w:rPr>
      </w:pPr>
      <w:r w:rsidRPr="004C5271">
        <w:rPr>
          <w:rFonts w:asciiTheme="majorBidi" w:hAnsiTheme="majorBidi" w:cstheme="majorBidi"/>
          <w:lang w:val="en-AU"/>
        </w:rPr>
        <w:t xml:space="preserve">In summary, of the respondents addressing this question, most were of the view that individuals should have the ability to structure their assets to reduce what is </w:t>
      </w:r>
      <w:r w:rsidR="00176B63" w:rsidRPr="004C5271">
        <w:rPr>
          <w:rFonts w:asciiTheme="majorBidi" w:hAnsiTheme="majorBidi" w:cstheme="majorBidi"/>
          <w:lang w:val="en-AU"/>
        </w:rPr>
        <w:t xml:space="preserve">in their estate and therefore </w:t>
      </w:r>
      <w:r w:rsidRPr="004C5271">
        <w:rPr>
          <w:rFonts w:asciiTheme="majorBidi" w:hAnsiTheme="majorBidi" w:cstheme="majorBidi"/>
          <w:lang w:val="en-AU"/>
        </w:rPr>
        <w:t>available for claimants under the</w:t>
      </w:r>
      <w:r w:rsidR="00446ACA" w:rsidRPr="004C5271">
        <w:rPr>
          <w:rFonts w:asciiTheme="majorBidi" w:hAnsiTheme="majorBidi" w:cstheme="majorBidi"/>
          <w:lang w:val="en-AU"/>
        </w:rPr>
        <w:t xml:space="preserve"> </w:t>
      </w:r>
      <w:r w:rsidR="00446ACA" w:rsidRPr="004C5271">
        <w:rPr>
          <w:rFonts w:asciiTheme="majorBidi" w:hAnsiTheme="majorBidi" w:cstheme="majorBidi"/>
          <w:i/>
          <w:iCs/>
          <w:lang w:val="en-AU"/>
        </w:rPr>
        <w:lastRenderedPageBreak/>
        <w:t>TFM</w:t>
      </w:r>
      <w:r w:rsidRPr="004C5271">
        <w:rPr>
          <w:rFonts w:asciiTheme="majorBidi" w:hAnsiTheme="majorBidi" w:cstheme="majorBidi"/>
          <w:i/>
          <w:iCs/>
          <w:lang w:val="en-AU"/>
        </w:rPr>
        <w:t xml:space="preserve"> Act</w:t>
      </w:r>
      <w:r w:rsidRPr="004C5271">
        <w:rPr>
          <w:rFonts w:asciiTheme="majorBidi" w:hAnsiTheme="majorBidi" w:cstheme="majorBidi"/>
          <w:lang w:val="en-AU"/>
        </w:rPr>
        <w:t>.</w:t>
      </w:r>
      <w:r w:rsidR="001D734C" w:rsidRPr="004C5271">
        <w:rPr>
          <w:rFonts w:asciiTheme="majorBidi" w:hAnsiTheme="majorBidi" w:cstheme="majorBidi"/>
          <w:lang w:val="en-AU"/>
        </w:rPr>
        <w:t xml:space="preserve"> </w:t>
      </w:r>
      <w:r w:rsidR="009F3D4D" w:rsidRPr="004C5271">
        <w:rPr>
          <w:rFonts w:asciiTheme="majorBidi" w:hAnsiTheme="majorBidi" w:cstheme="majorBidi"/>
          <w:lang w:val="en-AU"/>
        </w:rPr>
        <w:t>P</w:t>
      </w:r>
      <w:r w:rsidR="00393156" w:rsidRPr="004C5271">
        <w:rPr>
          <w:rFonts w:asciiTheme="majorBidi" w:hAnsiTheme="majorBidi" w:cstheme="majorBidi"/>
          <w:lang w:val="en-AU"/>
        </w:rPr>
        <w:t>aragraph</w:t>
      </w:r>
      <w:r w:rsidR="00C60A44" w:rsidRPr="004C5271">
        <w:rPr>
          <w:rFonts w:asciiTheme="majorBidi" w:hAnsiTheme="majorBidi" w:cstheme="majorBidi"/>
          <w:lang w:val="en-AU"/>
        </w:rPr>
        <w:t xml:space="preserve"> [</w:t>
      </w:r>
      <w:r w:rsidR="00E25AA4">
        <w:rPr>
          <w:rFonts w:asciiTheme="majorBidi" w:hAnsiTheme="majorBidi" w:cstheme="majorBidi"/>
          <w:lang w:val="en-AU"/>
        </w:rPr>
        <w:fldChar w:fldCharType="begin"/>
      </w:r>
      <w:r w:rsidR="00E25AA4">
        <w:rPr>
          <w:rFonts w:asciiTheme="majorBidi" w:hAnsiTheme="majorBidi" w:cstheme="majorBidi"/>
          <w:lang w:val="en-AU"/>
        </w:rPr>
        <w:instrText xml:space="preserve"> REF _Ref17311367 \r \h </w:instrText>
      </w:r>
      <w:r w:rsidR="00E25AA4">
        <w:rPr>
          <w:rFonts w:asciiTheme="majorBidi" w:hAnsiTheme="majorBidi" w:cstheme="majorBidi"/>
          <w:lang w:val="en-AU"/>
        </w:rPr>
      </w:r>
      <w:r w:rsidR="00E25AA4">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5.5</w:t>
      </w:r>
      <w:r w:rsidR="00E25AA4">
        <w:rPr>
          <w:rFonts w:asciiTheme="majorBidi" w:hAnsiTheme="majorBidi" w:cstheme="majorBidi"/>
          <w:lang w:val="en-AU"/>
        </w:rPr>
        <w:fldChar w:fldCharType="end"/>
      </w:r>
      <w:r w:rsidR="00C60A44" w:rsidRPr="004C5271">
        <w:rPr>
          <w:rFonts w:asciiTheme="majorBidi" w:hAnsiTheme="majorBidi" w:cstheme="majorBidi"/>
          <w:lang w:val="en-AU"/>
        </w:rPr>
        <w:t>]</w:t>
      </w:r>
      <w:r w:rsidR="009F3D4D" w:rsidRPr="004C5271">
        <w:rPr>
          <w:rFonts w:asciiTheme="majorBidi" w:hAnsiTheme="majorBidi" w:cstheme="majorBidi"/>
          <w:lang w:val="en-AU"/>
        </w:rPr>
        <w:t xml:space="preserve"> </w:t>
      </w:r>
      <w:r w:rsidR="00393156" w:rsidRPr="004C5271">
        <w:rPr>
          <w:rFonts w:asciiTheme="majorBidi" w:hAnsiTheme="majorBidi" w:cstheme="majorBidi"/>
          <w:lang w:val="en-AU"/>
        </w:rPr>
        <w:t>outline</w:t>
      </w:r>
      <w:r w:rsidR="00C60A44" w:rsidRPr="004C5271">
        <w:rPr>
          <w:rFonts w:asciiTheme="majorBidi" w:hAnsiTheme="majorBidi" w:cstheme="majorBidi"/>
          <w:lang w:val="en-AU"/>
        </w:rPr>
        <w:t>s</w:t>
      </w:r>
      <w:r w:rsidR="00393156" w:rsidRPr="004C5271">
        <w:rPr>
          <w:rFonts w:asciiTheme="majorBidi" w:hAnsiTheme="majorBidi" w:cstheme="majorBidi"/>
          <w:lang w:val="en-AU"/>
        </w:rPr>
        <w:t xml:space="preserve"> in more detail </w:t>
      </w:r>
      <w:r w:rsidR="001D734C" w:rsidRPr="004C5271">
        <w:rPr>
          <w:rFonts w:asciiTheme="majorBidi" w:hAnsiTheme="majorBidi" w:cstheme="majorBidi"/>
          <w:lang w:val="en-AU"/>
        </w:rPr>
        <w:t xml:space="preserve">the </w:t>
      </w:r>
      <w:r w:rsidR="0096206D" w:rsidRPr="004C5271">
        <w:rPr>
          <w:rFonts w:asciiTheme="majorBidi" w:hAnsiTheme="majorBidi" w:cstheme="majorBidi"/>
          <w:lang w:val="en-AU"/>
        </w:rPr>
        <w:t>arguments</w:t>
      </w:r>
      <w:r w:rsidR="00393156" w:rsidRPr="004C5271">
        <w:rPr>
          <w:rFonts w:asciiTheme="majorBidi" w:hAnsiTheme="majorBidi" w:cstheme="majorBidi"/>
          <w:lang w:val="en-AU"/>
        </w:rPr>
        <w:t xml:space="preserve"> </w:t>
      </w:r>
      <w:r w:rsidR="0005502A" w:rsidRPr="004C5271">
        <w:rPr>
          <w:rFonts w:asciiTheme="majorBidi" w:hAnsiTheme="majorBidi" w:cstheme="majorBidi"/>
          <w:lang w:val="en-AU"/>
        </w:rPr>
        <w:t xml:space="preserve">advanced </w:t>
      </w:r>
      <w:r w:rsidR="001D734C" w:rsidRPr="004C5271">
        <w:rPr>
          <w:rFonts w:asciiTheme="majorBidi" w:hAnsiTheme="majorBidi" w:cstheme="majorBidi"/>
          <w:lang w:val="en-AU"/>
        </w:rPr>
        <w:t>in support of respondents’ opinions.</w:t>
      </w:r>
    </w:p>
    <w:p w14:paraId="105F2A63" w14:textId="1E5A1449" w:rsidR="00D060C2" w:rsidRPr="004C5271" w:rsidRDefault="00D060C2" w:rsidP="00454652">
      <w:pPr>
        <w:pStyle w:val="NumberedHeadingTLRI"/>
        <w:rPr>
          <w:rFonts w:asciiTheme="majorBidi" w:hAnsiTheme="majorBidi" w:cstheme="majorBidi"/>
          <w:lang w:val="en-AU"/>
        </w:rPr>
      </w:pPr>
      <w:bookmarkStart w:id="125" w:name="_Toc12268966"/>
      <w:bookmarkEnd w:id="123"/>
      <w:r w:rsidRPr="004C5271">
        <w:rPr>
          <w:rFonts w:asciiTheme="majorBidi" w:hAnsiTheme="majorBidi" w:cstheme="majorBidi"/>
          <w:lang w:val="en-AU"/>
        </w:rPr>
        <w:t>Potential issues with notional estate provisions</w:t>
      </w:r>
      <w:bookmarkEnd w:id="125"/>
    </w:p>
    <w:p w14:paraId="0F35F33B" w14:textId="18765C45" w:rsidR="006154A0" w:rsidRPr="004C5271" w:rsidRDefault="004A6233" w:rsidP="00166701">
      <w:pPr>
        <w:pStyle w:val="NormalNumberedTextTLRI"/>
        <w:rPr>
          <w:rFonts w:asciiTheme="majorBidi" w:hAnsiTheme="majorBidi" w:cstheme="majorBidi"/>
          <w:lang w:val="en-AU"/>
        </w:rPr>
      </w:pPr>
      <w:r w:rsidRPr="004C5271">
        <w:rPr>
          <w:rFonts w:asciiTheme="majorBidi" w:hAnsiTheme="majorBidi" w:cstheme="majorBidi"/>
          <w:lang w:val="en-AU"/>
        </w:rPr>
        <w:t xml:space="preserve">A further factor to </w:t>
      </w:r>
      <w:r w:rsidR="005F61E2" w:rsidRPr="004C5271">
        <w:rPr>
          <w:rFonts w:asciiTheme="majorBidi" w:hAnsiTheme="majorBidi" w:cstheme="majorBidi"/>
          <w:lang w:val="en-AU"/>
        </w:rPr>
        <w:t>consider when assessing</w:t>
      </w:r>
      <w:r w:rsidRPr="004C5271">
        <w:rPr>
          <w:rFonts w:asciiTheme="majorBidi" w:hAnsiTheme="majorBidi" w:cstheme="majorBidi"/>
          <w:lang w:val="en-AU"/>
        </w:rPr>
        <w:t xml:space="preserve"> </w:t>
      </w:r>
      <w:r w:rsidR="0024189A" w:rsidRPr="004C5271">
        <w:rPr>
          <w:rFonts w:asciiTheme="majorBidi" w:hAnsiTheme="majorBidi" w:cstheme="majorBidi"/>
          <w:lang w:val="en-AU"/>
        </w:rPr>
        <w:t>the merits of</w:t>
      </w:r>
      <w:r w:rsidRPr="004C5271">
        <w:rPr>
          <w:rFonts w:asciiTheme="majorBidi" w:hAnsiTheme="majorBidi" w:cstheme="majorBidi"/>
          <w:lang w:val="en-AU"/>
        </w:rPr>
        <w:t xml:space="preserve"> introduc</w:t>
      </w:r>
      <w:r w:rsidR="00996A87" w:rsidRPr="004C5271">
        <w:rPr>
          <w:rFonts w:asciiTheme="majorBidi" w:hAnsiTheme="majorBidi" w:cstheme="majorBidi"/>
          <w:lang w:val="en-AU"/>
        </w:rPr>
        <w:t>ing</w:t>
      </w:r>
      <w:r w:rsidRPr="004C5271">
        <w:rPr>
          <w:rFonts w:asciiTheme="majorBidi" w:hAnsiTheme="majorBidi" w:cstheme="majorBidi"/>
          <w:lang w:val="en-AU"/>
        </w:rPr>
        <w:t xml:space="preserve"> notional estate legislation is whether </w:t>
      </w:r>
      <w:r w:rsidR="001D734C" w:rsidRPr="004C5271">
        <w:rPr>
          <w:rFonts w:asciiTheme="majorBidi" w:hAnsiTheme="majorBidi" w:cstheme="majorBidi"/>
          <w:lang w:val="en-AU"/>
        </w:rPr>
        <w:t>it</w:t>
      </w:r>
      <w:r w:rsidRPr="004C5271">
        <w:rPr>
          <w:rFonts w:asciiTheme="majorBidi" w:hAnsiTheme="majorBidi" w:cstheme="majorBidi"/>
          <w:lang w:val="en-AU"/>
        </w:rPr>
        <w:t xml:space="preserve"> would create any unintended or undesirable consequences. </w:t>
      </w:r>
      <w:r w:rsidR="007711C4" w:rsidRPr="004C5271">
        <w:rPr>
          <w:rFonts w:asciiTheme="majorBidi" w:hAnsiTheme="majorBidi" w:cstheme="majorBidi"/>
          <w:lang w:val="en-AU"/>
        </w:rPr>
        <w:t xml:space="preserve">The </w:t>
      </w:r>
      <w:r w:rsidR="004C7A19" w:rsidRPr="004C5271">
        <w:rPr>
          <w:rFonts w:asciiTheme="majorBidi" w:hAnsiTheme="majorBidi" w:cstheme="majorBidi"/>
          <w:lang w:val="en-AU"/>
        </w:rPr>
        <w:t>VLRC</w:t>
      </w:r>
      <w:r w:rsidRPr="004C5271">
        <w:rPr>
          <w:rFonts w:asciiTheme="majorBidi" w:hAnsiTheme="majorBidi" w:cstheme="majorBidi"/>
          <w:lang w:val="en-AU"/>
        </w:rPr>
        <w:t>, for example,</w:t>
      </w:r>
      <w:r w:rsidR="007711C4" w:rsidRPr="004C5271">
        <w:rPr>
          <w:rFonts w:asciiTheme="majorBidi" w:hAnsiTheme="majorBidi" w:cstheme="majorBidi"/>
          <w:lang w:val="en-AU"/>
        </w:rPr>
        <w:t xml:space="preserve"> </w:t>
      </w:r>
      <w:r w:rsidR="0056499E" w:rsidRPr="004C5271">
        <w:rPr>
          <w:rFonts w:asciiTheme="majorBidi" w:hAnsiTheme="majorBidi" w:cstheme="majorBidi"/>
          <w:lang w:val="en-AU"/>
        </w:rPr>
        <w:t>observe</w:t>
      </w:r>
      <w:r w:rsidRPr="004C5271">
        <w:rPr>
          <w:rFonts w:asciiTheme="majorBidi" w:hAnsiTheme="majorBidi" w:cstheme="majorBidi"/>
          <w:lang w:val="en-AU"/>
        </w:rPr>
        <w:t>d</w:t>
      </w:r>
      <w:r w:rsidR="0056499E" w:rsidRPr="004C5271">
        <w:rPr>
          <w:rFonts w:asciiTheme="majorBidi" w:hAnsiTheme="majorBidi" w:cstheme="majorBidi"/>
          <w:lang w:val="en-AU"/>
        </w:rPr>
        <w:t xml:space="preserve"> </w:t>
      </w:r>
      <w:r w:rsidR="007711C4" w:rsidRPr="004C5271">
        <w:rPr>
          <w:rFonts w:asciiTheme="majorBidi" w:hAnsiTheme="majorBidi" w:cstheme="majorBidi"/>
          <w:lang w:val="en-AU"/>
        </w:rPr>
        <w:t xml:space="preserve">that people deal with their assets in particular ways for a variety of reasons, </w:t>
      </w:r>
      <w:r w:rsidR="00996A87" w:rsidRPr="004C5271">
        <w:rPr>
          <w:rFonts w:asciiTheme="majorBidi" w:hAnsiTheme="majorBidi" w:cstheme="majorBidi"/>
          <w:lang w:val="en-AU"/>
        </w:rPr>
        <w:t xml:space="preserve">including </w:t>
      </w:r>
      <w:r w:rsidR="007711C4" w:rsidRPr="004C5271">
        <w:rPr>
          <w:rFonts w:asciiTheme="majorBidi" w:hAnsiTheme="majorBidi" w:cstheme="majorBidi"/>
          <w:lang w:val="en-AU"/>
        </w:rPr>
        <w:t xml:space="preserve">to provide for their family during their lifetime, and that to introduce notional estate legislation would interfere with </w:t>
      </w:r>
      <w:r w:rsidRPr="004C5271">
        <w:rPr>
          <w:rFonts w:asciiTheme="majorBidi" w:hAnsiTheme="majorBidi" w:cstheme="majorBidi"/>
          <w:lang w:val="en-AU"/>
        </w:rPr>
        <w:t>legitimate structuring arrangements</w:t>
      </w:r>
      <w:r w:rsidR="007711C4" w:rsidRPr="004C5271">
        <w:rPr>
          <w:rFonts w:asciiTheme="majorBidi" w:hAnsiTheme="majorBidi" w:cstheme="majorBidi"/>
          <w:lang w:val="en-AU"/>
        </w:rPr>
        <w:t>.</w:t>
      </w:r>
      <w:r w:rsidR="006E4DCB" w:rsidRPr="004C5271">
        <w:rPr>
          <w:rStyle w:val="FootnoteReference"/>
          <w:rFonts w:asciiTheme="majorBidi" w:hAnsiTheme="majorBidi" w:cstheme="majorBidi"/>
          <w:lang w:val="en-AU"/>
        </w:rPr>
        <w:footnoteReference w:id="283"/>
      </w:r>
      <w:r w:rsidR="00914E47" w:rsidRPr="004C5271">
        <w:rPr>
          <w:rFonts w:asciiTheme="majorBidi" w:hAnsiTheme="majorBidi" w:cstheme="majorBidi"/>
          <w:lang w:val="en-AU"/>
        </w:rPr>
        <w:t xml:space="preserve"> </w:t>
      </w:r>
    </w:p>
    <w:p w14:paraId="0632AF59" w14:textId="58429AC0" w:rsidR="00914E47" w:rsidRPr="004C5271" w:rsidRDefault="006E4DCB" w:rsidP="004C0512">
      <w:pPr>
        <w:pStyle w:val="NormalNumberedTextTLRI"/>
        <w:rPr>
          <w:rFonts w:asciiTheme="majorBidi" w:hAnsiTheme="majorBidi" w:cstheme="majorBidi"/>
          <w:lang w:val="en-AU"/>
        </w:rPr>
      </w:pPr>
      <w:r w:rsidRPr="004C5271">
        <w:rPr>
          <w:rFonts w:asciiTheme="majorBidi" w:hAnsiTheme="majorBidi" w:cstheme="majorBidi"/>
          <w:lang w:val="en-AU"/>
        </w:rPr>
        <w:t>Appreciating</w:t>
      </w:r>
      <w:r w:rsidR="003D14E8" w:rsidRPr="004C5271">
        <w:rPr>
          <w:rFonts w:asciiTheme="majorBidi" w:hAnsiTheme="majorBidi" w:cstheme="majorBidi"/>
          <w:lang w:val="en-AU"/>
        </w:rPr>
        <w:t xml:space="preserve"> the importance of not introducing a scheme </w:t>
      </w:r>
      <w:r w:rsidR="001F1A0F" w:rsidRPr="004C5271">
        <w:rPr>
          <w:rFonts w:asciiTheme="majorBidi" w:hAnsiTheme="majorBidi" w:cstheme="majorBidi"/>
          <w:lang w:val="en-AU"/>
        </w:rPr>
        <w:t xml:space="preserve">that is </w:t>
      </w:r>
      <w:r w:rsidR="003D14E8" w:rsidRPr="004C5271">
        <w:rPr>
          <w:rFonts w:asciiTheme="majorBidi" w:hAnsiTheme="majorBidi" w:cstheme="majorBidi"/>
          <w:lang w:val="en-AU"/>
        </w:rPr>
        <w:t>intend</w:t>
      </w:r>
      <w:r w:rsidR="001F1A0F" w:rsidRPr="004C5271">
        <w:rPr>
          <w:rFonts w:asciiTheme="majorBidi" w:hAnsiTheme="majorBidi" w:cstheme="majorBidi"/>
          <w:lang w:val="en-AU"/>
        </w:rPr>
        <w:t>ed</w:t>
      </w:r>
      <w:r w:rsidR="003D14E8" w:rsidRPr="004C5271">
        <w:rPr>
          <w:rFonts w:asciiTheme="majorBidi" w:hAnsiTheme="majorBidi" w:cstheme="majorBidi"/>
          <w:lang w:val="en-AU"/>
        </w:rPr>
        <w:t xml:space="preserve"> to resolve one issue </w:t>
      </w:r>
      <w:r w:rsidR="001F1A0F" w:rsidRPr="004C5271">
        <w:rPr>
          <w:rFonts w:asciiTheme="majorBidi" w:hAnsiTheme="majorBidi" w:cstheme="majorBidi"/>
          <w:lang w:val="en-AU"/>
        </w:rPr>
        <w:t xml:space="preserve">but by doing so </w:t>
      </w:r>
      <w:r w:rsidR="003D14E8" w:rsidRPr="004C5271">
        <w:rPr>
          <w:rFonts w:asciiTheme="majorBidi" w:hAnsiTheme="majorBidi" w:cstheme="majorBidi"/>
          <w:lang w:val="en-AU"/>
        </w:rPr>
        <w:t>creat</w:t>
      </w:r>
      <w:r w:rsidR="001F1A0F" w:rsidRPr="004C5271">
        <w:rPr>
          <w:rFonts w:asciiTheme="majorBidi" w:hAnsiTheme="majorBidi" w:cstheme="majorBidi"/>
          <w:lang w:val="en-AU"/>
        </w:rPr>
        <w:t>es</w:t>
      </w:r>
      <w:r w:rsidR="003D14E8" w:rsidRPr="004C5271">
        <w:rPr>
          <w:rFonts w:asciiTheme="majorBidi" w:hAnsiTheme="majorBidi" w:cstheme="majorBidi"/>
          <w:lang w:val="en-AU"/>
        </w:rPr>
        <w:t xml:space="preserve"> othe</w:t>
      </w:r>
      <w:r w:rsidR="00166701" w:rsidRPr="004C5271">
        <w:rPr>
          <w:rFonts w:asciiTheme="majorBidi" w:hAnsiTheme="majorBidi" w:cstheme="majorBidi"/>
          <w:lang w:val="en-AU"/>
        </w:rPr>
        <w:t>rs</w:t>
      </w:r>
      <w:r w:rsidR="003D14E8" w:rsidRPr="004C5271">
        <w:rPr>
          <w:rFonts w:asciiTheme="majorBidi" w:hAnsiTheme="majorBidi" w:cstheme="majorBidi"/>
          <w:lang w:val="en-AU"/>
        </w:rPr>
        <w:t>, t</w:t>
      </w:r>
      <w:r w:rsidR="00914E47" w:rsidRPr="004C5271">
        <w:rPr>
          <w:rFonts w:asciiTheme="majorBidi" w:hAnsiTheme="majorBidi" w:cstheme="majorBidi"/>
          <w:lang w:val="en-AU"/>
        </w:rPr>
        <w:t>he Institute request</w:t>
      </w:r>
      <w:r w:rsidR="003D14E8" w:rsidRPr="004C5271">
        <w:rPr>
          <w:rFonts w:asciiTheme="majorBidi" w:hAnsiTheme="majorBidi" w:cstheme="majorBidi"/>
          <w:lang w:val="en-AU"/>
        </w:rPr>
        <w:t>ed</w:t>
      </w:r>
      <w:r w:rsidR="00914E47" w:rsidRPr="004C5271">
        <w:rPr>
          <w:rFonts w:asciiTheme="majorBidi" w:hAnsiTheme="majorBidi" w:cstheme="majorBidi"/>
          <w:lang w:val="en-AU"/>
        </w:rPr>
        <w:t xml:space="preserve"> </w:t>
      </w:r>
      <w:r w:rsidR="003D14E8" w:rsidRPr="004C5271">
        <w:rPr>
          <w:rFonts w:asciiTheme="majorBidi" w:hAnsiTheme="majorBidi" w:cstheme="majorBidi"/>
          <w:lang w:val="en-AU"/>
        </w:rPr>
        <w:t>respondents’ views</w:t>
      </w:r>
      <w:r w:rsidR="00914E47" w:rsidRPr="004C5271">
        <w:rPr>
          <w:rFonts w:asciiTheme="majorBidi" w:hAnsiTheme="majorBidi" w:cstheme="majorBidi"/>
          <w:lang w:val="en-AU"/>
        </w:rPr>
        <w:t xml:space="preserve"> about </w:t>
      </w:r>
      <w:r w:rsidR="003D14E8" w:rsidRPr="004C5271">
        <w:rPr>
          <w:rFonts w:asciiTheme="majorBidi" w:hAnsiTheme="majorBidi" w:cstheme="majorBidi"/>
          <w:lang w:val="en-AU"/>
        </w:rPr>
        <w:t xml:space="preserve">whether they considered notional estate legislation would create </w:t>
      </w:r>
      <w:r w:rsidR="00914E47" w:rsidRPr="004C5271">
        <w:rPr>
          <w:rFonts w:asciiTheme="majorBidi" w:hAnsiTheme="majorBidi" w:cstheme="majorBidi"/>
          <w:lang w:val="en-AU"/>
        </w:rPr>
        <w:t xml:space="preserve">any adverse </w:t>
      </w:r>
      <w:r w:rsidR="003D14E8" w:rsidRPr="004C5271">
        <w:rPr>
          <w:rFonts w:asciiTheme="majorBidi" w:hAnsiTheme="majorBidi" w:cstheme="majorBidi"/>
          <w:lang w:val="en-AU"/>
        </w:rPr>
        <w:t>consequences:</w:t>
      </w:r>
    </w:p>
    <w:p w14:paraId="5FF9CC15" w14:textId="3EFC8E58" w:rsidR="00AC6D38" w:rsidRPr="004C5271" w:rsidRDefault="00AC6D38" w:rsidP="00E40341">
      <w:pPr>
        <w:pStyle w:val="NumberlessNormalText"/>
        <w:keepNext/>
        <w:pBdr>
          <w:top w:val="single" w:sz="4" w:space="1" w:color="auto"/>
          <w:left w:val="single" w:sz="4" w:space="1" w:color="auto"/>
          <w:bottom w:val="single" w:sz="4" w:space="1" w:color="auto"/>
          <w:right w:val="single" w:sz="4" w:space="1" w:color="auto"/>
        </w:pBdr>
        <w:ind w:left="57" w:right="57"/>
        <w:rPr>
          <w:rFonts w:asciiTheme="majorBidi" w:hAnsiTheme="majorBidi" w:cstheme="majorBidi"/>
          <w:b/>
          <w:bCs/>
          <w:lang w:val="en-AU"/>
        </w:rPr>
      </w:pPr>
      <w:bookmarkStart w:id="126" w:name="Question4"/>
      <w:r w:rsidRPr="004C5271">
        <w:rPr>
          <w:rFonts w:asciiTheme="majorBidi" w:hAnsiTheme="majorBidi" w:cstheme="majorBidi"/>
          <w:b/>
          <w:bCs/>
          <w:lang w:val="en-AU"/>
        </w:rPr>
        <w:t>Question 4</w:t>
      </w:r>
      <w:r w:rsidR="003D14E8" w:rsidRPr="004C5271">
        <w:rPr>
          <w:rFonts w:asciiTheme="majorBidi" w:hAnsiTheme="majorBidi" w:cstheme="majorBidi"/>
          <w:b/>
          <w:bCs/>
          <w:lang w:val="en-AU"/>
        </w:rPr>
        <w:t xml:space="preserve"> </w:t>
      </w:r>
    </w:p>
    <w:bookmarkEnd w:id="126"/>
    <w:p w14:paraId="0D1729C8" w14:textId="51FB6E07" w:rsidR="00AC6D38" w:rsidRPr="004C5271" w:rsidRDefault="004C0512" w:rsidP="00467A3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 xml:space="preserve">Do you consider that introduction </w:t>
      </w:r>
      <w:r w:rsidR="00035A02" w:rsidRPr="004C5271">
        <w:rPr>
          <w:rFonts w:asciiTheme="majorBidi" w:hAnsiTheme="majorBidi" w:cstheme="majorBidi"/>
          <w:lang w:val="en-AU"/>
        </w:rPr>
        <w:t xml:space="preserve">of </w:t>
      </w:r>
      <w:r w:rsidR="00AC6D38" w:rsidRPr="004C5271">
        <w:rPr>
          <w:rFonts w:asciiTheme="majorBidi" w:hAnsiTheme="majorBidi" w:cstheme="majorBidi"/>
          <w:lang w:val="en-AU"/>
        </w:rPr>
        <w:t xml:space="preserve">notional estate provisions in Tasmania would create difficulties or issues? For example, in your experience </w:t>
      </w:r>
      <w:r w:rsidR="00035A02" w:rsidRPr="004C5271">
        <w:rPr>
          <w:rFonts w:asciiTheme="majorBidi" w:hAnsiTheme="majorBidi" w:cstheme="majorBidi"/>
          <w:lang w:val="en-AU"/>
        </w:rPr>
        <w:t>or</w:t>
      </w:r>
      <w:r w:rsidR="00AC6D38" w:rsidRPr="004C5271">
        <w:rPr>
          <w:rFonts w:asciiTheme="majorBidi" w:hAnsiTheme="majorBidi" w:cstheme="majorBidi"/>
          <w:lang w:val="en-AU"/>
        </w:rPr>
        <w:t xml:space="preserve"> opinion how might notional estate legislation interfere with: </w:t>
      </w:r>
    </w:p>
    <w:p w14:paraId="4CAAA390" w14:textId="71B77912" w:rsidR="00AC6D38" w:rsidRPr="004C5271" w:rsidRDefault="00467A38" w:rsidP="00467A38">
      <w:pPr>
        <w:pStyle w:val="NumberlessNormalText"/>
        <w:pBdr>
          <w:top w:val="single" w:sz="4" w:space="1" w:color="auto"/>
          <w:left w:val="single" w:sz="4" w:space="1" w:color="auto"/>
          <w:bottom w:val="single" w:sz="4" w:space="1" w:color="auto"/>
          <w:right w:val="single" w:sz="4" w:space="1" w:color="auto"/>
        </w:pBdr>
        <w:tabs>
          <w:tab w:val="clear" w:pos="709"/>
          <w:tab w:val="left" w:pos="851"/>
        </w:tabs>
        <w:ind w:left="426" w:right="57" w:hanging="369"/>
        <w:rPr>
          <w:rFonts w:asciiTheme="majorBidi" w:hAnsiTheme="majorBidi" w:cstheme="majorBidi"/>
          <w:lang w:val="en-AU"/>
        </w:rPr>
      </w:pPr>
      <w:r w:rsidRPr="004C5271">
        <w:rPr>
          <w:rFonts w:asciiTheme="majorBidi" w:hAnsiTheme="majorBidi" w:cstheme="majorBidi"/>
          <w:lang w:val="en-AU"/>
        </w:rPr>
        <w:tab/>
        <w:t>(a)</w:t>
      </w:r>
      <w:r w:rsidRPr="004C5271">
        <w:rPr>
          <w:rFonts w:asciiTheme="majorBidi" w:hAnsiTheme="majorBidi" w:cstheme="majorBidi"/>
          <w:lang w:val="en-AU"/>
        </w:rPr>
        <w:tab/>
      </w:r>
      <w:r w:rsidR="00AC6D38" w:rsidRPr="004C5271">
        <w:rPr>
          <w:rFonts w:asciiTheme="majorBidi" w:hAnsiTheme="majorBidi" w:cstheme="majorBidi"/>
          <w:lang w:val="en-AU"/>
        </w:rPr>
        <w:t>tax planning;</w:t>
      </w:r>
    </w:p>
    <w:p w14:paraId="4951B736" w14:textId="26AC9D54" w:rsidR="00AC6D38" w:rsidRPr="004C5271" w:rsidRDefault="00467A38" w:rsidP="00467A38">
      <w:pPr>
        <w:pStyle w:val="NumberlessNormalText"/>
        <w:pBdr>
          <w:top w:val="single" w:sz="4" w:space="1" w:color="auto"/>
          <w:left w:val="single" w:sz="4" w:space="1" w:color="auto"/>
          <w:bottom w:val="single" w:sz="4" w:space="1" w:color="auto"/>
          <w:right w:val="single" w:sz="4" w:space="1" w:color="auto"/>
        </w:pBdr>
        <w:tabs>
          <w:tab w:val="clear" w:pos="709"/>
          <w:tab w:val="left" w:pos="851"/>
        </w:tabs>
        <w:ind w:left="426" w:right="57" w:hanging="369"/>
        <w:rPr>
          <w:rFonts w:asciiTheme="majorBidi" w:hAnsiTheme="majorBidi" w:cstheme="majorBidi"/>
          <w:lang w:val="en-AU"/>
        </w:rPr>
      </w:pPr>
      <w:r w:rsidRPr="004C5271">
        <w:rPr>
          <w:rFonts w:asciiTheme="majorBidi" w:hAnsiTheme="majorBidi" w:cstheme="majorBidi"/>
          <w:lang w:val="en-AU"/>
        </w:rPr>
        <w:tab/>
        <w:t>(b)</w:t>
      </w:r>
      <w:r w:rsidRPr="004C5271">
        <w:rPr>
          <w:rFonts w:asciiTheme="majorBidi" w:hAnsiTheme="majorBidi" w:cstheme="majorBidi"/>
          <w:lang w:val="en-AU"/>
        </w:rPr>
        <w:tab/>
      </w:r>
      <w:r w:rsidR="00AC6D38" w:rsidRPr="004C5271">
        <w:rPr>
          <w:rFonts w:asciiTheme="majorBidi" w:hAnsiTheme="majorBidi" w:cstheme="majorBidi"/>
          <w:lang w:val="en-AU"/>
        </w:rPr>
        <w:t xml:space="preserve">asset protection </w:t>
      </w:r>
      <w:r w:rsidR="004C0512" w:rsidRPr="004C5271">
        <w:rPr>
          <w:rFonts w:asciiTheme="majorBidi" w:hAnsiTheme="majorBidi" w:cstheme="majorBidi"/>
          <w:lang w:val="en-AU"/>
        </w:rPr>
        <w:t>arrangements</w:t>
      </w:r>
      <w:r w:rsidR="00AC6D38" w:rsidRPr="004C5271">
        <w:rPr>
          <w:rFonts w:asciiTheme="majorBidi" w:hAnsiTheme="majorBidi" w:cstheme="majorBidi"/>
          <w:lang w:val="en-AU"/>
        </w:rPr>
        <w:t xml:space="preserve">; </w:t>
      </w:r>
    </w:p>
    <w:p w14:paraId="5EEE5BAC" w14:textId="471C67AC" w:rsidR="00AC6D38" w:rsidRPr="004C5271" w:rsidRDefault="00467A38" w:rsidP="00467A38">
      <w:pPr>
        <w:pStyle w:val="NumberlessNormalText"/>
        <w:pBdr>
          <w:top w:val="single" w:sz="4" w:space="1" w:color="auto"/>
          <w:left w:val="single" w:sz="4" w:space="1" w:color="auto"/>
          <w:bottom w:val="single" w:sz="4" w:space="1" w:color="auto"/>
          <w:right w:val="single" w:sz="4" w:space="1" w:color="auto"/>
        </w:pBdr>
        <w:tabs>
          <w:tab w:val="clear" w:pos="709"/>
          <w:tab w:val="left" w:pos="851"/>
        </w:tabs>
        <w:ind w:left="426" w:right="57" w:hanging="369"/>
        <w:rPr>
          <w:rFonts w:asciiTheme="majorBidi" w:hAnsiTheme="majorBidi" w:cstheme="majorBidi"/>
          <w:lang w:val="en-AU"/>
        </w:rPr>
      </w:pPr>
      <w:r w:rsidRPr="004C5271">
        <w:rPr>
          <w:rFonts w:asciiTheme="majorBidi" w:hAnsiTheme="majorBidi" w:cstheme="majorBidi"/>
          <w:lang w:val="en-AU"/>
        </w:rPr>
        <w:tab/>
        <w:t>(c)</w:t>
      </w:r>
      <w:r w:rsidRPr="004C5271">
        <w:rPr>
          <w:rFonts w:asciiTheme="majorBidi" w:hAnsiTheme="majorBidi" w:cstheme="majorBidi"/>
          <w:lang w:val="en-AU"/>
        </w:rPr>
        <w:tab/>
      </w:r>
      <w:r w:rsidR="00AC6D38" w:rsidRPr="004C5271">
        <w:rPr>
          <w:rFonts w:asciiTheme="majorBidi" w:hAnsiTheme="majorBidi" w:cstheme="majorBidi"/>
          <w:lang w:val="en-AU"/>
        </w:rPr>
        <w:t>provisions made for individuals during a person’s life;</w:t>
      </w:r>
    </w:p>
    <w:p w14:paraId="793FB324" w14:textId="27C20841" w:rsidR="00AC6D38" w:rsidRPr="004C5271" w:rsidRDefault="00467A38" w:rsidP="00467A38">
      <w:pPr>
        <w:pStyle w:val="NumberlessNormalText"/>
        <w:pBdr>
          <w:top w:val="single" w:sz="4" w:space="1" w:color="auto"/>
          <w:left w:val="single" w:sz="4" w:space="1" w:color="auto"/>
          <w:bottom w:val="single" w:sz="4" w:space="1" w:color="auto"/>
          <w:right w:val="single" w:sz="4" w:space="1" w:color="auto"/>
        </w:pBdr>
        <w:tabs>
          <w:tab w:val="clear" w:pos="709"/>
          <w:tab w:val="left" w:pos="851"/>
        </w:tabs>
        <w:ind w:left="426" w:right="57" w:hanging="369"/>
        <w:rPr>
          <w:rFonts w:asciiTheme="majorBidi" w:hAnsiTheme="majorBidi" w:cstheme="majorBidi"/>
          <w:lang w:val="en-AU"/>
        </w:rPr>
      </w:pPr>
      <w:r w:rsidRPr="004C5271">
        <w:rPr>
          <w:rFonts w:asciiTheme="majorBidi" w:hAnsiTheme="majorBidi" w:cstheme="majorBidi"/>
          <w:lang w:val="en-AU"/>
        </w:rPr>
        <w:tab/>
        <w:t>(d)</w:t>
      </w:r>
      <w:r w:rsidRPr="004C5271">
        <w:rPr>
          <w:rFonts w:asciiTheme="majorBidi" w:hAnsiTheme="majorBidi" w:cstheme="majorBidi"/>
          <w:lang w:val="en-AU"/>
        </w:rPr>
        <w:tab/>
      </w:r>
      <w:r w:rsidR="00AC6D38" w:rsidRPr="004C5271">
        <w:rPr>
          <w:rFonts w:asciiTheme="majorBidi" w:hAnsiTheme="majorBidi" w:cstheme="majorBidi"/>
          <w:lang w:val="en-AU"/>
        </w:rPr>
        <w:t>farming or business succession arrangements; or</w:t>
      </w:r>
    </w:p>
    <w:p w14:paraId="1BC86E3B" w14:textId="59C36620" w:rsidR="00AC6D38" w:rsidRPr="004C5271" w:rsidRDefault="00467A38" w:rsidP="00467A38">
      <w:pPr>
        <w:pStyle w:val="NumberlessNormalText"/>
        <w:pBdr>
          <w:top w:val="single" w:sz="4" w:space="1" w:color="auto"/>
          <w:left w:val="single" w:sz="4" w:space="1" w:color="auto"/>
          <w:bottom w:val="single" w:sz="4" w:space="1" w:color="auto"/>
          <w:right w:val="single" w:sz="4" w:space="1" w:color="auto"/>
        </w:pBdr>
        <w:tabs>
          <w:tab w:val="clear" w:pos="709"/>
          <w:tab w:val="left" w:pos="851"/>
        </w:tabs>
        <w:ind w:left="426" w:right="57" w:hanging="369"/>
        <w:rPr>
          <w:rFonts w:asciiTheme="majorBidi" w:hAnsiTheme="majorBidi" w:cstheme="majorBidi"/>
          <w:lang w:val="en-AU"/>
        </w:rPr>
      </w:pPr>
      <w:r w:rsidRPr="004C5271">
        <w:rPr>
          <w:rFonts w:asciiTheme="majorBidi" w:hAnsiTheme="majorBidi" w:cstheme="majorBidi"/>
          <w:lang w:val="en-AU"/>
        </w:rPr>
        <w:tab/>
        <w:t>(e)</w:t>
      </w:r>
      <w:r w:rsidRPr="004C5271">
        <w:rPr>
          <w:rFonts w:asciiTheme="majorBidi" w:hAnsiTheme="majorBidi" w:cstheme="majorBidi"/>
          <w:lang w:val="en-AU"/>
        </w:rPr>
        <w:tab/>
      </w:r>
      <w:r w:rsidR="00AC6D38" w:rsidRPr="004C5271">
        <w:rPr>
          <w:rFonts w:asciiTheme="majorBidi" w:hAnsiTheme="majorBidi" w:cstheme="majorBidi"/>
          <w:lang w:val="en-AU"/>
        </w:rPr>
        <w:t>other aspects of estate planning?</w:t>
      </w:r>
    </w:p>
    <w:p w14:paraId="5AE7C39C" w14:textId="30AEC259" w:rsidR="00F95696" w:rsidRPr="004C5271" w:rsidRDefault="0067087F" w:rsidP="001F1A0F">
      <w:pPr>
        <w:pStyle w:val="NormalNumberedTextTLRI"/>
        <w:rPr>
          <w:rFonts w:asciiTheme="majorBidi" w:hAnsiTheme="majorBidi" w:cstheme="majorBidi"/>
          <w:lang w:val="en-AU"/>
        </w:rPr>
      </w:pPr>
      <w:bookmarkStart w:id="127" w:name="_Toc251645"/>
      <w:bookmarkStart w:id="128" w:name="_Ref13504418"/>
      <w:bookmarkEnd w:id="127"/>
      <w:r w:rsidRPr="004C5271">
        <w:rPr>
          <w:rFonts w:asciiTheme="majorBidi" w:hAnsiTheme="majorBidi" w:cstheme="majorBidi"/>
          <w:lang w:val="en-AU"/>
        </w:rPr>
        <w:lastRenderedPageBreak/>
        <w:t xml:space="preserve">There were </w:t>
      </w:r>
      <w:r w:rsidR="00FF6EC2" w:rsidRPr="004C5271">
        <w:rPr>
          <w:rFonts w:asciiTheme="majorBidi" w:hAnsiTheme="majorBidi" w:cstheme="majorBidi"/>
          <w:lang w:val="en-AU"/>
        </w:rPr>
        <w:t xml:space="preserve">12 </w:t>
      </w:r>
      <w:r w:rsidRPr="004C5271">
        <w:rPr>
          <w:rFonts w:asciiTheme="majorBidi" w:hAnsiTheme="majorBidi" w:cstheme="majorBidi"/>
          <w:lang w:val="en-AU"/>
        </w:rPr>
        <w:t>responses to this question.</w:t>
      </w:r>
      <w:r w:rsidR="00246098" w:rsidRPr="004C5271">
        <w:rPr>
          <w:rStyle w:val="FootnoteReference"/>
          <w:rFonts w:asciiTheme="majorBidi" w:hAnsiTheme="majorBidi" w:cstheme="majorBidi"/>
          <w:lang w:val="en-AU"/>
        </w:rPr>
        <w:footnoteReference w:id="284"/>
      </w:r>
      <w:r w:rsidRPr="004C5271">
        <w:rPr>
          <w:rFonts w:asciiTheme="majorBidi" w:hAnsiTheme="majorBidi" w:cstheme="majorBidi"/>
          <w:lang w:val="en-AU"/>
        </w:rPr>
        <w:t xml:space="preserve"> </w:t>
      </w:r>
      <w:r w:rsidR="00394DC8" w:rsidRPr="004C5271">
        <w:rPr>
          <w:rFonts w:asciiTheme="majorBidi" w:hAnsiTheme="majorBidi" w:cstheme="majorBidi"/>
          <w:lang w:val="en-AU"/>
        </w:rPr>
        <w:t xml:space="preserve">Potential adverse consequences raised </w:t>
      </w:r>
      <w:r w:rsidR="00F95696" w:rsidRPr="004C5271">
        <w:rPr>
          <w:rFonts w:asciiTheme="majorBidi" w:hAnsiTheme="majorBidi" w:cstheme="majorBidi"/>
          <w:lang w:val="en-AU"/>
        </w:rPr>
        <w:t>included:</w:t>
      </w:r>
      <w:bookmarkEnd w:id="128"/>
    </w:p>
    <w:p w14:paraId="28A096F5" w14:textId="66CDD67B" w:rsidR="00F95696" w:rsidRPr="004C5271" w:rsidRDefault="00246098" w:rsidP="00F95696">
      <w:pPr>
        <w:pStyle w:val="DotPointTLRI"/>
        <w:rPr>
          <w:rFonts w:asciiTheme="majorBidi" w:hAnsiTheme="majorBidi" w:cstheme="majorBidi"/>
          <w:lang w:val="en-AU"/>
        </w:rPr>
      </w:pPr>
      <w:r w:rsidRPr="004C5271">
        <w:rPr>
          <w:rFonts w:asciiTheme="majorBidi" w:hAnsiTheme="majorBidi" w:cstheme="majorBidi"/>
          <w:lang w:val="en-AU"/>
        </w:rPr>
        <w:t>the effect upon asset protection arrangements, for example where trusts are established for asset protection purposes;</w:t>
      </w:r>
      <w:r w:rsidRPr="004C5271">
        <w:rPr>
          <w:rStyle w:val="FootnoteReference"/>
          <w:rFonts w:asciiTheme="majorBidi" w:hAnsiTheme="majorBidi" w:cstheme="majorBidi"/>
          <w:lang w:val="en-AU"/>
        </w:rPr>
        <w:footnoteReference w:id="285"/>
      </w:r>
    </w:p>
    <w:p w14:paraId="4885215A" w14:textId="2BF144A7" w:rsidR="00043B1C" w:rsidRPr="004C5271" w:rsidRDefault="00246098" w:rsidP="00624C50">
      <w:pPr>
        <w:pStyle w:val="DotPointTLRI"/>
        <w:rPr>
          <w:rFonts w:asciiTheme="majorBidi" w:hAnsiTheme="majorBidi" w:cstheme="majorBidi"/>
          <w:lang w:val="en-AU"/>
        </w:rPr>
      </w:pPr>
      <w:r w:rsidRPr="004C5271">
        <w:rPr>
          <w:rFonts w:asciiTheme="majorBidi" w:hAnsiTheme="majorBidi" w:cstheme="majorBidi"/>
          <w:lang w:val="en-AU"/>
        </w:rPr>
        <w:t>the potential impact upon tax planning strategies</w:t>
      </w:r>
      <w:r w:rsidRPr="004C5271">
        <w:rPr>
          <w:rStyle w:val="FootnoteReference"/>
          <w:rFonts w:asciiTheme="majorBidi" w:hAnsiTheme="majorBidi" w:cstheme="majorBidi"/>
          <w:lang w:val="en-AU"/>
        </w:rPr>
        <w:footnoteReference w:id="286"/>
      </w:r>
      <w:r w:rsidR="00394DC8" w:rsidRPr="004C5271">
        <w:rPr>
          <w:rFonts w:asciiTheme="majorBidi" w:hAnsiTheme="majorBidi" w:cstheme="majorBidi"/>
          <w:lang w:val="en-AU"/>
        </w:rPr>
        <w:t xml:space="preserve"> including </w:t>
      </w:r>
      <w:r w:rsidR="00043B1C" w:rsidRPr="004C5271">
        <w:rPr>
          <w:rFonts w:asciiTheme="majorBidi" w:hAnsiTheme="majorBidi" w:cstheme="majorBidi"/>
          <w:lang w:val="en-AU"/>
        </w:rPr>
        <w:t>the potential for adverse taxation consequences if, for example, superannuation is paid to non-dependants;</w:t>
      </w:r>
      <w:r w:rsidR="00043B1C" w:rsidRPr="004C5271">
        <w:rPr>
          <w:rStyle w:val="FootnoteReference"/>
          <w:rFonts w:asciiTheme="majorBidi" w:hAnsiTheme="majorBidi" w:cstheme="majorBidi"/>
          <w:lang w:val="en-AU"/>
        </w:rPr>
        <w:footnoteReference w:id="287"/>
      </w:r>
    </w:p>
    <w:p w14:paraId="627392DE" w14:textId="2B41F53D" w:rsidR="00246098" w:rsidRPr="004C5271" w:rsidRDefault="00246098" w:rsidP="00F95696">
      <w:pPr>
        <w:pStyle w:val="DotPointTLRI"/>
        <w:rPr>
          <w:rFonts w:asciiTheme="majorBidi" w:hAnsiTheme="majorBidi" w:cstheme="majorBidi"/>
          <w:lang w:val="en-AU"/>
        </w:rPr>
      </w:pPr>
      <w:r w:rsidRPr="004C5271">
        <w:rPr>
          <w:rFonts w:asciiTheme="majorBidi" w:hAnsiTheme="majorBidi" w:cstheme="majorBidi"/>
          <w:lang w:val="en-AU"/>
        </w:rPr>
        <w:t>the impact upon gifts made for individuals during a person’s life;</w:t>
      </w:r>
      <w:r w:rsidRPr="004C5271">
        <w:rPr>
          <w:rStyle w:val="FootnoteReference"/>
          <w:rFonts w:asciiTheme="majorBidi" w:hAnsiTheme="majorBidi" w:cstheme="majorBidi"/>
          <w:lang w:val="en-AU"/>
        </w:rPr>
        <w:footnoteReference w:id="288"/>
      </w:r>
      <w:r w:rsidR="00C01C7E" w:rsidRPr="004C5271">
        <w:rPr>
          <w:rFonts w:asciiTheme="majorBidi" w:hAnsiTheme="majorBidi" w:cstheme="majorBidi"/>
          <w:lang w:val="en-AU"/>
        </w:rPr>
        <w:t xml:space="preserve"> and</w:t>
      </w:r>
    </w:p>
    <w:p w14:paraId="123496DF" w14:textId="59125509" w:rsidR="00246098" w:rsidRPr="004C5271" w:rsidRDefault="00246098" w:rsidP="00F95696">
      <w:pPr>
        <w:pStyle w:val="DotPointTLRI"/>
        <w:rPr>
          <w:rFonts w:asciiTheme="majorBidi" w:hAnsiTheme="majorBidi" w:cstheme="majorBidi"/>
          <w:lang w:val="en-AU"/>
        </w:rPr>
      </w:pPr>
      <w:r w:rsidRPr="004C5271">
        <w:rPr>
          <w:rFonts w:asciiTheme="majorBidi" w:hAnsiTheme="majorBidi" w:cstheme="majorBidi"/>
          <w:lang w:val="en-AU"/>
        </w:rPr>
        <w:t xml:space="preserve">that it undermines estate planning strategies, </w:t>
      </w:r>
      <w:r w:rsidR="00C36992" w:rsidRPr="004C5271">
        <w:rPr>
          <w:rFonts w:asciiTheme="majorBidi" w:hAnsiTheme="majorBidi" w:cstheme="majorBidi"/>
          <w:lang w:val="en-AU"/>
        </w:rPr>
        <w:t>particularly where a</w:t>
      </w:r>
      <w:r w:rsidR="00176B63" w:rsidRPr="004C5271">
        <w:rPr>
          <w:rFonts w:asciiTheme="majorBidi" w:hAnsiTheme="majorBidi" w:cstheme="majorBidi"/>
          <w:lang w:val="en-AU"/>
        </w:rPr>
        <w:t xml:space="preserve"> person </w:t>
      </w:r>
      <w:r w:rsidR="00C36992" w:rsidRPr="004C5271">
        <w:rPr>
          <w:rFonts w:asciiTheme="majorBidi" w:hAnsiTheme="majorBidi" w:cstheme="majorBidi"/>
          <w:lang w:val="en-AU"/>
        </w:rPr>
        <w:t>dies shortly after completing a restructuring of their affairs</w:t>
      </w:r>
      <w:r w:rsidR="00C01C7E" w:rsidRPr="004C5271">
        <w:rPr>
          <w:rFonts w:asciiTheme="majorBidi" w:hAnsiTheme="majorBidi" w:cstheme="majorBidi"/>
          <w:lang w:val="en-AU"/>
        </w:rPr>
        <w:t>.</w:t>
      </w:r>
      <w:r w:rsidR="00C36992" w:rsidRPr="004C5271">
        <w:rPr>
          <w:rStyle w:val="FootnoteReference"/>
          <w:rFonts w:asciiTheme="majorBidi" w:hAnsiTheme="majorBidi" w:cstheme="majorBidi"/>
          <w:lang w:val="en-AU"/>
        </w:rPr>
        <w:footnoteReference w:id="289"/>
      </w:r>
      <w:r w:rsidRPr="004C5271">
        <w:rPr>
          <w:rFonts w:asciiTheme="majorBidi" w:hAnsiTheme="majorBidi" w:cstheme="majorBidi"/>
          <w:lang w:val="en-AU"/>
        </w:rPr>
        <w:t xml:space="preserve"> </w:t>
      </w:r>
    </w:p>
    <w:p w14:paraId="0ACC6CFE" w14:textId="034F59D5" w:rsidR="00246098" w:rsidRPr="004C5271" w:rsidRDefault="00246098" w:rsidP="001F1A0F">
      <w:pPr>
        <w:pStyle w:val="NormalNumberedTextTLRI"/>
        <w:rPr>
          <w:rFonts w:asciiTheme="majorBidi" w:hAnsiTheme="majorBidi" w:cstheme="majorBidi"/>
          <w:lang w:val="en-AU"/>
        </w:rPr>
      </w:pPr>
      <w:r w:rsidRPr="004C5271">
        <w:rPr>
          <w:rFonts w:asciiTheme="majorBidi" w:hAnsiTheme="majorBidi" w:cstheme="majorBidi"/>
          <w:lang w:val="en-AU"/>
        </w:rPr>
        <w:t>In acknowledging that notional estate provisions</w:t>
      </w:r>
      <w:r w:rsidR="00394DC8" w:rsidRPr="004C5271">
        <w:rPr>
          <w:rFonts w:asciiTheme="majorBidi" w:hAnsiTheme="majorBidi" w:cstheme="majorBidi"/>
          <w:lang w:val="en-AU"/>
        </w:rPr>
        <w:t xml:space="preserve"> could have adverse consequences</w:t>
      </w:r>
      <w:r w:rsidRPr="004C5271">
        <w:rPr>
          <w:rFonts w:asciiTheme="majorBidi" w:hAnsiTheme="majorBidi" w:cstheme="majorBidi"/>
          <w:lang w:val="en-AU"/>
        </w:rPr>
        <w:t xml:space="preserve">, </w:t>
      </w:r>
      <w:r w:rsidR="00C768A8" w:rsidRPr="004C5271">
        <w:rPr>
          <w:rFonts w:asciiTheme="majorBidi" w:hAnsiTheme="majorBidi" w:cstheme="majorBidi"/>
          <w:lang w:val="en-AU"/>
        </w:rPr>
        <w:t xml:space="preserve">lawyer </w:t>
      </w:r>
      <w:r w:rsidRPr="004C5271">
        <w:rPr>
          <w:rFonts w:asciiTheme="majorBidi" w:hAnsiTheme="majorBidi" w:cstheme="majorBidi"/>
          <w:lang w:val="en-AU"/>
        </w:rPr>
        <w:t xml:space="preserve">Steven Bishop </w:t>
      </w:r>
      <w:r w:rsidR="00A40065" w:rsidRPr="004C5271">
        <w:rPr>
          <w:rFonts w:asciiTheme="majorBidi" w:hAnsiTheme="majorBidi" w:cstheme="majorBidi"/>
          <w:lang w:val="en-AU"/>
        </w:rPr>
        <w:t>expressed the view</w:t>
      </w:r>
      <w:r w:rsidRPr="004C5271">
        <w:rPr>
          <w:rFonts w:asciiTheme="majorBidi" w:hAnsiTheme="majorBidi" w:cstheme="majorBidi"/>
          <w:lang w:val="en-AU"/>
        </w:rPr>
        <w:t xml:space="preserve"> that upholding the objectives of the </w:t>
      </w:r>
      <w:r w:rsidRPr="004C5271">
        <w:rPr>
          <w:rFonts w:asciiTheme="majorBidi" w:hAnsiTheme="majorBidi" w:cstheme="majorBidi"/>
          <w:i/>
          <w:lang w:val="en-AU"/>
        </w:rPr>
        <w:t>TFM Act</w:t>
      </w:r>
      <w:r w:rsidRPr="004C5271">
        <w:rPr>
          <w:rFonts w:asciiTheme="majorBidi" w:hAnsiTheme="majorBidi" w:cstheme="majorBidi"/>
          <w:lang w:val="en-AU"/>
        </w:rPr>
        <w:t xml:space="preserve"> </w:t>
      </w:r>
      <w:r w:rsidR="00B7595D" w:rsidRPr="004C5271">
        <w:rPr>
          <w:rFonts w:asciiTheme="majorBidi" w:hAnsiTheme="majorBidi" w:cstheme="majorBidi"/>
          <w:lang w:val="en-AU"/>
        </w:rPr>
        <w:t>is of</w:t>
      </w:r>
      <w:r w:rsidR="00A40065" w:rsidRPr="004C5271">
        <w:rPr>
          <w:rFonts w:asciiTheme="majorBidi" w:hAnsiTheme="majorBidi" w:cstheme="majorBidi"/>
          <w:lang w:val="en-AU"/>
        </w:rPr>
        <w:t xml:space="preserve"> </w:t>
      </w:r>
      <w:r w:rsidRPr="004C5271">
        <w:rPr>
          <w:rFonts w:asciiTheme="majorBidi" w:hAnsiTheme="majorBidi" w:cstheme="majorBidi"/>
          <w:lang w:val="en-AU"/>
        </w:rPr>
        <w:t>greater importance:</w:t>
      </w:r>
    </w:p>
    <w:p w14:paraId="6D6B23CB" w14:textId="4F2C38AB" w:rsidR="00246098" w:rsidRPr="004C5271" w:rsidRDefault="00246098" w:rsidP="00F23920">
      <w:pPr>
        <w:pStyle w:val="QuoteTLRI"/>
        <w:rPr>
          <w:rFonts w:asciiTheme="majorBidi" w:hAnsiTheme="majorBidi" w:cstheme="majorBidi"/>
        </w:rPr>
      </w:pPr>
      <w:r w:rsidRPr="004C5271">
        <w:rPr>
          <w:rFonts w:asciiTheme="majorBidi" w:hAnsiTheme="majorBidi" w:cstheme="majorBidi"/>
        </w:rPr>
        <w:t>It may interfere with the listed matters</w:t>
      </w:r>
      <w:r w:rsidR="00A40065" w:rsidRPr="004C5271">
        <w:rPr>
          <w:rFonts w:asciiTheme="majorBidi" w:hAnsiTheme="majorBidi" w:cstheme="majorBidi"/>
        </w:rPr>
        <w:t xml:space="preserve"> [included in Question 4]</w:t>
      </w:r>
      <w:r w:rsidRPr="004C5271">
        <w:rPr>
          <w:rFonts w:asciiTheme="majorBidi" w:hAnsiTheme="majorBidi" w:cstheme="majorBidi"/>
        </w:rPr>
        <w:t xml:space="preserve">. In my view, that would only be to the extent that it is necessary to achieve compliance with the obligations under the TFM Act. Those matters are of a lesser priority than the need to comply with the TFM </w:t>
      </w:r>
      <w:proofErr w:type="gramStart"/>
      <w:r w:rsidRPr="004C5271">
        <w:rPr>
          <w:rFonts w:asciiTheme="majorBidi" w:hAnsiTheme="majorBidi" w:cstheme="majorBidi"/>
        </w:rPr>
        <w:t>Act, and</w:t>
      </w:r>
      <w:proofErr w:type="gramEnd"/>
      <w:r w:rsidRPr="004C5271">
        <w:rPr>
          <w:rFonts w:asciiTheme="majorBidi" w:hAnsiTheme="majorBidi" w:cstheme="majorBidi"/>
        </w:rPr>
        <w:t xml:space="preserve"> should therefore yield to that small extent. I note that they are all matters upon which parties would be receiving legal or other professional advice, and there is no reason to think that such advice cannot encompass suitable compromises. This is a lesser evil than allowing untrammelled freedom of testamentary </w:t>
      </w:r>
      <w:r w:rsidRPr="004C5271">
        <w:rPr>
          <w:rFonts w:asciiTheme="majorBidi" w:hAnsiTheme="majorBidi" w:cstheme="majorBidi"/>
        </w:rPr>
        <w:lastRenderedPageBreak/>
        <w:t>disposition to set at nothin</w:t>
      </w:r>
      <w:r w:rsidR="001501F8" w:rsidRPr="004C5271">
        <w:rPr>
          <w:rFonts w:asciiTheme="majorBidi" w:hAnsiTheme="majorBidi" w:cstheme="majorBidi"/>
        </w:rPr>
        <w:t>g</w:t>
      </w:r>
      <w:r w:rsidRPr="004C5271">
        <w:rPr>
          <w:rFonts w:asciiTheme="majorBidi" w:hAnsiTheme="majorBidi" w:cstheme="majorBidi"/>
        </w:rPr>
        <w:t xml:space="preserve"> the proper social objectives of the TFM Act.</w:t>
      </w:r>
    </w:p>
    <w:p w14:paraId="27B0F876" w14:textId="5F920F34" w:rsidR="006104A7" w:rsidRPr="004C5271" w:rsidRDefault="00C60A44" w:rsidP="002516C5">
      <w:pPr>
        <w:pStyle w:val="NormalNumberedTextTLRI"/>
        <w:rPr>
          <w:rFonts w:asciiTheme="majorBidi" w:hAnsiTheme="majorBidi" w:cstheme="majorBidi"/>
          <w:lang w:val="en-AU"/>
        </w:rPr>
      </w:pPr>
      <w:r w:rsidRPr="004C5271">
        <w:rPr>
          <w:rFonts w:asciiTheme="majorBidi" w:hAnsiTheme="majorBidi" w:cstheme="majorBidi"/>
          <w:lang w:val="en-AU"/>
        </w:rPr>
        <w:t xml:space="preserve">Lawyers, </w:t>
      </w:r>
      <w:r w:rsidR="006104A7" w:rsidRPr="004C5271">
        <w:rPr>
          <w:rFonts w:asciiTheme="majorBidi" w:hAnsiTheme="majorBidi" w:cstheme="majorBidi"/>
          <w:lang w:val="en-AU"/>
        </w:rPr>
        <w:t xml:space="preserve">Christine Schokman, Dexter Marcenko and Michael Flanagan also noted that </w:t>
      </w:r>
      <w:r w:rsidR="009500B3" w:rsidRPr="004C5271">
        <w:rPr>
          <w:rFonts w:asciiTheme="majorBidi" w:hAnsiTheme="majorBidi" w:cstheme="majorBidi"/>
          <w:lang w:val="en-AU"/>
        </w:rPr>
        <w:t xml:space="preserve">any adverse consequences </w:t>
      </w:r>
      <w:r w:rsidR="000D5FE0" w:rsidRPr="004C5271">
        <w:rPr>
          <w:rFonts w:asciiTheme="majorBidi" w:hAnsiTheme="majorBidi" w:cstheme="majorBidi"/>
          <w:lang w:val="en-AU"/>
        </w:rPr>
        <w:t xml:space="preserve">in making </w:t>
      </w:r>
      <w:r w:rsidR="009500B3" w:rsidRPr="004C5271">
        <w:rPr>
          <w:rFonts w:asciiTheme="majorBidi" w:hAnsiTheme="majorBidi" w:cstheme="majorBidi"/>
          <w:lang w:val="en-AU"/>
        </w:rPr>
        <w:t>a notional estate order would be a factor that the court would consider:</w:t>
      </w:r>
    </w:p>
    <w:p w14:paraId="307E0A9D" w14:textId="77777777" w:rsidR="006104A7" w:rsidRPr="004C5271" w:rsidRDefault="006104A7" w:rsidP="00F23920">
      <w:pPr>
        <w:pStyle w:val="QuoteTLRI"/>
        <w:rPr>
          <w:rFonts w:asciiTheme="majorBidi" w:hAnsiTheme="majorBidi" w:cstheme="majorBidi"/>
        </w:rPr>
      </w:pPr>
      <w:r w:rsidRPr="004C5271">
        <w:rPr>
          <w:rFonts w:asciiTheme="majorBidi" w:hAnsiTheme="majorBidi" w:cstheme="majorBidi"/>
        </w:rPr>
        <w:t xml:space="preserve">The courts under Part 3.3 of the </w:t>
      </w:r>
      <w:r w:rsidRPr="004C5271">
        <w:rPr>
          <w:rFonts w:asciiTheme="majorBidi" w:hAnsiTheme="majorBidi" w:cstheme="majorBidi"/>
          <w:i/>
          <w:iCs/>
        </w:rPr>
        <w:t>Succession Act 2006</w:t>
      </w:r>
      <w:r w:rsidRPr="004C5271">
        <w:rPr>
          <w:rFonts w:asciiTheme="majorBidi" w:hAnsiTheme="majorBidi" w:cstheme="majorBidi"/>
        </w:rPr>
        <w:t xml:space="preserve"> (NSW) are required to consider the difficulties which may be caused if they are asked to exercise their jurisdiction to make provision from notional estate. Similar provisions in Tasmania would afford protection against undue interference with transactions which are </w:t>
      </w:r>
      <w:proofErr w:type="gramStart"/>
      <w:r w:rsidRPr="004C5271">
        <w:rPr>
          <w:rFonts w:asciiTheme="majorBidi" w:hAnsiTheme="majorBidi" w:cstheme="majorBidi"/>
        </w:rPr>
        <w:t>effected</w:t>
      </w:r>
      <w:proofErr w:type="gramEnd"/>
      <w:r w:rsidRPr="004C5271">
        <w:rPr>
          <w:rFonts w:asciiTheme="majorBidi" w:hAnsiTheme="majorBidi" w:cstheme="majorBidi"/>
        </w:rPr>
        <w:t xml:space="preserve"> pre-death. </w:t>
      </w:r>
    </w:p>
    <w:p w14:paraId="10E642BB" w14:textId="31947C06" w:rsidR="006104A7" w:rsidRPr="004C5271" w:rsidRDefault="006104A7" w:rsidP="00F23920">
      <w:pPr>
        <w:pStyle w:val="QuoteTLRI"/>
        <w:rPr>
          <w:rFonts w:asciiTheme="majorBidi" w:hAnsiTheme="majorBidi" w:cstheme="majorBidi"/>
        </w:rPr>
      </w:pPr>
      <w:r w:rsidRPr="004C5271">
        <w:rPr>
          <w:rFonts w:asciiTheme="majorBidi" w:hAnsiTheme="majorBidi" w:cstheme="majorBidi"/>
        </w:rPr>
        <w:t xml:space="preserve">There is also a large body </w:t>
      </w:r>
      <w:r w:rsidR="00C768A8" w:rsidRPr="004C5271">
        <w:rPr>
          <w:rFonts w:asciiTheme="majorBidi" w:hAnsiTheme="majorBidi" w:cstheme="majorBidi"/>
        </w:rPr>
        <w:t xml:space="preserve">of </w:t>
      </w:r>
      <w:r w:rsidRPr="004C5271">
        <w:rPr>
          <w:rFonts w:asciiTheme="majorBidi" w:hAnsiTheme="majorBidi" w:cstheme="majorBidi"/>
        </w:rPr>
        <w:t xml:space="preserve">legislation and common law which considers the adverse consequences which may be given rise </w:t>
      </w:r>
      <w:r w:rsidR="00C768A8" w:rsidRPr="004C5271">
        <w:rPr>
          <w:rFonts w:asciiTheme="majorBidi" w:hAnsiTheme="majorBidi" w:cstheme="majorBidi"/>
        </w:rPr>
        <w:t xml:space="preserve">to </w:t>
      </w:r>
      <w:r w:rsidRPr="004C5271">
        <w:rPr>
          <w:rFonts w:asciiTheme="majorBidi" w:hAnsiTheme="majorBidi" w:cstheme="majorBidi"/>
        </w:rPr>
        <w:t>as a result of other statutory provisions which prohibit attempts to defeat the due operation of statutory regimes. Parliamentary Counsel can no doubt draw upon the lessons of these statutory and common law principles.</w:t>
      </w:r>
    </w:p>
    <w:p w14:paraId="4C2DB73A" w14:textId="30D74A2E" w:rsidR="002516C5" w:rsidRPr="004C5271" w:rsidRDefault="002516C5" w:rsidP="002516C5">
      <w:pPr>
        <w:pStyle w:val="NormalNumberedTextTLRI"/>
        <w:rPr>
          <w:rFonts w:asciiTheme="majorBidi" w:hAnsiTheme="majorBidi" w:cstheme="majorBidi"/>
          <w:lang w:val="en-AU"/>
        </w:rPr>
      </w:pPr>
      <w:bookmarkStart w:id="129" w:name="_Ref13503472"/>
      <w:r w:rsidRPr="004C5271">
        <w:rPr>
          <w:rFonts w:asciiTheme="majorBidi" w:hAnsiTheme="majorBidi" w:cstheme="majorBidi"/>
          <w:lang w:val="en-AU"/>
        </w:rPr>
        <w:t>In contrast,</w:t>
      </w:r>
      <w:r w:rsidR="00A40065" w:rsidRPr="004C5271">
        <w:rPr>
          <w:rFonts w:asciiTheme="majorBidi" w:hAnsiTheme="majorBidi" w:cstheme="majorBidi"/>
          <w:lang w:val="en-AU"/>
        </w:rPr>
        <w:t xml:space="preserve"> </w:t>
      </w:r>
      <w:r w:rsidR="00C15A11" w:rsidRPr="004C5271">
        <w:rPr>
          <w:rFonts w:asciiTheme="majorBidi" w:hAnsiTheme="majorBidi" w:cstheme="majorBidi"/>
          <w:lang w:val="en-AU"/>
        </w:rPr>
        <w:t>three</w:t>
      </w:r>
      <w:r w:rsidR="00A40065" w:rsidRPr="004C5271">
        <w:rPr>
          <w:rFonts w:asciiTheme="majorBidi" w:hAnsiTheme="majorBidi" w:cstheme="majorBidi"/>
          <w:lang w:val="en-AU"/>
        </w:rPr>
        <w:t xml:space="preserve"> respondents</w:t>
      </w:r>
      <w:r w:rsidR="00A40065" w:rsidRPr="004C5271">
        <w:rPr>
          <w:rStyle w:val="FootnoteReference"/>
          <w:rFonts w:asciiTheme="majorBidi" w:hAnsiTheme="majorBidi" w:cstheme="majorBidi"/>
          <w:lang w:val="en-AU"/>
        </w:rPr>
        <w:footnoteReference w:id="290"/>
      </w:r>
      <w:r w:rsidR="00A40065" w:rsidRPr="004C5271">
        <w:rPr>
          <w:rFonts w:asciiTheme="majorBidi" w:hAnsiTheme="majorBidi" w:cstheme="majorBidi"/>
          <w:lang w:val="en-AU"/>
        </w:rPr>
        <w:t xml:space="preserve"> expressed an opposing view, stating that notional estate laws would disadvantage more individuals than they would benefit. One commented that </w:t>
      </w:r>
      <w:r w:rsidR="00F23920" w:rsidRPr="004C5271">
        <w:rPr>
          <w:rFonts w:asciiTheme="majorBidi" w:hAnsiTheme="majorBidi" w:cstheme="majorBidi"/>
          <w:lang w:val="en-AU"/>
        </w:rPr>
        <w:t>‘</w:t>
      </w:r>
      <w:r w:rsidRPr="004C5271">
        <w:rPr>
          <w:rFonts w:asciiTheme="majorBidi" w:hAnsiTheme="majorBidi" w:cstheme="majorBidi"/>
          <w:lang w:val="en-AU"/>
        </w:rPr>
        <w:t>many more would suffer their ill effects than those for whom they might benefit.</w:t>
      </w:r>
      <w:r w:rsidR="00F23920"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291"/>
      </w:r>
      <w:r w:rsidR="00754E04" w:rsidRPr="004C5271">
        <w:rPr>
          <w:rFonts w:asciiTheme="majorBidi" w:hAnsiTheme="majorBidi" w:cstheme="majorBidi"/>
          <w:lang w:val="en-AU"/>
        </w:rPr>
        <w:t xml:space="preserve"> </w:t>
      </w:r>
      <w:r w:rsidR="00C15A11" w:rsidRPr="004C5271">
        <w:rPr>
          <w:rFonts w:asciiTheme="majorBidi" w:hAnsiTheme="majorBidi" w:cstheme="majorBidi"/>
          <w:lang w:val="en-AU"/>
        </w:rPr>
        <w:t>Justin McMullen submitted:</w:t>
      </w:r>
      <w:bookmarkEnd w:id="129"/>
    </w:p>
    <w:p w14:paraId="1F3776D4" w14:textId="5B75C936" w:rsidR="00C15A11" w:rsidRPr="004C5271" w:rsidRDefault="00C15A11" w:rsidP="00F23920">
      <w:pPr>
        <w:pStyle w:val="QuoteTLRI"/>
        <w:rPr>
          <w:rFonts w:asciiTheme="majorBidi" w:hAnsiTheme="majorBidi" w:cstheme="majorBidi"/>
        </w:rPr>
      </w:pPr>
      <w:r w:rsidRPr="004C5271">
        <w:rPr>
          <w:rFonts w:asciiTheme="majorBidi" w:hAnsiTheme="majorBidi" w:cstheme="majorBidi"/>
        </w:rPr>
        <w:t xml:space="preserve">[notional estate legislation would] introduce a substantial impost onto every testator who might wish to structure their affairs for tax minimalisation, asset protection, protection of beneficiaries, balancing between different categories of beneficiaries in melded relationships and many other valid forms of structuring </w:t>
      </w:r>
      <w:r w:rsidR="00F23920" w:rsidRPr="004C5271">
        <w:rPr>
          <w:rFonts w:asciiTheme="majorBidi" w:hAnsiTheme="majorBidi" w:cstheme="majorBidi"/>
        </w:rPr>
        <w:t>—</w:t>
      </w:r>
      <w:r w:rsidRPr="004C5271">
        <w:rPr>
          <w:rFonts w:asciiTheme="majorBidi" w:hAnsiTheme="majorBidi" w:cstheme="majorBidi"/>
        </w:rPr>
        <w:t xml:space="preserve"> none of which is designed to deny provision to beneficiaries who are due adequate provision for their proper maintenance and support after the death of the testator.</w:t>
      </w:r>
    </w:p>
    <w:p w14:paraId="234DB48B" w14:textId="75D8F1A1" w:rsidR="006569DD" w:rsidRPr="004C5271" w:rsidRDefault="006569DD" w:rsidP="00161265">
      <w:pPr>
        <w:pStyle w:val="NumberedHeadingTLRI"/>
        <w:rPr>
          <w:rFonts w:asciiTheme="majorBidi" w:hAnsiTheme="majorBidi" w:cstheme="majorBidi"/>
          <w:lang w:val="en-AU"/>
        </w:rPr>
      </w:pPr>
      <w:bookmarkStart w:id="130" w:name="_Toc12268967"/>
      <w:r w:rsidRPr="004C5271">
        <w:rPr>
          <w:rFonts w:asciiTheme="majorBidi" w:hAnsiTheme="majorBidi" w:cstheme="majorBidi"/>
          <w:lang w:val="en-AU"/>
        </w:rPr>
        <w:lastRenderedPageBreak/>
        <w:t>Should Tasmania introduce notional estate legislation?</w:t>
      </w:r>
      <w:bookmarkEnd w:id="130"/>
      <w:r w:rsidRPr="004C5271">
        <w:rPr>
          <w:rFonts w:asciiTheme="majorBidi" w:hAnsiTheme="majorBidi" w:cstheme="majorBidi"/>
          <w:lang w:val="en-AU"/>
        </w:rPr>
        <w:t xml:space="preserve"> </w:t>
      </w:r>
    </w:p>
    <w:p w14:paraId="5B044A12" w14:textId="143FB643" w:rsidR="001D5753" w:rsidRPr="004C5271" w:rsidRDefault="006569DD" w:rsidP="006569DD">
      <w:pPr>
        <w:pStyle w:val="NormalNumberedTextTLRI"/>
        <w:rPr>
          <w:rFonts w:asciiTheme="majorBidi" w:hAnsiTheme="majorBidi" w:cstheme="majorBidi"/>
          <w:lang w:val="en-AU"/>
        </w:rPr>
      </w:pPr>
      <w:r w:rsidRPr="004C5271">
        <w:rPr>
          <w:rFonts w:asciiTheme="majorBidi" w:hAnsiTheme="majorBidi" w:cstheme="majorBidi"/>
          <w:lang w:val="en-AU"/>
        </w:rPr>
        <w:t xml:space="preserve">Answers to previous questions </w:t>
      </w:r>
      <w:r w:rsidR="00116FB3" w:rsidRPr="004C5271">
        <w:rPr>
          <w:rFonts w:asciiTheme="majorBidi" w:hAnsiTheme="majorBidi" w:cstheme="majorBidi"/>
          <w:lang w:val="en-AU"/>
        </w:rPr>
        <w:t>elicited</w:t>
      </w:r>
      <w:r w:rsidRPr="004C5271">
        <w:rPr>
          <w:rFonts w:asciiTheme="majorBidi" w:hAnsiTheme="majorBidi" w:cstheme="majorBidi"/>
          <w:lang w:val="en-AU"/>
        </w:rPr>
        <w:t xml:space="preserve"> that there is at least a percentage of </w:t>
      </w:r>
      <w:r w:rsidR="00034518" w:rsidRPr="004C5271">
        <w:rPr>
          <w:rFonts w:asciiTheme="majorBidi" w:hAnsiTheme="majorBidi" w:cstheme="majorBidi"/>
          <w:lang w:val="en-AU"/>
        </w:rPr>
        <w:t xml:space="preserve">potential claimants who have been unable to pursue claims under the </w:t>
      </w:r>
      <w:r w:rsidR="00034518" w:rsidRPr="004C5271">
        <w:rPr>
          <w:rFonts w:asciiTheme="majorBidi" w:hAnsiTheme="majorBidi" w:cstheme="majorBidi"/>
          <w:i/>
          <w:lang w:val="en-AU"/>
        </w:rPr>
        <w:t>TFM Act</w:t>
      </w:r>
      <w:r w:rsidR="00034518" w:rsidRPr="004C5271">
        <w:rPr>
          <w:rFonts w:asciiTheme="majorBidi" w:hAnsiTheme="majorBidi" w:cstheme="majorBidi"/>
          <w:lang w:val="en-AU"/>
        </w:rPr>
        <w:t xml:space="preserve"> because assets</w:t>
      </w:r>
      <w:r w:rsidR="00116FB3" w:rsidRPr="004C5271">
        <w:rPr>
          <w:rFonts w:asciiTheme="majorBidi" w:hAnsiTheme="majorBidi" w:cstheme="majorBidi"/>
          <w:lang w:val="en-AU"/>
        </w:rPr>
        <w:t xml:space="preserve"> </w:t>
      </w:r>
      <w:r w:rsidR="00034518" w:rsidRPr="004C5271">
        <w:rPr>
          <w:rFonts w:asciiTheme="majorBidi" w:hAnsiTheme="majorBidi" w:cstheme="majorBidi"/>
          <w:lang w:val="en-AU"/>
        </w:rPr>
        <w:t>were</w:t>
      </w:r>
      <w:r w:rsidR="003318B6" w:rsidRPr="004C5271">
        <w:rPr>
          <w:rFonts w:asciiTheme="majorBidi" w:hAnsiTheme="majorBidi" w:cstheme="majorBidi"/>
          <w:lang w:val="en-AU"/>
        </w:rPr>
        <w:t xml:space="preserve"> held or </w:t>
      </w:r>
      <w:r w:rsidR="00034518" w:rsidRPr="004C5271">
        <w:rPr>
          <w:rFonts w:asciiTheme="majorBidi" w:hAnsiTheme="majorBidi" w:cstheme="majorBidi"/>
          <w:lang w:val="en-AU"/>
        </w:rPr>
        <w:t>distributed outside of the estate environment</w:t>
      </w:r>
      <w:r w:rsidR="00B263E7" w:rsidRPr="004C5271">
        <w:rPr>
          <w:rFonts w:asciiTheme="majorBidi" w:hAnsiTheme="majorBidi" w:cstheme="majorBidi"/>
          <w:lang w:val="en-AU"/>
        </w:rPr>
        <w:t xml:space="preserve">. </w:t>
      </w:r>
      <w:r w:rsidR="00034518" w:rsidRPr="004C5271">
        <w:rPr>
          <w:rFonts w:asciiTheme="majorBidi" w:hAnsiTheme="majorBidi" w:cstheme="majorBidi"/>
          <w:lang w:val="en-AU"/>
        </w:rPr>
        <w:t>There were</w:t>
      </w:r>
      <w:r w:rsidR="00B263E7" w:rsidRPr="004C5271">
        <w:rPr>
          <w:rFonts w:asciiTheme="majorBidi" w:hAnsiTheme="majorBidi" w:cstheme="majorBidi"/>
          <w:lang w:val="en-AU"/>
        </w:rPr>
        <w:t xml:space="preserve"> diverse and conflicting views </w:t>
      </w:r>
      <w:r w:rsidR="00116FB3" w:rsidRPr="004C5271">
        <w:rPr>
          <w:rFonts w:asciiTheme="majorBidi" w:hAnsiTheme="majorBidi" w:cstheme="majorBidi"/>
          <w:lang w:val="en-AU"/>
        </w:rPr>
        <w:t xml:space="preserve">amongst </w:t>
      </w:r>
      <w:r w:rsidR="00034518" w:rsidRPr="004C5271">
        <w:rPr>
          <w:rFonts w:asciiTheme="majorBidi" w:hAnsiTheme="majorBidi" w:cstheme="majorBidi"/>
          <w:lang w:val="en-AU"/>
        </w:rPr>
        <w:t>respondents</w:t>
      </w:r>
      <w:r w:rsidR="00116FB3" w:rsidRPr="004C5271">
        <w:rPr>
          <w:rFonts w:asciiTheme="majorBidi" w:hAnsiTheme="majorBidi" w:cstheme="majorBidi"/>
          <w:lang w:val="en-AU"/>
        </w:rPr>
        <w:t xml:space="preserve"> </w:t>
      </w:r>
      <w:r w:rsidR="00B263E7" w:rsidRPr="004C5271">
        <w:rPr>
          <w:rFonts w:asciiTheme="majorBidi" w:hAnsiTheme="majorBidi" w:cstheme="majorBidi"/>
          <w:lang w:val="en-AU"/>
        </w:rPr>
        <w:t xml:space="preserve">about whether </w:t>
      </w:r>
      <w:r w:rsidR="00116FB3" w:rsidRPr="004C5271">
        <w:rPr>
          <w:rFonts w:asciiTheme="majorBidi" w:hAnsiTheme="majorBidi" w:cstheme="majorBidi"/>
          <w:lang w:val="en-AU"/>
        </w:rPr>
        <w:t>present</w:t>
      </w:r>
      <w:r w:rsidR="00B263E7" w:rsidRPr="004C5271">
        <w:rPr>
          <w:rFonts w:asciiTheme="majorBidi" w:hAnsiTheme="majorBidi" w:cstheme="majorBidi"/>
          <w:lang w:val="en-AU"/>
        </w:rPr>
        <w:t xml:space="preserve"> </w:t>
      </w:r>
      <w:r w:rsidR="00116FB3" w:rsidRPr="004C5271">
        <w:rPr>
          <w:rFonts w:asciiTheme="majorBidi" w:hAnsiTheme="majorBidi" w:cstheme="majorBidi"/>
          <w:lang w:val="en-AU"/>
        </w:rPr>
        <w:t>arrangements</w:t>
      </w:r>
      <w:r w:rsidR="00B263E7" w:rsidRPr="004C5271">
        <w:rPr>
          <w:rFonts w:asciiTheme="majorBidi" w:hAnsiTheme="majorBidi" w:cstheme="majorBidi"/>
          <w:lang w:val="en-AU"/>
        </w:rPr>
        <w:t xml:space="preserve"> are appropriate. </w:t>
      </w:r>
    </w:p>
    <w:p w14:paraId="42943324" w14:textId="56AB64D1" w:rsidR="006569DD" w:rsidRPr="004C5271" w:rsidRDefault="001D5753" w:rsidP="006569DD">
      <w:pPr>
        <w:pStyle w:val="NormalNumberedTextTLRI"/>
        <w:rPr>
          <w:rFonts w:asciiTheme="majorBidi" w:hAnsiTheme="majorBidi" w:cstheme="majorBidi"/>
          <w:lang w:val="en-AU"/>
        </w:rPr>
      </w:pPr>
      <w:r w:rsidRPr="004C5271">
        <w:rPr>
          <w:rFonts w:asciiTheme="majorBidi" w:hAnsiTheme="majorBidi" w:cstheme="majorBidi"/>
          <w:lang w:val="en-AU"/>
        </w:rPr>
        <w:t>The Issues Paper asked</w:t>
      </w:r>
      <w:r w:rsidR="00116FB3" w:rsidRPr="004C5271">
        <w:rPr>
          <w:rFonts w:asciiTheme="majorBidi" w:hAnsiTheme="majorBidi" w:cstheme="majorBidi"/>
          <w:lang w:val="en-AU"/>
        </w:rPr>
        <w:t xml:space="preserve"> respondents for their views about whether notional estate legislation should be introduced in Tasmania:</w:t>
      </w:r>
    </w:p>
    <w:p w14:paraId="087326AF" w14:textId="77777777"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b/>
          <w:bCs/>
          <w:lang w:val="en-AU"/>
        </w:rPr>
      </w:pPr>
      <w:r w:rsidRPr="004C5271">
        <w:rPr>
          <w:rFonts w:asciiTheme="majorBidi" w:hAnsiTheme="majorBidi" w:cstheme="majorBidi"/>
          <w:b/>
          <w:bCs/>
          <w:lang w:val="en-AU"/>
        </w:rPr>
        <w:t>Question 3</w:t>
      </w:r>
    </w:p>
    <w:p w14:paraId="449FC949" w14:textId="77777777"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Please indicate your level of support (if any) for the following proposition: ‘notional estate legislation should be introduced in Tasmania’:</w:t>
      </w:r>
    </w:p>
    <w:p w14:paraId="40F9DAD3" w14:textId="77777777" w:rsidR="006569DD" w:rsidRPr="004C5271" w:rsidRDefault="006569DD" w:rsidP="00361F30">
      <w:pPr>
        <w:pStyle w:val="NumberlessNormalText"/>
        <w:keepN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1. strongly agree;</w:t>
      </w:r>
    </w:p>
    <w:p w14:paraId="4C4C9A4E" w14:textId="77777777"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2. agree;</w:t>
      </w:r>
    </w:p>
    <w:p w14:paraId="31C89161" w14:textId="77777777"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3. somewhat agree;</w:t>
      </w:r>
    </w:p>
    <w:p w14:paraId="767E176B" w14:textId="77777777"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4. neutral/no view;</w:t>
      </w:r>
    </w:p>
    <w:p w14:paraId="5E555443" w14:textId="77777777"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5. somewhat disagree;</w:t>
      </w:r>
    </w:p>
    <w:p w14:paraId="0A8E79DE" w14:textId="77777777"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6. disagree;</w:t>
      </w:r>
    </w:p>
    <w:p w14:paraId="279DE7DB" w14:textId="77777777"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7. strongly disagree.</w:t>
      </w:r>
    </w:p>
    <w:p w14:paraId="027399EC" w14:textId="6B89FC38" w:rsidR="006569DD" w:rsidRPr="004C5271" w:rsidRDefault="006569DD" w:rsidP="003B4DA8">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Please provide reasons explaining your view.</w:t>
      </w:r>
    </w:p>
    <w:p w14:paraId="4661523F" w14:textId="4B3483B6" w:rsidR="00116FB3" w:rsidRPr="004C5271" w:rsidRDefault="008C457F" w:rsidP="008C457F">
      <w:pPr>
        <w:pStyle w:val="NormalNumberedTextTLRI"/>
        <w:rPr>
          <w:rFonts w:asciiTheme="majorBidi" w:hAnsiTheme="majorBidi" w:cstheme="majorBidi"/>
          <w:lang w:val="en-AU"/>
        </w:rPr>
      </w:pPr>
      <w:bookmarkStart w:id="131" w:name="_Ref13503369"/>
      <w:r w:rsidRPr="004C5271">
        <w:rPr>
          <w:rFonts w:asciiTheme="majorBidi" w:hAnsiTheme="majorBidi" w:cstheme="majorBidi"/>
          <w:lang w:val="en-AU"/>
        </w:rPr>
        <w:lastRenderedPageBreak/>
        <w:t xml:space="preserve">There were </w:t>
      </w:r>
      <w:r w:rsidR="00FF6EC2" w:rsidRPr="004C5271">
        <w:rPr>
          <w:rFonts w:asciiTheme="majorBidi" w:hAnsiTheme="majorBidi" w:cstheme="majorBidi"/>
          <w:lang w:val="en-AU"/>
        </w:rPr>
        <w:t xml:space="preserve">25 </w:t>
      </w:r>
      <w:r w:rsidRPr="004C5271">
        <w:rPr>
          <w:rFonts w:asciiTheme="majorBidi" w:hAnsiTheme="majorBidi" w:cstheme="majorBidi"/>
          <w:lang w:val="en-AU"/>
        </w:rPr>
        <w:t xml:space="preserve">responses to this question. </w:t>
      </w:r>
      <w:r w:rsidR="00EE6BAA" w:rsidRPr="004C5271">
        <w:rPr>
          <w:rFonts w:asciiTheme="majorBidi" w:hAnsiTheme="majorBidi" w:cstheme="majorBidi"/>
          <w:lang w:val="en-AU"/>
        </w:rPr>
        <w:t>Ten</w:t>
      </w:r>
      <w:r w:rsidR="000027E1" w:rsidRPr="004C5271">
        <w:rPr>
          <w:rFonts w:asciiTheme="majorBidi" w:hAnsiTheme="majorBidi" w:cstheme="majorBidi"/>
          <w:lang w:val="en-AU"/>
        </w:rPr>
        <w:t xml:space="preserve"> (</w:t>
      </w:r>
      <w:r w:rsidR="00FF6EC2" w:rsidRPr="004C5271">
        <w:rPr>
          <w:rFonts w:asciiTheme="majorBidi" w:hAnsiTheme="majorBidi" w:cstheme="majorBidi"/>
          <w:lang w:val="en-AU"/>
        </w:rPr>
        <w:t>40</w:t>
      </w:r>
      <w:r w:rsidR="000027E1" w:rsidRPr="004C5271">
        <w:rPr>
          <w:rFonts w:asciiTheme="majorBidi" w:hAnsiTheme="majorBidi" w:cstheme="majorBidi"/>
          <w:lang w:val="en-AU"/>
        </w:rPr>
        <w:t xml:space="preserve">%) </w:t>
      </w:r>
      <w:r w:rsidR="0094504F" w:rsidRPr="004C5271">
        <w:rPr>
          <w:rFonts w:asciiTheme="majorBidi" w:hAnsiTheme="majorBidi" w:cstheme="majorBidi"/>
          <w:lang w:val="en-AU"/>
        </w:rPr>
        <w:t>either agreed</w:t>
      </w:r>
      <w:r w:rsidR="0094504F" w:rsidRPr="004C5271">
        <w:rPr>
          <w:rStyle w:val="FootnoteReference"/>
          <w:rFonts w:asciiTheme="majorBidi" w:hAnsiTheme="majorBidi" w:cstheme="majorBidi"/>
          <w:lang w:val="en-AU"/>
        </w:rPr>
        <w:footnoteReference w:id="292"/>
      </w:r>
      <w:r w:rsidR="0094504F" w:rsidRPr="004C5271">
        <w:rPr>
          <w:rFonts w:asciiTheme="majorBidi" w:hAnsiTheme="majorBidi" w:cstheme="majorBidi"/>
          <w:lang w:val="en-AU"/>
        </w:rPr>
        <w:t xml:space="preserve"> or </w:t>
      </w:r>
      <w:r w:rsidR="000027E1" w:rsidRPr="004C5271">
        <w:rPr>
          <w:rFonts w:asciiTheme="majorBidi" w:hAnsiTheme="majorBidi" w:cstheme="majorBidi"/>
          <w:lang w:val="en-AU"/>
        </w:rPr>
        <w:t>strongly agreed</w:t>
      </w:r>
      <w:r w:rsidR="0094504F" w:rsidRPr="004C5271">
        <w:rPr>
          <w:rStyle w:val="FootnoteReference"/>
          <w:rFonts w:asciiTheme="majorBidi" w:hAnsiTheme="majorBidi" w:cstheme="majorBidi"/>
          <w:lang w:val="en-AU"/>
        </w:rPr>
        <w:footnoteReference w:id="293"/>
      </w:r>
      <w:r w:rsidR="000027E1" w:rsidRPr="004C5271">
        <w:rPr>
          <w:rFonts w:asciiTheme="majorBidi" w:hAnsiTheme="majorBidi" w:cstheme="majorBidi"/>
          <w:lang w:val="en-AU"/>
        </w:rPr>
        <w:t xml:space="preserve"> that notional estate legislation should be introduced, whilst </w:t>
      </w:r>
      <w:r w:rsidR="00FF6EC2" w:rsidRPr="004C5271">
        <w:rPr>
          <w:rFonts w:asciiTheme="majorBidi" w:hAnsiTheme="majorBidi" w:cstheme="majorBidi"/>
          <w:lang w:val="en-AU"/>
        </w:rPr>
        <w:t>15</w:t>
      </w:r>
      <w:r w:rsidR="00361F30">
        <w:rPr>
          <w:rFonts w:asciiTheme="majorBidi" w:hAnsiTheme="majorBidi" w:cstheme="majorBidi"/>
          <w:lang w:val="en-AU"/>
        </w:rPr>
        <w:t xml:space="preserve"> </w:t>
      </w:r>
      <w:r w:rsidR="000027E1" w:rsidRPr="004C5271">
        <w:rPr>
          <w:rFonts w:asciiTheme="majorBidi" w:hAnsiTheme="majorBidi" w:cstheme="majorBidi"/>
          <w:lang w:val="en-AU"/>
        </w:rPr>
        <w:t>(</w:t>
      </w:r>
      <w:r w:rsidR="0094504F" w:rsidRPr="004C5271">
        <w:rPr>
          <w:rFonts w:asciiTheme="majorBidi" w:hAnsiTheme="majorBidi" w:cstheme="majorBidi"/>
          <w:lang w:val="en-AU"/>
        </w:rPr>
        <w:t>6</w:t>
      </w:r>
      <w:r w:rsidR="00FF6EC2" w:rsidRPr="004C5271">
        <w:rPr>
          <w:rFonts w:asciiTheme="majorBidi" w:hAnsiTheme="majorBidi" w:cstheme="majorBidi"/>
          <w:lang w:val="en-AU"/>
        </w:rPr>
        <w:t>0</w:t>
      </w:r>
      <w:r w:rsidR="000027E1" w:rsidRPr="004C5271">
        <w:rPr>
          <w:rFonts w:asciiTheme="majorBidi" w:hAnsiTheme="majorBidi" w:cstheme="majorBidi"/>
          <w:lang w:val="en-AU"/>
        </w:rPr>
        <w:t xml:space="preserve">%) </w:t>
      </w:r>
      <w:r w:rsidR="0094504F" w:rsidRPr="004C5271">
        <w:rPr>
          <w:rFonts w:asciiTheme="majorBidi" w:hAnsiTheme="majorBidi" w:cstheme="majorBidi"/>
          <w:lang w:val="en-AU"/>
        </w:rPr>
        <w:t>either opposed</w:t>
      </w:r>
      <w:r w:rsidR="0094504F" w:rsidRPr="004C5271">
        <w:rPr>
          <w:rStyle w:val="FootnoteReference"/>
          <w:rFonts w:asciiTheme="majorBidi" w:hAnsiTheme="majorBidi" w:cstheme="majorBidi"/>
          <w:lang w:val="en-AU"/>
        </w:rPr>
        <w:footnoteReference w:id="294"/>
      </w:r>
      <w:r w:rsidR="0094504F" w:rsidRPr="004C5271">
        <w:rPr>
          <w:rFonts w:asciiTheme="majorBidi" w:hAnsiTheme="majorBidi" w:cstheme="majorBidi"/>
          <w:lang w:val="en-AU"/>
        </w:rPr>
        <w:t xml:space="preserve"> or </w:t>
      </w:r>
      <w:r w:rsidR="000027E1" w:rsidRPr="004C5271">
        <w:rPr>
          <w:rFonts w:asciiTheme="majorBidi" w:hAnsiTheme="majorBidi" w:cstheme="majorBidi"/>
          <w:lang w:val="en-AU"/>
        </w:rPr>
        <w:t>strongly opposed</w:t>
      </w:r>
      <w:r w:rsidR="0094504F" w:rsidRPr="004C5271">
        <w:rPr>
          <w:rStyle w:val="FootnoteReference"/>
          <w:rFonts w:asciiTheme="majorBidi" w:hAnsiTheme="majorBidi" w:cstheme="majorBidi"/>
          <w:lang w:val="en-AU"/>
        </w:rPr>
        <w:footnoteReference w:id="295"/>
      </w:r>
      <w:r w:rsidR="000027E1" w:rsidRPr="004C5271">
        <w:rPr>
          <w:rFonts w:asciiTheme="majorBidi" w:hAnsiTheme="majorBidi" w:cstheme="majorBidi"/>
          <w:lang w:val="en-AU"/>
        </w:rPr>
        <w:t xml:space="preserve"> reform. </w:t>
      </w:r>
      <w:r w:rsidR="00D00565" w:rsidRPr="004C5271">
        <w:rPr>
          <w:rFonts w:asciiTheme="majorBidi" w:hAnsiTheme="majorBidi" w:cstheme="majorBidi"/>
          <w:lang w:val="en-AU"/>
        </w:rPr>
        <w:t>Accounting for the fact that some submissions were made jointly, there were 19 individual respondents</w:t>
      </w:r>
      <w:r w:rsidR="003F5BEB" w:rsidRPr="004C5271">
        <w:rPr>
          <w:rStyle w:val="FootnoteReference"/>
          <w:rFonts w:asciiTheme="majorBidi" w:hAnsiTheme="majorBidi" w:cstheme="majorBidi"/>
          <w:lang w:val="en-AU"/>
        </w:rPr>
        <w:footnoteReference w:id="296"/>
      </w:r>
      <w:r w:rsidR="00EE6BAA" w:rsidRPr="004C5271">
        <w:rPr>
          <w:rFonts w:asciiTheme="majorBidi" w:hAnsiTheme="majorBidi" w:cstheme="majorBidi"/>
          <w:lang w:val="en-AU"/>
        </w:rPr>
        <w:t xml:space="preserve"> </w:t>
      </w:r>
      <w:r w:rsidR="00D00565" w:rsidRPr="004C5271">
        <w:rPr>
          <w:rFonts w:asciiTheme="majorBidi" w:hAnsiTheme="majorBidi" w:cstheme="majorBidi"/>
          <w:lang w:val="en-AU"/>
        </w:rPr>
        <w:t xml:space="preserve">who either agreed or strongly agreed with the introduction of notional estate legislation, with </w:t>
      </w:r>
      <w:r w:rsidR="00FF6EC2" w:rsidRPr="004C5271">
        <w:rPr>
          <w:rFonts w:asciiTheme="majorBidi" w:hAnsiTheme="majorBidi" w:cstheme="majorBidi"/>
          <w:lang w:val="en-AU"/>
        </w:rPr>
        <w:t xml:space="preserve">12 </w:t>
      </w:r>
      <w:r w:rsidR="00D00565" w:rsidRPr="004C5271">
        <w:rPr>
          <w:rFonts w:asciiTheme="majorBidi" w:hAnsiTheme="majorBidi" w:cstheme="majorBidi"/>
          <w:lang w:val="en-AU"/>
        </w:rPr>
        <w:t xml:space="preserve">individuals and </w:t>
      </w:r>
      <w:r w:rsidR="003F5BEB" w:rsidRPr="004C5271">
        <w:rPr>
          <w:rFonts w:asciiTheme="majorBidi" w:hAnsiTheme="majorBidi" w:cstheme="majorBidi"/>
          <w:lang w:val="en-AU"/>
        </w:rPr>
        <w:t>two</w:t>
      </w:r>
      <w:r w:rsidR="00D00565" w:rsidRPr="004C5271">
        <w:rPr>
          <w:rFonts w:asciiTheme="majorBidi" w:hAnsiTheme="majorBidi" w:cstheme="majorBidi"/>
          <w:lang w:val="en-AU"/>
        </w:rPr>
        <w:t xml:space="preserve"> organisations opposing reform.</w:t>
      </w:r>
      <w:bookmarkEnd w:id="131"/>
    </w:p>
    <w:p w14:paraId="244632D7" w14:textId="21580147" w:rsidR="001D734C" w:rsidRPr="004C5271" w:rsidRDefault="001D734C" w:rsidP="008C457F">
      <w:pPr>
        <w:pStyle w:val="NormalNumberedTextTLRI"/>
        <w:rPr>
          <w:rFonts w:asciiTheme="majorBidi" w:hAnsiTheme="majorBidi" w:cstheme="majorBidi"/>
          <w:lang w:val="en-AU"/>
        </w:rPr>
      </w:pPr>
      <w:r w:rsidRPr="004C5271">
        <w:rPr>
          <w:rFonts w:asciiTheme="majorBidi" w:hAnsiTheme="majorBidi" w:cstheme="majorBidi"/>
          <w:lang w:val="en-AU"/>
        </w:rPr>
        <w:t xml:space="preserve">The following </w:t>
      </w:r>
      <w:r w:rsidR="00C76CC1" w:rsidRPr="004C5271">
        <w:rPr>
          <w:rFonts w:asciiTheme="majorBidi" w:hAnsiTheme="majorBidi" w:cstheme="majorBidi"/>
          <w:lang w:val="en-AU"/>
        </w:rPr>
        <w:t xml:space="preserve">section </w:t>
      </w:r>
      <w:r w:rsidRPr="004C5271">
        <w:rPr>
          <w:rFonts w:asciiTheme="majorBidi" w:hAnsiTheme="majorBidi" w:cstheme="majorBidi"/>
          <w:lang w:val="en-AU"/>
        </w:rPr>
        <w:t>outline</w:t>
      </w:r>
      <w:r w:rsidR="00C76CC1" w:rsidRPr="004C5271">
        <w:rPr>
          <w:rFonts w:asciiTheme="majorBidi" w:hAnsiTheme="majorBidi" w:cstheme="majorBidi"/>
          <w:lang w:val="en-AU"/>
        </w:rPr>
        <w:t>s</w:t>
      </w:r>
      <w:r w:rsidRPr="004C5271">
        <w:rPr>
          <w:rFonts w:asciiTheme="majorBidi" w:hAnsiTheme="majorBidi" w:cstheme="majorBidi"/>
          <w:lang w:val="en-AU"/>
        </w:rPr>
        <w:t xml:space="preserve"> the feedback received both for and against enactment of notional estate provisions in Tasmania. </w:t>
      </w:r>
    </w:p>
    <w:p w14:paraId="71F9A302" w14:textId="13D0769E" w:rsidR="009F3D4D" w:rsidRPr="004C5271" w:rsidRDefault="009F3D4D" w:rsidP="009F3D4D">
      <w:pPr>
        <w:pStyle w:val="NumberedHeadingTLRI"/>
        <w:rPr>
          <w:rFonts w:asciiTheme="majorBidi" w:hAnsiTheme="majorBidi" w:cstheme="majorBidi"/>
          <w:lang w:val="en-AU"/>
        </w:rPr>
      </w:pPr>
      <w:bookmarkStart w:id="132" w:name="_Toc12268968"/>
      <w:bookmarkStart w:id="133" w:name="_Ref13159574"/>
      <w:bookmarkStart w:id="134" w:name="_Ref17311367"/>
      <w:r w:rsidRPr="004C5271">
        <w:rPr>
          <w:rFonts w:asciiTheme="majorBidi" w:hAnsiTheme="majorBidi" w:cstheme="majorBidi"/>
          <w:lang w:val="en-AU"/>
        </w:rPr>
        <w:t>Arguments against notional estate provisions</w:t>
      </w:r>
      <w:bookmarkEnd w:id="132"/>
      <w:bookmarkEnd w:id="133"/>
      <w:bookmarkEnd w:id="134"/>
    </w:p>
    <w:p w14:paraId="041FA437" w14:textId="7E0E8FE9" w:rsidR="001D734C" w:rsidRPr="004C5271" w:rsidRDefault="00D00565" w:rsidP="001D734C">
      <w:pPr>
        <w:pStyle w:val="NormalNumberedTextTLRI"/>
        <w:rPr>
          <w:rFonts w:asciiTheme="majorBidi" w:hAnsiTheme="majorBidi" w:cstheme="majorBidi"/>
          <w:lang w:val="en-AU"/>
        </w:rPr>
      </w:pPr>
      <w:r w:rsidRPr="004C5271">
        <w:rPr>
          <w:rFonts w:asciiTheme="majorBidi" w:hAnsiTheme="majorBidi" w:cstheme="majorBidi"/>
          <w:lang w:val="en-AU"/>
        </w:rPr>
        <w:t>Sixteen</w:t>
      </w:r>
      <w:r w:rsidR="001D734C" w:rsidRPr="004C5271">
        <w:rPr>
          <w:rFonts w:asciiTheme="majorBidi" w:hAnsiTheme="majorBidi" w:cstheme="majorBidi"/>
          <w:lang w:val="en-AU"/>
        </w:rPr>
        <w:t xml:space="preserve"> </w:t>
      </w:r>
      <w:r w:rsidRPr="004C5271">
        <w:rPr>
          <w:rFonts w:asciiTheme="majorBidi" w:hAnsiTheme="majorBidi" w:cstheme="majorBidi"/>
          <w:lang w:val="en-AU"/>
        </w:rPr>
        <w:t>submissions</w:t>
      </w:r>
      <w:r w:rsidR="001D734C" w:rsidRPr="004C5271">
        <w:rPr>
          <w:rFonts w:asciiTheme="majorBidi" w:hAnsiTheme="majorBidi" w:cstheme="majorBidi"/>
          <w:lang w:val="en-AU"/>
        </w:rPr>
        <w:t xml:space="preserve"> expressed objection to </w:t>
      </w:r>
      <w:r w:rsidR="001310CF" w:rsidRPr="004C5271">
        <w:rPr>
          <w:rFonts w:asciiTheme="majorBidi" w:hAnsiTheme="majorBidi" w:cstheme="majorBidi"/>
          <w:lang w:val="en-AU"/>
        </w:rPr>
        <w:t xml:space="preserve">the </w:t>
      </w:r>
      <w:r w:rsidR="001D734C" w:rsidRPr="004C5271">
        <w:rPr>
          <w:rFonts w:asciiTheme="majorBidi" w:hAnsiTheme="majorBidi" w:cstheme="majorBidi"/>
          <w:lang w:val="en-AU"/>
        </w:rPr>
        <w:t xml:space="preserve">introduction of notional estate legislation. Reasons given are summarised </w:t>
      </w:r>
      <w:r w:rsidR="004F7350">
        <w:rPr>
          <w:rFonts w:asciiTheme="majorBidi" w:hAnsiTheme="majorBidi" w:cstheme="majorBidi"/>
          <w:lang w:val="en-AU"/>
        </w:rPr>
        <w:t>below</w:t>
      </w:r>
      <w:r w:rsidR="001D734C" w:rsidRPr="004C5271">
        <w:rPr>
          <w:rFonts w:asciiTheme="majorBidi" w:hAnsiTheme="majorBidi" w:cstheme="majorBidi"/>
          <w:lang w:val="en-AU"/>
        </w:rPr>
        <w:t xml:space="preserve">. </w:t>
      </w:r>
    </w:p>
    <w:p w14:paraId="5160C02A" w14:textId="401EDB63" w:rsidR="009F3D4D" w:rsidRPr="004C5271" w:rsidRDefault="009F3D4D" w:rsidP="00AE2B8C">
      <w:pPr>
        <w:pStyle w:val="Sub-HeadingTLRI"/>
      </w:pPr>
      <w:r w:rsidRPr="004C5271">
        <w:t xml:space="preserve">Freedom of testation and freedom of disposition </w:t>
      </w:r>
    </w:p>
    <w:p w14:paraId="07B8E759" w14:textId="5B048D6E" w:rsidR="009F3D4D" w:rsidRPr="004C5271" w:rsidRDefault="009F3D4D" w:rsidP="009F3D4D">
      <w:pPr>
        <w:pStyle w:val="NormalNumberedTextTLRI"/>
        <w:rPr>
          <w:rFonts w:asciiTheme="majorBidi" w:hAnsiTheme="majorBidi" w:cstheme="majorBidi"/>
          <w:lang w:val="en-AU"/>
        </w:rPr>
      </w:pPr>
      <w:bookmarkStart w:id="135" w:name="_Ref13302510"/>
      <w:r w:rsidRPr="004C5271">
        <w:rPr>
          <w:rFonts w:asciiTheme="majorBidi" w:hAnsiTheme="majorBidi" w:cstheme="majorBidi"/>
          <w:lang w:val="en-AU"/>
        </w:rPr>
        <w:t xml:space="preserve">The importance of individuals having freedom to decide who receives their assets on death was the most common reason conveyed in support of the view that notional estate legislation </w:t>
      </w:r>
      <w:r w:rsidR="00264C24" w:rsidRPr="004C5271">
        <w:rPr>
          <w:rFonts w:asciiTheme="majorBidi" w:hAnsiTheme="majorBidi" w:cstheme="majorBidi"/>
          <w:lang w:val="en-AU"/>
        </w:rPr>
        <w:t xml:space="preserve">should </w:t>
      </w:r>
      <w:r w:rsidRPr="004C5271">
        <w:rPr>
          <w:rFonts w:asciiTheme="majorBidi" w:hAnsiTheme="majorBidi" w:cstheme="majorBidi"/>
          <w:lang w:val="en-AU"/>
        </w:rPr>
        <w:t xml:space="preserve">not be introduced. </w:t>
      </w:r>
      <w:r w:rsidR="00B305EA" w:rsidRPr="004C5271">
        <w:rPr>
          <w:rFonts w:asciiTheme="majorBidi" w:hAnsiTheme="majorBidi" w:cstheme="majorBidi"/>
          <w:lang w:val="en-AU"/>
        </w:rPr>
        <w:t>The Elder Law Committee, for example, stated:</w:t>
      </w:r>
      <w:bookmarkEnd w:id="135"/>
    </w:p>
    <w:p w14:paraId="6A82E223" w14:textId="66B5E511" w:rsidR="00B305EA" w:rsidRPr="004C5271" w:rsidRDefault="00B305EA" w:rsidP="00EF23C5">
      <w:pPr>
        <w:pStyle w:val="QuoteTLRI"/>
        <w:rPr>
          <w:rFonts w:asciiTheme="majorBidi" w:hAnsiTheme="majorBidi" w:cstheme="majorBidi"/>
        </w:rPr>
      </w:pPr>
      <w:r w:rsidRPr="004C5271">
        <w:rPr>
          <w:rFonts w:asciiTheme="majorBidi" w:hAnsiTheme="majorBidi" w:cstheme="majorBidi"/>
        </w:rPr>
        <w:t xml:space="preserve">There are many reasons why a testator may wish to disinherit a child or children or leave them a smaller proportion of their estate. When a Will maker has worked their life building the assets in their </w:t>
      </w:r>
      <w:proofErr w:type="gramStart"/>
      <w:r w:rsidRPr="004C5271">
        <w:rPr>
          <w:rFonts w:asciiTheme="majorBidi" w:hAnsiTheme="majorBidi" w:cstheme="majorBidi"/>
        </w:rPr>
        <w:t>estate</w:t>
      </w:r>
      <w:proofErr w:type="gramEnd"/>
      <w:r w:rsidRPr="004C5271">
        <w:rPr>
          <w:rFonts w:asciiTheme="majorBidi" w:hAnsiTheme="majorBidi" w:cstheme="majorBidi"/>
        </w:rPr>
        <w:t xml:space="preserve"> they should be able to do what they want with them. It is the </w:t>
      </w:r>
      <w:r w:rsidRPr="004C5271">
        <w:rPr>
          <w:rFonts w:asciiTheme="majorBidi" w:hAnsiTheme="majorBidi" w:cstheme="majorBidi"/>
        </w:rPr>
        <w:lastRenderedPageBreak/>
        <w:t>Will maker’s property therefore they should be able to give it to who</w:t>
      </w:r>
      <w:r w:rsidR="00264C24" w:rsidRPr="004C5271">
        <w:rPr>
          <w:rFonts w:asciiTheme="majorBidi" w:hAnsiTheme="majorBidi" w:cstheme="majorBidi"/>
        </w:rPr>
        <w:t>m</w:t>
      </w:r>
      <w:r w:rsidRPr="004C5271">
        <w:rPr>
          <w:rFonts w:asciiTheme="majorBidi" w:hAnsiTheme="majorBidi" w:cstheme="majorBidi"/>
        </w:rPr>
        <w:t xml:space="preserve"> they want. Children should not have an automatic entitlement to a share of their parents’ estate.</w:t>
      </w:r>
    </w:p>
    <w:p w14:paraId="45E303E9" w14:textId="714AE5EA" w:rsidR="00F463D0" w:rsidRPr="004C5271" w:rsidRDefault="00F463D0" w:rsidP="009F3D4D">
      <w:pPr>
        <w:pStyle w:val="NormalNumberedTextTLRI"/>
        <w:rPr>
          <w:rFonts w:asciiTheme="majorBidi" w:hAnsiTheme="majorBidi" w:cstheme="majorBidi"/>
          <w:lang w:val="en-AU"/>
        </w:rPr>
      </w:pPr>
      <w:r w:rsidRPr="004C5271">
        <w:rPr>
          <w:rFonts w:asciiTheme="majorBidi" w:hAnsiTheme="majorBidi" w:cstheme="majorBidi"/>
          <w:lang w:val="en-AU"/>
        </w:rPr>
        <w:t>The Committee went on to state:</w:t>
      </w:r>
    </w:p>
    <w:p w14:paraId="6163292F" w14:textId="54BF6675" w:rsidR="00F463D0" w:rsidRPr="004C5271" w:rsidRDefault="00F463D0" w:rsidP="00EF23C5">
      <w:pPr>
        <w:pStyle w:val="QuoteTLRI"/>
        <w:rPr>
          <w:rFonts w:asciiTheme="majorBidi" w:hAnsiTheme="majorBidi" w:cstheme="majorBidi"/>
        </w:rPr>
      </w:pPr>
      <w:r w:rsidRPr="004C5271">
        <w:rPr>
          <w:rFonts w:asciiTheme="majorBidi" w:hAnsiTheme="majorBidi" w:cstheme="majorBidi"/>
        </w:rPr>
        <w:t>There are many countries around the world that operate under a system of forced heirship where a proportion of a person</w:t>
      </w:r>
      <w:r w:rsidR="00EF23C5" w:rsidRPr="004C5271">
        <w:rPr>
          <w:rFonts w:asciiTheme="majorBidi" w:hAnsiTheme="majorBidi" w:cstheme="majorBidi"/>
        </w:rPr>
        <w:t>’</w:t>
      </w:r>
      <w:r w:rsidRPr="004C5271">
        <w:rPr>
          <w:rFonts w:asciiTheme="majorBidi" w:hAnsiTheme="majorBidi" w:cstheme="majorBidi"/>
        </w:rPr>
        <w:t xml:space="preserve">s estate </w:t>
      </w:r>
      <w:proofErr w:type="gramStart"/>
      <w:r w:rsidRPr="004C5271">
        <w:rPr>
          <w:rFonts w:asciiTheme="majorBidi" w:hAnsiTheme="majorBidi" w:cstheme="majorBidi"/>
        </w:rPr>
        <w:t>has to</w:t>
      </w:r>
      <w:proofErr w:type="gramEnd"/>
      <w:r w:rsidRPr="004C5271">
        <w:rPr>
          <w:rFonts w:asciiTheme="majorBidi" w:hAnsiTheme="majorBidi" w:cstheme="majorBidi"/>
        </w:rPr>
        <w:t xml:space="preserve"> pass to certain classes of beneficiaries. In Australia we are free to give our assets to who</w:t>
      </w:r>
      <w:r w:rsidR="00264C24" w:rsidRPr="004C5271">
        <w:rPr>
          <w:rFonts w:asciiTheme="majorBidi" w:hAnsiTheme="majorBidi" w:cstheme="majorBidi"/>
        </w:rPr>
        <w:t>m</w:t>
      </w:r>
      <w:r w:rsidRPr="004C5271">
        <w:rPr>
          <w:rFonts w:asciiTheme="majorBidi" w:hAnsiTheme="majorBidi" w:cstheme="majorBidi"/>
        </w:rPr>
        <w:t>ever we want under testamentary freedom. The introduction of notional estates would severely curtail this freedom.</w:t>
      </w:r>
    </w:p>
    <w:p w14:paraId="782F082E" w14:textId="1CBD1CA9" w:rsidR="00563E3A" w:rsidRPr="004C5271" w:rsidRDefault="00563E3A" w:rsidP="009F3D4D">
      <w:pPr>
        <w:pStyle w:val="NormalNumberedTextTLRI"/>
        <w:rPr>
          <w:rFonts w:asciiTheme="majorBidi" w:hAnsiTheme="majorBidi" w:cstheme="majorBidi"/>
          <w:lang w:val="en-AU"/>
        </w:rPr>
      </w:pPr>
      <w:r w:rsidRPr="004C5271">
        <w:rPr>
          <w:rFonts w:asciiTheme="majorBidi" w:hAnsiTheme="majorBidi" w:cstheme="majorBidi"/>
          <w:lang w:val="en-AU"/>
        </w:rPr>
        <w:t>The Committee’s submission noted that</w:t>
      </w:r>
      <w:r w:rsidR="000D5FE0" w:rsidRPr="004C5271">
        <w:rPr>
          <w:rFonts w:asciiTheme="majorBidi" w:hAnsiTheme="majorBidi" w:cstheme="majorBidi"/>
          <w:lang w:val="en-AU"/>
        </w:rPr>
        <w:t xml:space="preserve"> one of its members, a litigation lawyer, held</w:t>
      </w:r>
      <w:r w:rsidRPr="004C5271">
        <w:rPr>
          <w:rFonts w:asciiTheme="majorBidi" w:hAnsiTheme="majorBidi" w:cstheme="majorBidi"/>
          <w:lang w:val="en-AU"/>
        </w:rPr>
        <w:t xml:space="preserve"> a dissenting view. </w:t>
      </w:r>
      <w:r w:rsidR="000B7623" w:rsidRPr="004C5271">
        <w:rPr>
          <w:rFonts w:asciiTheme="majorBidi" w:hAnsiTheme="majorBidi" w:cstheme="majorBidi"/>
          <w:lang w:val="en-AU"/>
        </w:rPr>
        <w:t xml:space="preserve">This dissenting </w:t>
      </w:r>
      <w:r w:rsidR="008C1714" w:rsidRPr="004C5271">
        <w:rPr>
          <w:rFonts w:asciiTheme="majorBidi" w:hAnsiTheme="majorBidi" w:cstheme="majorBidi"/>
          <w:lang w:val="en-AU"/>
        </w:rPr>
        <w:t>opinion</w:t>
      </w:r>
      <w:r w:rsidR="000B7623" w:rsidRPr="004C5271">
        <w:rPr>
          <w:rFonts w:asciiTheme="majorBidi" w:hAnsiTheme="majorBidi" w:cstheme="majorBidi"/>
          <w:lang w:val="en-AU"/>
        </w:rPr>
        <w:t xml:space="preserve"> </w:t>
      </w:r>
      <w:r w:rsidR="00D00565" w:rsidRPr="004C5271">
        <w:rPr>
          <w:rFonts w:asciiTheme="majorBidi" w:hAnsiTheme="majorBidi" w:cstheme="majorBidi"/>
          <w:lang w:val="en-AU"/>
        </w:rPr>
        <w:t>was</w:t>
      </w:r>
      <w:r w:rsidR="000B7623" w:rsidRPr="004C5271">
        <w:rPr>
          <w:rFonts w:asciiTheme="majorBidi" w:hAnsiTheme="majorBidi" w:cstheme="majorBidi"/>
          <w:lang w:val="en-AU"/>
        </w:rPr>
        <w:t xml:space="preserve"> </w:t>
      </w:r>
      <w:r w:rsidR="00D00565" w:rsidRPr="004C5271">
        <w:rPr>
          <w:rFonts w:asciiTheme="majorBidi" w:hAnsiTheme="majorBidi" w:cstheme="majorBidi"/>
          <w:lang w:val="en-AU"/>
        </w:rPr>
        <w:t>conveyed</w:t>
      </w:r>
      <w:r w:rsidR="000B7623" w:rsidRPr="004C5271">
        <w:rPr>
          <w:rFonts w:asciiTheme="majorBidi" w:hAnsiTheme="majorBidi" w:cstheme="majorBidi"/>
          <w:lang w:val="en-AU"/>
        </w:rPr>
        <w:t xml:space="preserve"> in the submission of </w:t>
      </w:r>
      <w:r w:rsidR="00640A79" w:rsidRPr="004C5271">
        <w:rPr>
          <w:rFonts w:asciiTheme="majorBidi" w:hAnsiTheme="majorBidi" w:cstheme="majorBidi"/>
          <w:lang w:val="en-AU"/>
        </w:rPr>
        <w:t xml:space="preserve">member </w:t>
      </w:r>
      <w:r w:rsidR="000B7623" w:rsidRPr="004C5271">
        <w:rPr>
          <w:rFonts w:asciiTheme="majorBidi" w:hAnsiTheme="majorBidi" w:cstheme="majorBidi"/>
          <w:lang w:val="en-AU"/>
        </w:rPr>
        <w:t xml:space="preserve">Christine Schokman, </w:t>
      </w:r>
      <w:r w:rsidR="004E2DB0" w:rsidRPr="004C5271">
        <w:rPr>
          <w:rFonts w:asciiTheme="majorBidi" w:hAnsiTheme="majorBidi" w:cstheme="majorBidi"/>
          <w:lang w:val="en-AU"/>
        </w:rPr>
        <w:t xml:space="preserve">made jointly with </w:t>
      </w:r>
      <w:r w:rsidR="000B7623" w:rsidRPr="004C5271">
        <w:rPr>
          <w:rFonts w:asciiTheme="majorBidi" w:hAnsiTheme="majorBidi" w:cstheme="majorBidi"/>
          <w:lang w:val="en-AU"/>
        </w:rPr>
        <w:t>Dexter Marcenko and Michael Flanagan</w:t>
      </w:r>
      <w:r w:rsidR="004E2DB0" w:rsidRPr="004C5271">
        <w:rPr>
          <w:rFonts w:asciiTheme="majorBidi" w:hAnsiTheme="majorBidi" w:cstheme="majorBidi"/>
          <w:lang w:val="en-AU"/>
        </w:rPr>
        <w:t xml:space="preserve">. They expressed a view that </w:t>
      </w:r>
      <w:r w:rsidR="000D5FE0" w:rsidRPr="004C5271">
        <w:rPr>
          <w:rFonts w:asciiTheme="majorBidi" w:hAnsiTheme="majorBidi" w:cstheme="majorBidi"/>
          <w:lang w:val="en-AU"/>
        </w:rPr>
        <w:t>opposition to</w:t>
      </w:r>
      <w:r w:rsidR="004E2DB0" w:rsidRPr="004C5271">
        <w:rPr>
          <w:rFonts w:asciiTheme="majorBidi" w:hAnsiTheme="majorBidi" w:cstheme="majorBidi"/>
          <w:lang w:val="en-AU"/>
        </w:rPr>
        <w:t xml:space="preserve"> notional estate legislation based </w:t>
      </w:r>
      <w:r w:rsidR="000D5FE0" w:rsidRPr="004C5271">
        <w:rPr>
          <w:rFonts w:asciiTheme="majorBidi" w:hAnsiTheme="majorBidi" w:cstheme="majorBidi"/>
          <w:lang w:val="en-AU"/>
        </w:rPr>
        <w:t>up</w:t>
      </w:r>
      <w:r w:rsidR="004E2DB0" w:rsidRPr="004C5271">
        <w:rPr>
          <w:rFonts w:asciiTheme="majorBidi" w:hAnsiTheme="majorBidi" w:cstheme="majorBidi"/>
          <w:lang w:val="en-AU"/>
        </w:rPr>
        <w:t xml:space="preserve">on testamentary freedom </w:t>
      </w:r>
      <w:r w:rsidR="000D5FE0" w:rsidRPr="004C5271">
        <w:rPr>
          <w:rFonts w:asciiTheme="majorBidi" w:hAnsiTheme="majorBidi" w:cstheme="majorBidi"/>
          <w:lang w:val="en-AU"/>
        </w:rPr>
        <w:t>is</w:t>
      </w:r>
      <w:r w:rsidR="004E2DB0" w:rsidRPr="004C5271">
        <w:rPr>
          <w:rFonts w:asciiTheme="majorBidi" w:hAnsiTheme="majorBidi" w:cstheme="majorBidi"/>
          <w:lang w:val="en-AU"/>
        </w:rPr>
        <w:t xml:space="preserve"> misguided</w:t>
      </w:r>
      <w:r w:rsidRPr="004C5271">
        <w:rPr>
          <w:rFonts w:asciiTheme="majorBidi" w:hAnsiTheme="majorBidi" w:cstheme="majorBidi"/>
          <w:lang w:val="en-AU"/>
        </w:rPr>
        <w:t>:</w:t>
      </w:r>
    </w:p>
    <w:p w14:paraId="422F7005" w14:textId="408B6178" w:rsidR="0065445D" w:rsidRPr="004C5271" w:rsidRDefault="0065445D" w:rsidP="0080274E">
      <w:pPr>
        <w:pStyle w:val="QuoteTLRI"/>
        <w:rPr>
          <w:rFonts w:asciiTheme="majorBidi" w:hAnsiTheme="majorBidi" w:cstheme="majorBidi"/>
        </w:rPr>
      </w:pPr>
      <w:r w:rsidRPr="004C5271">
        <w:rPr>
          <w:rFonts w:asciiTheme="majorBidi" w:hAnsiTheme="majorBidi" w:cstheme="majorBidi"/>
        </w:rPr>
        <w:t>Any extension of the jurisdiction of the courts under the TFM Act to allow for consideration of a notional estate does not unduly restrict testamentary freedom or stop people dealing with their assets during their lifetime as they wish. The judges exercising this jurisdiction are very cognisant of their obligations to take into consideration the wishes of a testator when faced with an application under the TFM Act.</w:t>
      </w:r>
      <w:r w:rsidR="009715D8" w:rsidRPr="004C5271">
        <w:rPr>
          <w:rFonts w:asciiTheme="majorBidi" w:hAnsiTheme="majorBidi" w:cstheme="majorBidi"/>
        </w:rPr>
        <w:t xml:space="preserve"> …</w:t>
      </w:r>
    </w:p>
    <w:p w14:paraId="4B7E2A83" w14:textId="29E06B16" w:rsidR="000B7623" w:rsidRPr="004C5271" w:rsidRDefault="000B7623" w:rsidP="009715D8">
      <w:pPr>
        <w:pStyle w:val="QuoteTLRI"/>
        <w:rPr>
          <w:rFonts w:asciiTheme="majorBidi" w:hAnsiTheme="majorBidi" w:cstheme="majorBidi"/>
        </w:rPr>
      </w:pPr>
      <w:r w:rsidRPr="004C5271">
        <w:rPr>
          <w:rFonts w:asciiTheme="majorBidi" w:hAnsiTheme="majorBidi" w:cstheme="majorBidi"/>
        </w:rPr>
        <w:t xml:space="preserve">Acts by a testator which attempt to thwart the objects of the Act would be accounted for as evidence of a deceased’s testamentary intentions. </w:t>
      </w:r>
      <w:proofErr w:type="gramStart"/>
      <w:r w:rsidRPr="004C5271">
        <w:rPr>
          <w:rFonts w:asciiTheme="majorBidi" w:hAnsiTheme="majorBidi" w:cstheme="majorBidi"/>
        </w:rPr>
        <w:t>Indeed</w:t>
      </w:r>
      <w:proofErr w:type="gramEnd"/>
      <w:r w:rsidRPr="004C5271">
        <w:rPr>
          <w:rFonts w:asciiTheme="majorBidi" w:hAnsiTheme="majorBidi" w:cstheme="majorBidi"/>
        </w:rPr>
        <w:t xml:space="preserve"> s</w:t>
      </w:r>
      <w:r w:rsidR="00264C24" w:rsidRPr="004C5271">
        <w:rPr>
          <w:rFonts w:asciiTheme="majorBidi" w:hAnsiTheme="majorBidi" w:cstheme="majorBidi"/>
        </w:rPr>
        <w:t xml:space="preserve"> </w:t>
      </w:r>
      <w:r w:rsidRPr="004C5271">
        <w:rPr>
          <w:rFonts w:asciiTheme="majorBidi" w:hAnsiTheme="majorBidi" w:cstheme="majorBidi"/>
        </w:rPr>
        <w:t xml:space="preserve">8A of the Act expressly provides that evidence as to the deceased’s reasons for their dispositions are a relevant consideration. Few other considerations are expressly enshrined in the Act. </w:t>
      </w:r>
    </w:p>
    <w:p w14:paraId="26771BB6" w14:textId="0843FB0D" w:rsidR="004A2A6C" w:rsidRPr="004C5271" w:rsidRDefault="004A2A6C" w:rsidP="004A2A6C">
      <w:pPr>
        <w:pStyle w:val="NormalNumberedTextTLRI"/>
        <w:rPr>
          <w:rFonts w:asciiTheme="majorBidi" w:hAnsiTheme="majorBidi" w:cstheme="majorBidi"/>
          <w:lang w:val="en-AU"/>
        </w:rPr>
      </w:pPr>
      <w:r w:rsidRPr="004C5271">
        <w:rPr>
          <w:rFonts w:asciiTheme="majorBidi" w:hAnsiTheme="majorBidi" w:cstheme="majorBidi"/>
          <w:lang w:val="en-AU"/>
        </w:rPr>
        <w:t>They went on to state:</w:t>
      </w:r>
    </w:p>
    <w:p w14:paraId="426ED628" w14:textId="2178EDC1" w:rsidR="004A2A6C" w:rsidRPr="004C5271" w:rsidRDefault="004A2A6C" w:rsidP="009715D8">
      <w:pPr>
        <w:pStyle w:val="QuoteTLRI"/>
        <w:rPr>
          <w:rFonts w:asciiTheme="majorBidi" w:hAnsiTheme="majorBidi" w:cstheme="majorBidi"/>
        </w:rPr>
      </w:pPr>
      <w:r w:rsidRPr="004C5271">
        <w:rPr>
          <w:rFonts w:asciiTheme="majorBidi" w:hAnsiTheme="majorBidi" w:cstheme="majorBidi"/>
        </w:rPr>
        <w:t xml:space="preserve">Citing the principle of testamentary freedom as a basis for opposing the introduction of notional estates carries limited force. The Supreme Court’s respect for the principle of testamentary </w:t>
      </w:r>
      <w:r w:rsidRPr="004C5271">
        <w:rPr>
          <w:rFonts w:asciiTheme="majorBidi" w:hAnsiTheme="majorBidi" w:cstheme="majorBidi"/>
        </w:rPr>
        <w:lastRenderedPageBreak/>
        <w:t>freedom in the course of determining proceedings under the Act is regularly expressed.</w:t>
      </w:r>
      <w:r w:rsidRPr="004C5271">
        <w:rPr>
          <w:rStyle w:val="FootnoteReference"/>
          <w:rFonts w:asciiTheme="majorBidi" w:hAnsiTheme="majorBidi" w:cstheme="majorBidi"/>
        </w:rPr>
        <w:footnoteReference w:id="297"/>
      </w:r>
      <w:r w:rsidRPr="004C5271">
        <w:rPr>
          <w:rFonts w:asciiTheme="majorBidi" w:hAnsiTheme="majorBidi" w:cstheme="majorBidi"/>
        </w:rPr>
        <w:t xml:space="preserve"> </w:t>
      </w:r>
    </w:p>
    <w:p w14:paraId="5B8FFDDF" w14:textId="6B460982" w:rsidR="009F3D4D" w:rsidRPr="004C5271" w:rsidRDefault="004A2A6C" w:rsidP="000B7623">
      <w:pPr>
        <w:pStyle w:val="NormalNumberedTextTLRI"/>
        <w:rPr>
          <w:rFonts w:asciiTheme="majorBidi" w:hAnsiTheme="majorBidi" w:cstheme="majorBidi"/>
          <w:lang w:val="en-AU"/>
        </w:rPr>
      </w:pPr>
      <w:r w:rsidRPr="004C5271">
        <w:rPr>
          <w:rFonts w:asciiTheme="majorBidi" w:hAnsiTheme="majorBidi" w:cstheme="majorBidi"/>
          <w:lang w:val="en-AU"/>
        </w:rPr>
        <w:t>F</w:t>
      </w:r>
      <w:r w:rsidR="009F3D4D" w:rsidRPr="004C5271">
        <w:rPr>
          <w:rFonts w:asciiTheme="majorBidi" w:hAnsiTheme="majorBidi" w:cstheme="majorBidi"/>
          <w:lang w:val="en-AU"/>
        </w:rPr>
        <w:t xml:space="preserve">reedom for a person to leave their assets as they wish </w:t>
      </w:r>
      <w:r w:rsidR="008E03FE" w:rsidRPr="004C5271">
        <w:rPr>
          <w:rFonts w:asciiTheme="majorBidi" w:hAnsiTheme="majorBidi" w:cstheme="majorBidi"/>
          <w:lang w:val="en-AU"/>
        </w:rPr>
        <w:t>is</w:t>
      </w:r>
      <w:r w:rsidR="009F3D4D" w:rsidRPr="004C5271">
        <w:rPr>
          <w:rFonts w:asciiTheme="majorBidi" w:hAnsiTheme="majorBidi" w:cstheme="majorBidi"/>
          <w:lang w:val="en-AU"/>
        </w:rPr>
        <w:t xml:space="preserve"> </w:t>
      </w:r>
      <w:r w:rsidR="008E03FE" w:rsidRPr="004C5271">
        <w:rPr>
          <w:rFonts w:asciiTheme="majorBidi" w:hAnsiTheme="majorBidi" w:cstheme="majorBidi"/>
          <w:lang w:val="en-AU"/>
        </w:rPr>
        <w:t xml:space="preserve">often </w:t>
      </w:r>
      <w:r w:rsidR="009F3D4D" w:rsidRPr="004C5271">
        <w:rPr>
          <w:rFonts w:asciiTheme="majorBidi" w:hAnsiTheme="majorBidi" w:cstheme="majorBidi"/>
          <w:lang w:val="en-AU"/>
        </w:rPr>
        <w:t>raised</w:t>
      </w:r>
      <w:r w:rsidR="008E03FE" w:rsidRPr="004C5271">
        <w:rPr>
          <w:rFonts w:asciiTheme="majorBidi" w:hAnsiTheme="majorBidi" w:cstheme="majorBidi"/>
          <w:lang w:val="en-AU"/>
        </w:rPr>
        <w:t xml:space="preserve"> when discussing family provision legislation</w:t>
      </w:r>
      <w:r w:rsidR="009F3D4D" w:rsidRPr="004C5271">
        <w:rPr>
          <w:rFonts w:asciiTheme="majorBidi" w:hAnsiTheme="majorBidi" w:cstheme="majorBidi"/>
          <w:lang w:val="en-AU"/>
        </w:rPr>
        <w:t>.</w:t>
      </w:r>
      <w:r w:rsidR="008E03FE" w:rsidRPr="004C5271">
        <w:rPr>
          <w:rStyle w:val="FootnoteReference"/>
          <w:rFonts w:asciiTheme="majorBidi" w:hAnsiTheme="majorBidi" w:cstheme="majorBidi"/>
          <w:lang w:val="en-AU"/>
        </w:rPr>
        <w:footnoteReference w:id="298"/>
      </w:r>
      <w:r w:rsidR="009F3D4D" w:rsidRPr="004C5271">
        <w:rPr>
          <w:rFonts w:asciiTheme="majorBidi" w:hAnsiTheme="majorBidi" w:cstheme="majorBidi"/>
          <w:lang w:val="en-AU"/>
        </w:rPr>
        <w:t xml:space="preserve"> Its importance was highlighted in the </w:t>
      </w:r>
      <w:r w:rsidR="008E03FE" w:rsidRPr="004C5271">
        <w:rPr>
          <w:rFonts w:asciiTheme="majorBidi" w:hAnsiTheme="majorBidi" w:cstheme="majorBidi"/>
          <w:lang w:val="en-AU"/>
        </w:rPr>
        <w:t>1870 decision</w:t>
      </w:r>
      <w:r w:rsidR="009F3D4D" w:rsidRPr="004C5271">
        <w:rPr>
          <w:rFonts w:asciiTheme="majorBidi" w:hAnsiTheme="majorBidi" w:cstheme="majorBidi"/>
          <w:lang w:val="en-AU"/>
        </w:rPr>
        <w:t xml:space="preserve"> of </w:t>
      </w:r>
      <w:r w:rsidR="009F3D4D" w:rsidRPr="004C5271">
        <w:rPr>
          <w:rFonts w:asciiTheme="majorBidi" w:hAnsiTheme="majorBidi" w:cstheme="majorBidi"/>
          <w:i/>
          <w:lang w:val="en-AU"/>
        </w:rPr>
        <w:t>Banks v Goodfellow</w:t>
      </w:r>
      <w:r w:rsidR="009F3D4D" w:rsidRPr="004C5271">
        <w:rPr>
          <w:rFonts w:asciiTheme="majorBidi" w:hAnsiTheme="majorBidi" w:cstheme="majorBidi"/>
          <w:lang w:val="en-AU"/>
        </w:rPr>
        <w:t>:</w:t>
      </w:r>
    </w:p>
    <w:p w14:paraId="3E0B4B39" w14:textId="77777777" w:rsidR="009F3D4D" w:rsidRPr="004C5271" w:rsidRDefault="009F3D4D" w:rsidP="00686B21">
      <w:pPr>
        <w:pStyle w:val="QuoteTLRI"/>
        <w:rPr>
          <w:rFonts w:asciiTheme="majorBidi" w:hAnsiTheme="majorBidi" w:cstheme="majorBidi"/>
        </w:rPr>
      </w:pPr>
      <w:r w:rsidRPr="004C5271">
        <w:rPr>
          <w:rFonts w:asciiTheme="majorBidi" w:hAnsiTheme="majorBidi" w:cstheme="majorBidi"/>
        </w:rPr>
        <w:t>the power of disposing of property in anticipation of death has ever been regarded as one of the most valuable of the rights incidental to property, while there can be no doubt that it operates as a useful incentive to industry in the acquisition of wealth, and to thrift and frugality in the enjoyment of it.</w:t>
      </w:r>
      <w:r w:rsidRPr="004C5271">
        <w:rPr>
          <w:rStyle w:val="FootnoteReference"/>
          <w:rFonts w:asciiTheme="majorBidi" w:hAnsiTheme="majorBidi" w:cstheme="majorBidi"/>
        </w:rPr>
        <w:footnoteReference w:id="299"/>
      </w:r>
    </w:p>
    <w:p w14:paraId="3097BAD7" w14:textId="542D9928" w:rsidR="004A2A6C" w:rsidRPr="004C5271" w:rsidRDefault="008E03FE" w:rsidP="007F7270">
      <w:pPr>
        <w:pStyle w:val="NormalNumberedTextTLRI"/>
        <w:rPr>
          <w:rFonts w:asciiTheme="majorBidi" w:hAnsiTheme="majorBidi" w:cstheme="majorBidi"/>
          <w:sz w:val="20"/>
          <w:lang w:val="en-AU"/>
        </w:rPr>
      </w:pPr>
      <w:r w:rsidRPr="004C5271">
        <w:rPr>
          <w:rFonts w:asciiTheme="majorBidi" w:hAnsiTheme="majorBidi" w:cstheme="majorBidi"/>
          <w:lang w:val="en-AU"/>
        </w:rPr>
        <w:t xml:space="preserve">Despite the passing of time since </w:t>
      </w:r>
      <w:r w:rsidRPr="004C5271">
        <w:rPr>
          <w:rFonts w:asciiTheme="majorBidi" w:hAnsiTheme="majorBidi" w:cstheme="majorBidi"/>
          <w:i/>
          <w:lang w:val="en-AU"/>
        </w:rPr>
        <w:t xml:space="preserve">Banks v Goodfellow </w:t>
      </w:r>
      <w:r w:rsidRPr="004C5271">
        <w:rPr>
          <w:rFonts w:asciiTheme="majorBidi" w:hAnsiTheme="majorBidi" w:cstheme="majorBidi"/>
          <w:iCs/>
          <w:lang w:val="en-AU"/>
        </w:rPr>
        <w:t>was decided</w:t>
      </w:r>
      <w:r w:rsidRPr="004C5271">
        <w:rPr>
          <w:rFonts w:asciiTheme="majorBidi" w:hAnsiTheme="majorBidi" w:cstheme="majorBidi"/>
          <w:lang w:val="en-AU"/>
        </w:rPr>
        <w:t xml:space="preserve">, </w:t>
      </w:r>
      <w:r w:rsidR="009F3D4D" w:rsidRPr="004C5271">
        <w:rPr>
          <w:rFonts w:asciiTheme="majorBidi" w:hAnsiTheme="majorBidi" w:cstheme="majorBidi"/>
          <w:lang w:val="en-AU"/>
        </w:rPr>
        <w:t>Justice Lindsay</w:t>
      </w:r>
      <w:r w:rsidR="00C62BDB" w:rsidRPr="004C5271">
        <w:rPr>
          <w:rStyle w:val="FootnoteReference"/>
          <w:rFonts w:asciiTheme="majorBidi" w:hAnsiTheme="majorBidi" w:cstheme="majorBidi"/>
          <w:lang w:val="en-AU"/>
        </w:rPr>
        <w:footnoteReference w:id="300"/>
      </w:r>
      <w:r w:rsidR="009F3D4D" w:rsidRPr="004C5271">
        <w:rPr>
          <w:rFonts w:asciiTheme="majorBidi" w:hAnsiTheme="majorBidi" w:cstheme="majorBidi"/>
          <w:lang w:val="en-AU"/>
        </w:rPr>
        <w:t xml:space="preserve"> has said of this statement that</w:t>
      </w:r>
      <w:r w:rsidR="00264C24" w:rsidRPr="004C5271">
        <w:rPr>
          <w:rFonts w:asciiTheme="majorBidi" w:hAnsiTheme="majorBidi" w:cstheme="majorBidi"/>
          <w:lang w:val="en-AU"/>
        </w:rPr>
        <w:t>,</w:t>
      </w:r>
      <w:r w:rsidR="009F3D4D" w:rsidRPr="004C5271">
        <w:rPr>
          <w:rFonts w:asciiTheme="majorBidi" w:hAnsiTheme="majorBidi" w:cstheme="majorBidi"/>
          <w:lang w:val="en-AU"/>
        </w:rPr>
        <w:t xml:space="preserve"> </w:t>
      </w:r>
      <w:r w:rsidR="00686B21" w:rsidRPr="004C5271">
        <w:rPr>
          <w:rFonts w:asciiTheme="majorBidi" w:hAnsiTheme="majorBidi" w:cstheme="majorBidi"/>
          <w:lang w:val="en-AU"/>
        </w:rPr>
        <w:t>‘[t]</w:t>
      </w:r>
      <w:r w:rsidR="009F3D4D" w:rsidRPr="004C5271">
        <w:rPr>
          <w:rFonts w:asciiTheme="majorBidi" w:hAnsiTheme="majorBidi" w:cstheme="majorBidi"/>
          <w:lang w:val="en-AU"/>
        </w:rPr>
        <w:t>he genius of this passage is that it is timeless in its understanding of the human condition. It is instructive even in modern times.</w:t>
      </w:r>
      <w:r w:rsidR="00686B21" w:rsidRPr="004C5271">
        <w:rPr>
          <w:rFonts w:asciiTheme="majorBidi" w:hAnsiTheme="majorBidi" w:cstheme="majorBidi"/>
          <w:lang w:val="en-AU"/>
        </w:rPr>
        <w:t>’</w:t>
      </w:r>
      <w:bookmarkStart w:id="136" w:name="_Ref13403981"/>
      <w:r w:rsidR="009F3D4D" w:rsidRPr="004C5271">
        <w:rPr>
          <w:rStyle w:val="FootnoteReference"/>
          <w:rFonts w:asciiTheme="majorBidi" w:hAnsiTheme="majorBidi" w:cstheme="majorBidi"/>
          <w:lang w:val="en-AU"/>
        </w:rPr>
        <w:footnoteReference w:id="301"/>
      </w:r>
      <w:bookmarkEnd w:id="136"/>
      <w:r w:rsidR="009F3D4D" w:rsidRPr="004C5271">
        <w:rPr>
          <w:rFonts w:asciiTheme="majorBidi" w:hAnsiTheme="majorBidi" w:cstheme="majorBidi"/>
          <w:lang w:val="en-AU"/>
        </w:rPr>
        <w:t xml:space="preserve"> </w:t>
      </w:r>
      <w:r w:rsidR="007F7270" w:rsidRPr="004C5271">
        <w:rPr>
          <w:rFonts w:asciiTheme="majorBidi" w:hAnsiTheme="majorBidi" w:cstheme="majorBidi"/>
          <w:lang w:val="en-AU"/>
        </w:rPr>
        <w:t xml:space="preserve">Several legislative reforms have </w:t>
      </w:r>
      <w:r w:rsidR="007F7270" w:rsidRPr="004C5271">
        <w:rPr>
          <w:rFonts w:asciiTheme="majorBidi" w:hAnsiTheme="majorBidi" w:cstheme="majorBidi"/>
          <w:lang w:val="en-AU"/>
        </w:rPr>
        <w:lastRenderedPageBreak/>
        <w:t>extended the concept of testamentary freedom</w:t>
      </w:r>
      <w:r w:rsidR="000D5FE0" w:rsidRPr="004C5271">
        <w:rPr>
          <w:rFonts w:asciiTheme="majorBidi" w:hAnsiTheme="majorBidi" w:cstheme="majorBidi"/>
          <w:lang w:val="en-AU"/>
        </w:rPr>
        <w:t xml:space="preserve"> over the years</w:t>
      </w:r>
      <w:r w:rsidR="007F7270" w:rsidRPr="004C5271">
        <w:rPr>
          <w:rFonts w:asciiTheme="majorBidi" w:hAnsiTheme="majorBidi" w:cstheme="majorBidi"/>
          <w:lang w:val="en-AU"/>
        </w:rPr>
        <w:t>,</w:t>
      </w:r>
      <w:r w:rsidR="007F7270" w:rsidRPr="004C5271">
        <w:rPr>
          <w:rStyle w:val="FootnoteReference"/>
          <w:rFonts w:asciiTheme="majorBidi" w:hAnsiTheme="majorBidi" w:cstheme="majorBidi"/>
          <w:lang w:val="en-AU"/>
        </w:rPr>
        <w:footnoteReference w:id="302"/>
      </w:r>
      <w:r w:rsidR="007F7270" w:rsidRPr="004C5271">
        <w:rPr>
          <w:rFonts w:asciiTheme="majorBidi" w:hAnsiTheme="majorBidi" w:cstheme="majorBidi"/>
          <w:lang w:val="en-AU"/>
        </w:rPr>
        <w:t xml:space="preserve"> including providing the courts with ‘dispensing powers’ to overcome deficiencies with wills,</w:t>
      </w:r>
      <w:r w:rsidR="007F7270" w:rsidRPr="004C5271">
        <w:rPr>
          <w:rStyle w:val="FootnoteReference"/>
          <w:rFonts w:asciiTheme="majorBidi" w:hAnsiTheme="majorBidi" w:cstheme="majorBidi"/>
          <w:lang w:val="en-AU"/>
        </w:rPr>
        <w:footnoteReference w:id="303"/>
      </w:r>
      <w:r w:rsidR="007F7270" w:rsidRPr="004C5271">
        <w:rPr>
          <w:rFonts w:asciiTheme="majorBidi" w:hAnsiTheme="majorBidi" w:cstheme="majorBidi"/>
          <w:lang w:val="en-AU"/>
        </w:rPr>
        <w:t xml:space="preserve"> </w:t>
      </w:r>
      <w:r w:rsidR="000D5FE0" w:rsidRPr="004C5271">
        <w:rPr>
          <w:rFonts w:asciiTheme="majorBidi" w:hAnsiTheme="majorBidi" w:cstheme="majorBidi"/>
          <w:lang w:val="en-AU"/>
        </w:rPr>
        <w:t>and</w:t>
      </w:r>
      <w:r w:rsidR="007F7270" w:rsidRPr="004C5271">
        <w:rPr>
          <w:rFonts w:asciiTheme="majorBidi" w:hAnsiTheme="majorBidi" w:cstheme="majorBidi"/>
          <w:lang w:val="en-AU"/>
        </w:rPr>
        <w:t xml:space="preserve"> powers to rectify wills.</w:t>
      </w:r>
      <w:r w:rsidR="007F7270" w:rsidRPr="004C5271">
        <w:rPr>
          <w:rStyle w:val="FootnoteReference"/>
          <w:rFonts w:asciiTheme="majorBidi" w:hAnsiTheme="majorBidi" w:cstheme="majorBidi"/>
          <w:lang w:val="en-AU"/>
        </w:rPr>
        <w:footnoteReference w:id="304"/>
      </w:r>
      <w:r w:rsidR="007F7270" w:rsidRPr="004C5271">
        <w:rPr>
          <w:rFonts w:asciiTheme="majorBidi" w:hAnsiTheme="majorBidi" w:cstheme="majorBidi"/>
          <w:lang w:val="en-AU"/>
        </w:rPr>
        <w:t xml:space="preserve"> </w:t>
      </w:r>
    </w:p>
    <w:p w14:paraId="028A1267" w14:textId="7D1CED10" w:rsidR="00105F46" w:rsidRPr="004C5271" w:rsidRDefault="00105F46" w:rsidP="008F6E27">
      <w:pPr>
        <w:pStyle w:val="NormalNumberedTextTLRI"/>
        <w:rPr>
          <w:rFonts w:asciiTheme="majorBidi" w:hAnsiTheme="majorBidi" w:cstheme="majorBidi"/>
          <w:lang w:val="en-AU"/>
        </w:rPr>
      </w:pPr>
      <w:r w:rsidRPr="004C5271">
        <w:rPr>
          <w:rFonts w:asciiTheme="majorBidi" w:hAnsiTheme="majorBidi" w:cstheme="majorBidi"/>
          <w:lang w:val="en-AU"/>
        </w:rPr>
        <w:t>Steven Bishop</w:t>
      </w:r>
      <w:r w:rsidR="00C62BDB" w:rsidRPr="004C5271">
        <w:rPr>
          <w:rFonts w:asciiTheme="majorBidi" w:hAnsiTheme="majorBidi" w:cstheme="majorBidi"/>
          <w:lang w:val="en-AU"/>
        </w:rPr>
        <w:t xml:space="preserve"> expressed the view that testamentary freedom has been given </w:t>
      </w:r>
      <w:r w:rsidR="00686B21" w:rsidRPr="004C5271">
        <w:rPr>
          <w:rFonts w:asciiTheme="majorBidi" w:hAnsiTheme="majorBidi" w:cstheme="majorBidi"/>
          <w:lang w:val="en-AU"/>
        </w:rPr>
        <w:t>‘</w:t>
      </w:r>
      <w:r w:rsidR="00C62BDB" w:rsidRPr="004C5271">
        <w:rPr>
          <w:rFonts w:asciiTheme="majorBidi" w:hAnsiTheme="majorBidi" w:cstheme="majorBidi"/>
          <w:lang w:val="en-AU"/>
        </w:rPr>
        <w:t>undue precedence.</w:t>
      </w:r>
      <w:r w:rsidR="00686B21" w:rsidRPr="004C5271">
        <w:rPr>
          <w:rFonts w:asciiTheme="majorBidi" w:hAnsiTheme="majorBidi" w:cstheme="majorBidi"/>
          <w:lang w:val="en-AU"/>
        </w:rPr>
        <w:t>’</w:t>
      </w:r>
      <w:r w:rsidR="00C62BDB" w:rsidRPr="004C5271">
        <w:rPr>
          <w:rFonts w:asciiTheme="majorBidi" w:hAnsiTheme="majorBidi" w:cstheme="majorBidi"/>
          <w:lang w:val="en-AU"/>
        </w:rPr>
        <w:t xml:space="preserve"> </w:t>
      </w:r>
      <w:r w:rsidRPr="004C5271">
        <w:rPr>
          <w:rFonts w:asciiTheme="majorBidi" w:hAnsiTheme="majorBidi" w:cstheme="majorBidi"/>
          <w:lang w:val="en-AU"/>
        </w:rPr>
        <w:t xml:space="preserve">His submission </w:t>
      </w:r>
      <w:r w:rsidR="00C62BDB" w:rsidRPr="004C5271">
        <w:rPr>
          <w:rFonts w:asciiTheme="majorBidi" w:hAnsiTheme="majorBidi" w:cstheme="majorBidi"/>
          <w:lang w:val="en-AU"/>
        </w:rPr>
        <w:t>included the following quotation from</w:t>
      </w:r>
      <w:r w:rsidRPr="004C5271">
        <w:rPr>
          <w:rFonts w:asciiTheme="majorBidi" w:hAnsiTheme="majorBidi" w:cstheme="majorBidi"/>
          <w:lang w:val="en-AU"/>
        </w:rPr>
        <w:t xml:space="preserve"> a journal article </w:t>
      </w:r>
      <w:r w:rsidR="00C62BDB" w:rsidRPr="004C5271">
        <w:rPr>
          <w:rFonts w:asciiTheme="majorBidi" w:hAnsiTheme="majorBidi" w:cstheme="majorBidi"/>
          <w:lang w:val="en-AU"/>
        </w:rPr>
        <w:t xml:space="preserve">to illustrate the need </w:t>
      </w:r>
      <w:r w:rsidR="00D52138" w:rsidRPr="004C5271">
        <w:rPr>
          <w:rFonts w:asciiTheme="majorBidi" w:hAnsiTheme="majorBidi" w:cstheme="majorBidi"/>
          <w:lang w:val="en-AU"/>
        </w:rPr>
        <w:t>for</w:t>
      </w:r>
      <w:r w:rsidR="00C62BDB" w:rsidRPr="004C5271">
        <w:rPr>
          <w:rFonts w:asciiTheme="majorBidi" w:hAnsiTheme="majorBidi" w:cstheme="majorBidi"/>
          <w:lang w:val="en-AU"/>
        </w:rPr>
        <w:t xml:space="preserve"> limit</w:t>
      </w:r>
      <w:r w:rsidR="00D52138" w:rsidRPr="004C5271">
        <w:rPr>
          <w:rFonts w:asciiTheme="majorBidi" w:hAnsiTheme="majorBidi" w:cstheme="majorBidi"/>
          <w:lang w:val="en-AU"/>
        </w:rPr>
        <w:t>s upon</w:t>
      </w:r>
      <w:r w:rsidR="00C62BDB" w:rsidRPr="004C5271">
        <w:rPr>
          <w:rFonts w:asciiTheme="majorBidi" w:hAnsiTheme="majorBidi" w:cstheme="majorBidi"/>
          <w:lang w:val="en-AU"/>
        </w:rPr>
        <w:t xml:space="preserve"> absolute testamentary freedom:</w:t>
      </w:r>
      <w:r w:rsidRPr="004C5271">
        <w:rPr>
          <w:rFonts w:asciiTheme="majorBidi" w:hAnsiTheme="majorBidi" w:cstheme="majorBidi"/>
          <w:lang w:val="en-AU"/>
        </w:rPr>
        <w:t xml:space="preserve"> </w:t>
      </w:r>
    </w:p>
    <w:p w14:paraId="05F0A481" w14:textId="5272A728" w:rsidR="00105F46" w:rsidRPr="004C5271" w:rsidRDefault="00686B21" w:rsidP="00686B21">
      <w:pPr>
        <w:pStyle w:val="QuoteTLRI"/>
        <w:rPr>
          <w:rFonts w:asciiTheme="majorBidi" w:hAnsiTheme="majorBidi" w:cstheme="majorBidi"/>
        </w:rPr>
      </w:pPr>
      <w:r w:rsidRPr="004C5271">
        <w:rPr>
          <w:rFonts w:asciiTheme="majorBidi" w:hAnsiTheme="majorBidi" w:cstheme="majorBidi"/>
        </w:rPr>
        <w:t>‘</w:t>
      </w:r>
      <w:r w:rsidR="00105F46" w:rsidRPr="004C5271">
        <w:rPr>
          <w:rFonts w:asciiTheme="majorBidi" w:hAnsiTheme="majorBidi" w:cstheme="majorBidi"/>
        </w:rPr>
        <w:t xml:space="preserve">The notion of Testamentary freedom was a construct of the 19th century, an offshoot of the style of </w:t>
      </w:r>
      <w:r w:rsidR="00264C24" w:rsidRPr="004C5271">
        <w:rPr>
          <w:rFonts w:asciiTheme="majorBidi" w:hAnsiTheme="majorBidi" w:cstheme="majorBidi"/>
        </w:rPr>
        <w:t>E</w:t>
      </w:r>
      <w:r w:rsidR="00105F46" w:rsidRPr="004C5271">
        <w:rPr>
          <w:rFonts w:asciiTheme="majorBidi" w:hAnsiTheme="majorBidi" w:cstheme="majorBidi"/>
        </w:rPr>
        <w:t xml:space="preserve">nglish laissez-faire liberalism that was fashionable at the time. </w:t>
      </w:r>
      <w:proofErr w:type="gramStart"/>
      <w:r w:rsidR="00105F46" w:rsidRPr="004C5271">
        <w:rPr>
          <w:rFonts w:asciiTheme="majorBidi" w:hAnsiTheme="majorBidi" w:cstheme="majorBidi"/>
        </w:rPr>
        <w:t>However</w:t>
      </w:r>
      <w:proofErr w:type="gramEnd"/>
      <w:r w:rsidR="00105F46" w:rsidRPr="004C5271">
        <w:rPr>
          <w:rFonts w:asciiTheme="majorBidi" w:hAnsiTheme="majorBidi" w:cstheme="majorBidi"/>
        </w:rPr>
        <w:t xml:space="preserve"> it was recognised late in the 19th century that testamentary freedom of this type allowed some testators to ignore their responsibilities</w:t>
      </w:r>
      <w:r w:rsidR="00A3727C" w:rsidRPr="004C5271">
        <w:rPr>
          <w:rFonts w:asciiTheme="majorBidi" w:hAnsiTheme="majorBidi" w:cstheme="majorBidi"/>
        </w:rPr>
        <w:t>..</w:t>
      </w:r>
      <w:r w:rsidR="00105F46" w:rsidRPr="004C5271">
        <w:rPr>
          <w:rFonts w:asciiTheme="majorBidi" w:hAnsiTheme="majorBidi" w:cstheme="majorBidi"/>
        </w:rPr>
        <w:t>.</w:t>
      </w:r>
      <w:r w:rsidRPr="004C5271">
        <w:rPr>
          <w:rFonts w:asciiTheme="majorBidi" w:hAnsiTheme="majorBidi" w:cstheme="majorBidi"/>
        </w:rPr>
        <w:t>’</w:t>
      </w:r>
      <w:r w:rsidRPr="004C5271">
        <w:rPr>
          <w:rStyle w:val="FootnoteReference"/>
          <w:rFonts w:asciiTheme="majorBidi" w:hAnsiTheme="majorBidi" w:cstheme="majorBidi"/>
        </w:rPr>
        <w:footnoteReference w:id="305"/>
      </w:r>
    </w:p>
    <w:p w14:paraId="03B339A0" w14:textId="16B3845F" w:rsidR="00105F46" w:rsidRPr="004C5271" w:rsidRDefault="004B1A66" w:rsidP="00105F46">
      <w:pPr>
        <w:pStyle w:val="NormalNumberedTextTLRI"/>
        <w:rPr>
          <w:rFonts w:asciiTheme="majorBidi" w:hAnsiTheme="majorBidi" w:cstheme="majorBidi"/>
          <w:lang w:val="en-AU"/>
        </w:rPr>
      </w:pPr>
      <w:r w:rsidRPr="004C5271">
        <w:rPr>
          <w:rFonts w:asciiTheme="majorBidi" w:hAnsiTheme="majorBidi" w:cstheme="majorBidi"/>
          <w:lang w:val="en-AU"/>
        </w:rPr>
        <w:t>Christine Schokman, Dexter Marcenko and Michael Flanagan made similar comments about the limited relevance of testamentary freedom, stating</w:t>
      </w:r>
      <w:r w:rsidR="00686B21" w:rsidRPr="004C5271">
        <w:rPr>
          <w:rFonts w:asciiTheme="majorBidi" w:hAnsiTheme="majorBidi" w:cstheme="majorBidi"/>
          <w:lang w:val="en-AU"/>
        </w:rPr>
        <w:t>:</w:t>
      </w:r>
      <w:r w:rsidRPr="004C5271">
        <w:rPr>
          <w:rFonts w:asciiTheme="majorBidi" w:hAnsiTheme="majorBidi" w:cstheme="majorBidi"/>
          <w:lang w:val="en-AU"/>
        </w:rPr>
        <w:t xml:space="preserve"> </w:t>
      </w:r>
      <w:r w:rsidR="00686B21" w:rsidRPr="004C5271">
        <w:rPr>
          <w:rFonts w:asciiTheme="majorBidi" w:hAnsiTheme="majorBidi" w:cstheme="majorBidi"/>
          <w:lang w:val="en-AU"/>
        </w:rPr>
        <w:t>‘</w:t>
      </w:r>
      <w:r w:rsidRPr="004C5271">
        <w:rPr>
          <w:rFonts w:asciiTheme="majorBidi" w:hAnsiTheme="majorBidi" w:cstheme="majorBidi"/>
          <w:lang w:val="en-AU"/>
        </w:rPr>
        <w:t xml:space="preserve">We have recognised for over a century that testamentary freedom should not permit testators to fail to provide for those who are financially dependent upon them or who have a </w:t>
      </w:r>
      <w:r w:rsidR="00686B21" w:rsidRPr="004C5271">
        <w:rPr>
          <w:rFonts w:asciiTheme="majorBidi" w:hAnsiTheme="majorBidi" w:cstheme="majorBidi"/>
          <w:lang w:val="en-AU"/>
        </w:rPr>
        <w:t>“</w:t>
      </w:r>
      <w:r w:rsidRPr="004C5271">
        <w:rPr>
          <w:rFonts w:asciiTheme="majorBidi" w:hAnsiTheme="majorBidi" w:cstheme="majorBidi"/>
          <w:lang w:val="en-AU"/>
        </w:rPr>
        <w:t>moral</w:t>
      </w:r>
      <w:r w:rsidR="00686B21" w:rsidRPr="004C5271">
        <w:rPr>
          <w:rFonts w:asciiTheme="majorBidi" w:hAnsiTheme="majorBidi" w:cstheme="majorBidi"/>
          <w:lang w:val="en-AU"/>
        </w:rPr>
        <w:t>”</w:t>
      </w:r>
      <w:r w:rsidRPr="004C5271">
        <w:rPr>
          <w:rFonts w:asciiTheme="majorBidi" w:hAnsiTheme="majorBidi" w:cstheme="majorBidi"/>
          <w:lang w:val="en-AU"/>
        </w:rPr>
        <w:t xml:space="preserve"> claim for provision.</w:t>
      </w:r>
      <w:r w:rsidR="00686B21" w:rsidRPr="004C5271">
        <w:rPr>
          <w:rFonts w:asciiTheme="majorBidi" w:hAnsiTheme="majorBidi" w:cstheme="majorBidi"/>
          <w:lang w:val="en-AU"/>
        </w:rPr>
        <w:t>’</w:t>
      </w:r>
    </w:p>
    <w:p w14:paraId="3A8903AF" w14:textId="47FF33AA" w:rsidR="004A2A6C" w:rsidRPr="004C5271" w:rsidRDefault="004A2A6C" w:rsidP="004A2A6C">
      <w:pPr>
        <w:pStyle w:val="NormalNumberedTextTLRI"/>
        <w:rPr>
          <w:rFonts w:asciiTheme="majorBidi" w:hAnsiTheme="majorBidi" w:cstheme="majorBidi"/>
          <w:lang w:val="en-AU"/>
        </w:rPr>
      </w:pPr>
      <w:bookmarkStart w:id="137" w:name="_Ref13329508"/>
      <w:r w:rsidRPr="004C5271">
        <w:rPr>
          <w:rFonts w:asciiTheme="majorBidi" w:hAnsiTheme="majorBidi" w:cstheme="majorBidi"/>
          <w:lang w:val="en-AU"/>
        </w:rPr>
        <w:t xml:space="preserve">Whilst interference with testamentary freedom is a common concern, notional estate orders in New South Wales are in fact relatively rare. Appendix </w:t>
      </w:r>
      <w:r w:rsidR="00C20932" w:rsidRPr="004C5271">
        <w:rPr>
          <w:rFonts w:asciiTheme="majorBidi" w:hAnsiTheme="majorBidi" w:cstheme="majorBidi"/>
          <w:lang w:val="en-AU"/>
        </w:rPr>
        <w:t>4</w:t>
      </w:r>
      <w:r w:rsidR="00BA29F3" w:rsidRPr="004C5271">
        <w:rPr>
          <w:rFonts w:asciiTheme="majorBidi" w:hAnsiTheme="majorBidi" w:cstheme="majorBidi"/>
          <w:lang w:val="en-AU"/>
        </w:rPr>
        <w:t xml:space="preserve"> </w:t>
      </w:r>
      <w:r w:rsidRPr="004C5271">
        <w:rPr>
          <w:rFonts w:asciiTheme="majorBidi" w:hAnsiTheme="majorBidi" w:cstheme="majorBidi"/>
          <w:lang w:val="en-AU"/>
        </w:rPr>
        <w:t>contains a summary of reported decisions between April 2018 and April 2019</w:t>
      </w:r>
      <w:r w:rsidR="000C3F8C" w:rsidRPr="004C5271">
        <w:rPr>
          <w:rFonts w:asciiTheme="majorBidi" w:hAnsiTheme="majorBidi" w:cstheme="majorBidi"/>
          <w:lang w:val="en-AU"/>
        </w:rPr>
        <w:t xml:space="preserve"> </w:t>
      </w:r>
      <w:r w:rsidR="00C76CC1" w:rsidRPr="004C5271">
        <w:rPr>
          <w:rFonts w:asciiTheme="majorBidi" w:hAnsiTheme="majorBidi" w:cstheme="majorBidi"/>
          <w:lang w:val="en-AU"/>
        </w:rPr>
        <w:t xml:space="preserve">where the issue of notional estate was </w:t>
      </w:r>
      <w:r w:rsidR="000C3F8C" w:rsidRPr="004C5271">
        <w:rPr>
          <w:rFonts w:asciiTheme="majorBidi" w:hAnsiTheme="majorBidi" w:cstheme="majorBidi"/>
          <w:lang w:val="en-AU"/>
        </w:rPr>
        <w:t>rais</w:t>
      </w:r>
      <w:r w:rsidR="00C76CC1" w:rsidRPr="004C5271">
        <w:rPr>
          <w:rFonts w:asciiTheme="majorBidi" w:hAnsiTheme="majorBidi" w:cstheme="majorBidi"/>
          <w:lang w:val="en-AU"/>
        </w:rPr>
        <w:t>ed</w:t>
      </w:r>
      <w:r w:rsidRPr="004C5271">
        <w:rPr>
          <w:rFonts w:asciiTheme="majorBidi" w:hAnsiTheme="majorBidi" w:cstheme="majorBidi"/>
          <w:lang w:val="en-AU"/>
        </w:rPr>
        <w:t xml:space="preserve">. Seven of the </w:t>
      </w:r>
      <w:r w:rsidR="00E02F6D" w:rsidRPr="004C5271">
        <w:rPr>
          <w:rFonts w:asciiTheme="majorBidi" w:hAnsiTheme="majorBidi" w:cstheme="majorBidi"/>
          <w:lang w:val="en-AU"/>
        </w:rPr>
        <w:t xml:space="preserve">29 </w:t>
      </w:r>
      <w:r w:rsidRPr="004C5271">
        <w:rPr>
          <w:rFonts w:asciiTheme="majorBidi" w:hAnsiTheme="majorBidi" w:cstheme="majorBidi"/>
          <w:lang w:val="en-AU"/>
        </w:rPr>
        <w:t>decisions</w:t>
      </w:r>
      <w:bookmarkStart w:id="138" w:name="_Ref13413686"/>
      <w:r w:rsidR="00BF60BC" w:rsidRPr="004C5271">
        <w:rPr>
          <w:rStyle w:val="FootnoteReference"/>
          <w:rFonts w:asciiTheme="majorBidi" w:hAnsiTheme="majorBidi" w:cstheme="majorBidi"/>
          <w:lang w:val="en-AU"/>
        </w:rPr>
        <w:footnoteReference w:id="306"/>
      </w:r>
      <w:bookmarkEnd w:id="138"/>
      <w:r w:rsidR="00E02F6D" w:rsidRPr="004C5271">
        <w:rPr>
          <w:rFonts w:asciiTheme="majorBidi" w:hAnsiTheme="majorBidi" w:cstheme="majorBidi"/>
          <w:lang w:val="en-AU"/>
        </w:rPr>
        <w:t xml:space="preserve"> </w:t>
      </w:r>
      <w:r w:rsidR="00E02F6D" w:rsidRPr="004C5271">
        <w:rPr>
          <w:rFonts w:asciiTheme="majorBidi" w:hAnsiTheme="majorBidi" w:cstheme="majorBidi"/>
          <w:lang w:val="en-AU"/>
        </w:rPr>
        <w:lastRenderedPageBreak/>
        <w:t>handed down during that period</w:t>
      </w:r>
      <w:r w:rsidRPr="004C5271">
        <w:rPr>
          <w:rFonts w:asciiTheme="majorBidi" w:hAnsiTheme="majorBidi" w:cstheme="majorBidi"/>
          <w:lang w:val="en-AU"/>
        </w:rPr>
        <w:t xml:space="preserve"> raised the question of potential notional estate</w:t>
      </w:r>
      <w:r w:rsidR="00264C24" w:rsidRPr="004C5271">
        <w:rPr>
          <w:rFonts w:asciiTheme="majorBidi" w:hAnsiTheme="majorBidi" w:cstheme="majorBidi"/>
          <w:lang w:val="en-AU"/>
        </w:rPr>
        <w:t>s</w:t>
      </w:r>
      <w:r w:rsidRPr="004C5271">
        <w:rPr>
          <w:rFonts w:asciiTheme="majorBidi" w:hAnsiTheme="majorBidi" w:cstheme="majorBidi"/>
          <w:lang w:val="en-AU"/>
        </w:rPr>
        <w:t>, with only one matter</w:t>
      </w:r>
      <w:r w:rsidR="00BF60BC" w:rsidRPr="004C5271">
        <w:rPr>
          <w:rStyle w:val="FootnoteReference"/>
          <w:rFonts w:asciiTheme="majorBidi" w:hAnsiTheme="majorBidi" w:cstheme="majorBidi"/>
          <w:lang w:val="en-AU"/>
        </w:rPr>
        <w:footnoteReference w:id="307"/>
      </w:r>
      <w:r w:rsidRPr="004C5271">
        <w:rPr>
          <w:rFonts w:asciiTheme="majorBidi" w:hAnsiTheme="majorBidi" w:cstheme="majorBidi"/>
          <w:lang w:val="en-AU"/>
        </w:rPr>
        <w:t xml:space="preserve"> resulting in a notional estate order being made.</w:t>
      </w:r>
      <w:bookmarkEnd w:id="137"/>
      <w:r w:rsidR="00953AB7" w:rsidRPr="004C5271">
        <w:rPr>
          <w:rFonts w:asciiTheme="majorBidi" w:hAnsiTheme="majorBidi" w:cstheme="majorBidi"/>
          <w:lang w:val="en-AU"/>
        </w:rPr>
        <w:t xml:space="preserve"> </w:t>
      </w:r>
    </w:p>
    <w:p w14:paraId="2D4D9A29" w14:textId="3EEE806B" w:rsidR="00332FB4" w:rsidRPr="004C5271" w:rsidRDefault="00332FB4" w:rsidP="00AE2B8C">
      <w:pPr>
        <w:pStyle w:val="Sub-HeadingTLRI"/>
      </w:pPr>
      <w:r w:rsidRPr="004C5271">
        <w:t>Freedom to deal with one’s assets during life</w:t>
      </w:r>
    </w:p>
    <w:p w14:paraId="5344E9E3" w14:textId="03241BCF" w:rsidR="00AB1C36" w:rsidRPr="004C5271" w:rsidRDefault="000526BA" w:rsidP="00085604">
      <w:pPr>
        <w:pStyle w:val="NormalNumberedTextTLRI"/>
        <w:rPr>
          <w:rFonts w:asciiTheme="majorBidi" w:hAnsiTheme="majorBidi" w:cstheme="majorBidi"/>
          <w:lang w:val="en-AU"/>
        </w:rPr>
      </w:pPr>
      <w:bookmarkStart w:id="139" w:name="_Ref13490724"/>
      <w:r w:rsidRPr="004C5271">
        <w:rPr>
          <w:rFonts w:asciiTheme="majorBidi" w:hAnsiTheme="majorBidi" w:cstheme="majorBidi"/>
          <w:lang w:val="en-AU"/>
        </w:rPr>
        <w:t>Several respondents</w:t>
      </w:r>
      <w:r w:rsidR="00AB1C36" w:rsidRPr="004C5271">
        <w:rPr>
          <w:rFonts w:asciiTheme="majorBidi" w:hAnsiTheme="majorBidi" w:cstheme="majorBidi"/>
          <w:lang w:val="en-AU"/>
        </w:rPr>
        <w:t xml:space="preserve"> </w:t>
      </w:r>
      <w:r w:rsidR="00264C24" w:rsidRPr="004C5271">
        <w:rPr>
          <w:rFonts w:asciiTheme="majorBidi" w:hAnsiTheme="majorBidi" w:cstheme="majorBidi"/>
          <w:lang w:val="en-AU"/>
        </w:rPr>
        <w:t xml:space="preserve">noted </w:t>
      </w:r>
      <w:r w:rsidR="00AB1C36" w:rsidRPr="004C5271">
        <w:rPr>
          <w:rFonts w:asciiTheme="majorBidi" w:hAnsiTheme="majorBidi" w:cstheme="majorBidi"/>
          <w:lang w:val="en-AU"/>
        </w:rPr>
        <w:t>that</w:t>
      </w:r>
      <w:r w:rsidR="00BF60BC" w:rsidRPr="004C5271">
        <w:rPr>
          <w:rFonts w:asciiTheme="majorBidi" w:hAnsiTheme="majorBidi" w:cstheme="majorBidi"/>
          <w:lang w:val="en-AU"/>
        </w:rPr>
        <w:t>,</w:t>
      </w:r>
      <w:r w:rsidR="00AB1C36" w:rsidRPr="004C5271">
        <w:rPr>
          <w:rFonts w:asciiTheme="majorBidi" w:hAnsiTheme="majorBidi" w:cstheme="majorBidi"/>
          <w:lang w:val="en-AU"/>
        </w:rPr>
        <w:t xml:space="preserve"> it is not only testamentary freedom that is </w:t>
      </w:r>
      <w:r w:rsidR="00264C24" w:rsidRPr="004C5271">
        <w:rPr>
          <w:rFonts w:asciiTheme="majorBidi" w:hAnsiTheme="majorBidi" w:cstheme="majorBidi"/>
          <w:lang w:val="en-AU"/>
        </w:rPr>
        <w:t xml:space="preserve">affected </w:t>
      </w:r>
      <w:r w:rsidR="00AB1C36" w:rsidRPr="004C5271">
        <w:rPr>
          <w:rFonts w:asciiTheme="majorBidi" w:hAnsiTheme="majorBidi" w:cstheme="majorBidi"/>
          <w:lang w:val="en-AU"/>
        </w:rPr>
        <w:t xml:space="preserve">by notional estate legislation, but also the freedom for a person to deal with their assets during their life. </w:t>
      </w:r>
      <w:r w:rsidR="009920A5" w:rsidRPr="004C5271">
        <w:rPr>
          <w:rFonts w:asciiTheme="majorBidi" w:hAnsiTheme="majorBidi" w:cstheme="majorBidi"/>
          <w:lang w:val="en-AU"/>
        </w:rPr>
        <w:t xml:space="preserve">Of the fundamental distinction between </w:t>
      </w:r>
      <w:r w:rsidR="00DE1370" w:rsidRPr="004C5271">
        <w:rPr>
          <w:rFonts w:asciiTheme="majorBidi" w:hAnsiTheme="majorBidi" w:cstheme="majorBidi"/>
          <w:lang w:val="en-AU"/>
        </w:rPr>
        <w:t xml:space="preserve">these </w:t>
      </w:r>
      <w:r w:rsidR="009920A5" w:rsidRPr="004C5271">
        <w:rPr>
          <w:rFonts w:asciiTheme="majorBidi" w:hAnsiTheme="majorBidi" w:cstheme="majorBidi"/>
          <w:lang w:val="en-AU"/>
        </w:rPr>
        <w:t xml:space="preserve">rights, </w:t>
      </w:r>
      <w:r w:rsidR="00E9629F" w:rsidRPr="004C5271">
        <w:rPr>
          <w:rFonts w:asciiTheme="majorBidi" w:hAnsiTheme="majorBidi" w:cstheme="majorBidi"/>
          <w:lang w:val="en-AU"/>
        </w:rPr>
        <w:t>t</w:t>
      </w:r>
      <w:r w:rsidR="00332FB4" w:rsidRPr="004C5271">
        <w:rPr>
          <w:rFonts w:asciiTheme="majorBidi" w:hAnsiTheme="majorBidi" w:cstheme="majorBidi"/>
          <w:lang w:val="en-AU"/>
        </w:rPr>
        <w:t xml:space="preserve">he Hon Mr Justice David Hayton has </w:t>
      </w:r>
      <w:r w:rsidR="009920A5" w:rsidRPr="004C5271">
        <w:rPr>
          <w:rFonts w:asciiTheme="majorBidi" w:hAnsiTheme="majorBidi" w:cstheme="majorBidi"/>
          <w:lang w:val="en-AU"/>
        </w:rPr>
        <w:t xml:space="preserve">commented that it was vital to </w:t>
      </w:r>
      <w:r w:rsidR="00A323C5" w:rsidRPr="004C5271">
        <w:rPr>
          <w:rFonts w:asciiTheme="majorBidi" w:hAnsiTheme="majorBidi" w:cstheme="majorBidi"/>
          <w:lang w:val="en-AU"/>
        </w:rPr>
        <w:t>‘</w:t>
      </w:r>
      <w:r w:rsidR="009920A5" w:rsidRPr="004C5271">
        <w:rPr>
          <w:rFonts w:asciiTheme="majorBidi" w:hAnsiTheme="majorBidi" w:cstheme="majorBidi"/>
          <w:lang w:val="en-AU"/>
        </w:rPr>
        <w:t xml:space="preserve">protect well-established fundamental property principles that make a clear distinction between </w:t>
      </w:r>
      <w:r w:rsidR="009920A5" w:rsidRPr="004C5271">
        <w:rPr>
          <w:rFonts w:asciiTheme="majorBidi" w:hAnsiTheme="majorBidi" w:cstheme="majorBidi"/>
          <w:i/>
          <w:iCs/>
          <w:lang w:val="en-AU"/>
        </w:rPr>
        <w:t>inter vivos</w:t>
      </w:r>
      <w:r w:rsidR="009920A5" w:rsidRPr="004C5271">
        <w:rPr>
          <w:rFonts w:asciiTheme="majorBidi" w:hAnsiTheme="majorBidi" w:cstheme="majorBidi"/>
          <w:lang w:val="en-AU"/>
        </w:rPr>
        <w:t xml:space="preserve"> property rights and testamentary property rights.</w:t>
      </w:r>
      <w:r w:rsidR="00A323C5" w:rsidRPr="004C5271">
        <w:rPr>
          <w:rFonts w:asciiTheme="majorBidi" w:hAnsiTheme="majorBidi" w:cstheme="majorBidi"/>
          <w:lang w:val="en-AU"/>
        </w:rPr>
        <w:t>’</w:t>
      </w:r>
      <w:r w:rsidR="009920A5" w:rsidRPr="004C5271">
        <w:rPr>
          <w:rStyle w:val="FootnoteReference"/>
          <w:rFonts w:asciiTheme="majorBidi" w:hAnsiTheme="majorBidi" w:cstheme="majorBidi"/>
          <w:lang w:val="en-AU"/>
        </w:rPr>
        <w:footnoteReference w:id="308"/>
      </w:r>
      <w:r w:rsidR="00332FB4" w:rsidRPr="004C5271">
        <w:rPr>
          <w:rFonts w:asciiTheme="majorBidi" w:hAnsiTheme="majorBidi" w:cstheme="majorBidi"/>
          <w:lang w:val="en-AU"/>
        </w:rPr>
        <w:t xml:space="preserve"> The Institute of Chartered Accountants in England and Wales </w:t>
      </w:r>
      <w:r w:rsidR="00C20932" w:rsidRPr="004C5271">
        <w:rPr>
          <w:rFonts w:asciiTheme="majorBidi" w:hAnsiTheme="majorBidi" w:cstheme="majorBidi"/>
          <w:lang w:val="en-AU"/>
        </w:rPr>
        <w:t xml:space="preserve">expressed a similar view in its submission to the EUC, </w:t>
      </w:r>
      <w:r w:rsidR="00DE1370" w:rsidRPr="004C5271">
        <w:rPr>
          <w:rFonts w:asciiTheme="majorBidi" w:hAnsiTheme="majorBidi" w:cstheme="majorBidi"/>
          <w:lang w:val="en-AU"/>
        </w:rPr>
        <w:t>comment</w:t>
      </w:r>
      <w:r w:rsidR="00C20932" w:rsidRPr="004C5271">
        <w:rPr>
          <w:rFonts w:asciiTheme="majorBidi" w:hAnsiTheme="majorBidi" w:cstheme="majorBidi"/>
          <w:lang w:val="en-AU"/>
        </w:rPr>
        <w:t>ing</w:t>
      </w:r>
      <w:r w:rsidR="00332FB4" w:rsidRPr="004C5271">
        <w:rPr>
          <w:rFonts w:asciiTheme="majorBidi" w:hAnsiTheme="majorBidi" w:cstheme="majorBidi"/>
          <w:lang w:val="en-AU"/>
        </w:rPr>
        <w:t xml:space="preserve"> that</w:t>
      </w:r>
      <w:r w:rsidR="00A323C5" w:rsidRPr="004C5271">
        <w:rPr>
          <w:rFonts w:asciiTheme="majorBidi" w:hAnsiTheme="majorBidi" w:cstheme="majorBidi"/>
          <w:lang w:val="en-AU"/>
        </w:rPr>
        <w:t>:</w:t>
      </w:r>
      <w:r w:rsidR="00332FB4" w:rsidRPr="004C5271">
        <w:rPr>
          <w:rFonts w:asciiTheme="majorBidi" w:hAnsiTheme="majorBidi" w:cstheme="majorBidi"/>
          <w:lang w:val="en-AU"/>
        </w:rPr>
        <w:t xml:space="preserve"> </w:t>
      </w:r>
      <w:r w:rsidR="00A323C5" w:rsidRPr="004C5271">
        <w:rPr>
          <w:rFonts w:asciiTheme="majorBidi" w:hAnsiTheme="majorBidi" w:cstheme="majorBidi"/>
          <w:lang w:val="en-AU"/>
        </w:rPr>
        <w:t>‘</w:t>
      </w:r>
      <w:r w:rsidR="00332FB4" w:rsidRPr="004C5271">
        <w:rPr>
          <w:rFonts w:asciiTheme="majorBidi" w:hAnsiTheme="majorBidi" w:cstheme="majorBidi"/>
          <w:lang w:val="en-AU"/>
        </w:rPr>
        <w:t>Clawback will destroy the fundamental right of an individual to alienate himself from his property in lifetime and on death.</w:t>
      </w:r>
      <w:r w:rsidR="00A323C5" w:rsidRPr="004C5271">
        <w:rPr>
          <w:rFonts w:asciiTheme="majorBidi" w:hAnsiTheme="majorBidi" w:cstheme="majorBidi"/>
          <w:lang w:val="en-AU"/>
        </w:rPr>
        <w:t>’</w:t>
      </w:r>
      <w:r w:rsidR="00332FB4" w:rsidRPr="004C5271">
        <w:rPr>
          <w:rStyle w:val="FootnoteReference"/>
          <w:rFonts w:asciiTheme="majorBidi" w:hAnsiTheme="majorBidi" w:cstheme="majorBidi"/>
          <w:lang w:val="en-AU"/>
        </w:rPr>
        <w:footnoteReference w:id="309"/>
      </w:r>
      <w:r w:rsidR="00332FB4" w:rsidRPr="004C5271">
        <w:rPr>
          <w:rFonts w:asciiTheme="majorBidi" w:hAnsiTheme="majorBidi" w:cstheme="majorBidi"/>
          <w:lang w:val="en-AU"/>
        </w:rPr>
        <w:t xml:space="preserve"> The Scottish Law Commission has made similar observations, referring to the following </w:t>
      </w:r>
      <w:r w:rsidR="00DE1370" w:rsidRPr="004C5271">
        <w:rPr>
          <w:rFonts w:asciiTheme="majorBidi" w:hAnsiTheme="majorBidi" w:cstheme="majorBidi"/>
          <w:lang w:val="en-AU"/>
        </w:rPr>
        <w:t>statement of</w:t>
      </w:r>
      <w:r w:rsidR="00332FB4" w:rsidRPr="004C5271">
        <w:rPr>
          <w:rFonts w:asciiTheme="majorBidi" w:hAnsiTheme="majorBidi" w:cstheme="majorBidi"/>
          <w:lang w:val="en-AU"/>
        </w:rPr>
        <w:t xml:space="preserve"> the British Columbia</w:t>
      </w:r>
      <w:r w:rsidR="00C76CC1" w:rsidRPr="004C5271">
        <w:rPr>
          <w:rFonts w:asciiTheme="majorBidi" w:hAnsiTheme="majorBidi" w:cstheme="majorBidi"/>
          <w:lang w:val="en-AU"/>
        </w:rPr>
        <w:t xml:space="preserve"> Law Reform Commission</w:t>
      </w:r>
      <w:r w:rsidR="00332FB4" w:rsidRPr="004C5271">
        <w:rPr>
          <w:rFonts w:asciiTheme="majorBidi" w:hAnsiTheme="majorBidi" w:cstheme="majorBidi"/>
          <w:lang w:val="en-AU"/>
        </w:rPr>
        <w:t xml:space="preserve"> about the </w:t>
      </w:r>
      <w:r w:rsidR="00332FB4" w:rsidRPr="004C5271">
        <w:rPr>
          <w:rFonts w:asciiTheme="majorBidi" w:hAnsiTheme="majorBidi" w:cstheme="majorBidi"/>
          <w:lang w:val="en-AU"/>
        </w:rPr>
        <w:lastRenderedPageBreak/>
        <w:t xml:space="preserve">function of succession laws </w:t>
      </w:r>
      <w:r w:rsidR="00DE1370" w:rsidRPr="004C5271">
        <w:rPr>
          <w:rFonts w:asciiTheme="majorBidi" w:hAnsiTheme="majorBidi" w:cstheme="majorBidi"/>
          <w:lang w:val="en-AU"/>
        </w:rPr>
        <w:t xml:space="preserve">as </w:t>
      </w:r>
      <w:r w:rsidR="00332FB4" w:rsidRPr="004C5271">
        <w:rPr>
          <w:rFonts w:asciiTheme="majorBidi" w:hAnsiTheme="majorBidi" w:cstheme="majorBidi"/>
          <w:lang w:val="en-AU"/>
        </w:rPr>
        <w:t xml:space="preserve">being </w:t>
      </w:r>
      <w:r w:rsidR="00E9629F" w:rsidRPr="004C5271">
        <w:rPr>
          <w:rFonts w:asciiTheme="majorBidi" w:hAnsiTheme="majorBidi" w:cstheme="majorBidi"/>
          <w:lang w:val="en-AU"/>
        </w:rPr>
        <w:t>‘</w:t>
      </w:r>
      <w:r w:rsidR="00332FB4" w:rsidRPr="004C5271">
        <w:rPr>
          <w:rFonts w:asciiTheme="majorBidi" w:hAnsiTheme="majorBidi" w:cstheme="majorBidi"/>
          <w:lang w:val="en-AU"/>
        </w:rPr>
        <w:t>to distribute what remains of the testator</w:t>
      </w:r>
      <w:r w:rsidR="00E9629F" w:rsidRPr="004C5271">
        <w:rPr>
          <w:rFonts w:asciiTheme="majorBidi" w:hAnsiTheme="majorBidi" w:cstheme="majorBidi"/>
          <w:lang w:val="en-AU"/>
        </w:rPr>
        <w:t>’</w:t>
      </w:r>
      <w:r w:rsidR="00332FB4" w:rsidRPr="004C5271">
        <w:rPr>
          <w:rFonts w:asciiTheme="majorBidi" w:hAnsiTheme="majorBidi" w:cstheme="majorBidi"/>
          <w:lang w:val="en-AU"/>
        </w:rPr>
        <w:t>s estate after his death, not to remedy any injustices which may have occurred during his lifetime.</w:t>
      </w:r>
      <w:r w:rsidR="00E9629F" w:rsidRPr="004C5271">
        <w:rPr>
          <w:rFonts w:asciiTheme="majorBidi" w:hAnsiTheme="majorBidi" w:cstheme="majorBidi"/>
          <w:lang w:val="en-AU"/>
        </w:rPr>
        <w:t>’</w:t>
      </w:r>
      <w:r w:rsidR="00332FB4" w:rsidRPr="004C5271">
        <w:rPr>
          <w:rStyle w:val="FootnoteReference"/>
          <w:rFonts w:asciiTheme="majorBidi" w:hAnsiTheme="majorBidi" w:cstheme="majorBidi"/>
          <w:lang w:val="en-AU"/>
        </w:rPr>
        <w:footnoteReference w:id="310"/>
      </w:r>
      <w:bookmarkEnd w:id="139"/>
    </w:p>
    <w:p w14:paraId="047F5086" w14:textId="204BCDF3" w:rsidR="00085604" w:rsidRPr="004C5271" w:rsidRDefault="00085604" w:rsidP="00085604">
      <w:pPr>
        <w:pStyle w:val="NormalNumberedTextTLRI"/>
        <w:rPr>
          <w:rFonts w:asciiTheme="majorBidi" w:hAnsiTheme="majorBidi" w:cstheme="majorBidi"/>
          <w:lang w:val="en-AU"/>
        </w:rPr>
      </w:pPr>
      <w:r w:rsidRPr="004C5271">
        <w:rPr>
          <w:rFonts w:asciiTheme="majorBidi" w:hAnsiTheme="majorBidi" w:cstheme="majorBidi"/>
          <w:lang w:val="en-AU"/>
        </w:rPr>
        <w:t>These sentiments were shared by several respondents to the VLRC’s review, including the Law Institute of Victoria, Carolyn Sparke SC and barrister Andrew Verspaandonk.</w:t>
      </w:r>
      <w:r w:rsidRPr="004C5271">
        <w:rPr>
          <w:rStyle w:val="FootnoteReference"/>
          <w:rFonts w:asciiTheme="majorBidi" w:hAnsiTheme="majorBidi" w:cstheme="majorBidi"/>
          <w:lang w:val="en-AU"/>
        </w:rPr>
        <w:footnoteReference w:id="311"/>
      </w:r>
      <w:r w:rsidR="00334DFE" w:rsidRPr="004C5271">
        <w:rPr>
          <w:rFonts w:asciiTheme="majorBidi" w:hAnsiTheme="majorBidi" w:cstheme="majorBidi"/>
          <w:lang w:val="en-AU"/>
        </w:rPr>
        <w:t xml:space="preserve"> SALRI also commented upon the importance of individuals having the ability to deal with assets during lifetime, including making gifts to family, particularly in the context of an ageing population and economic changes:</w:t>
      </w:r>
    </w:p>
    <w:p w14:paraId="0C69DA66" w14:textId="57C37CA4" w:rsidR="00334DFE" w:rsidRPr="004C5271" w:rsidRDefault="00334DFE" w:rsidP="00AE6AB9">
      <w:pPr>
        <w:pStyle w:val="QuoteTLRI"/>
        <w:rPr>
          <w:rFonts w:asciiTheme="majorBidi" w:hAnsiTheme="majorBidi" w:cstheme="majorBidi"/>
        </w:rPr>
      </w:pPr>
      <w:r w:rsidRPr="004C5271">
        <w:rPr>
          <w:rFonts w:asciiTheme="majorBidi" w:hAnsiTheme="majorBidi" w:cstheme="majorBidi"/>
        </w:rPr>
        <w:t>With the greater general longevity of the population, older family members often wish to benefit their descendants during their lifetime — an opportunity not available when people typically died at a much younger age. Making provision for family and dependants when they most need it, and when a testator has the desire and the enhanced ability to do so with the enjoyment of greater wealth and security, (eg: superannuation), is something many people do.</w:t>
      </w:r>
      <w:r w:rsidRPr="004C5271">
        <w:rPr>
          <w:rStyle w:val="FootnoteReference"/>
          <w:rFonts w:asciiTheme="majorBidi" w:hAnsiTheme="majorBidi" w:cstheme="majorBidi"/>
        </w:rPr>
        <w:footnoteReference w:id="312"/>
      </w:r>
    </w:p>
    <w:p w14:paraId="12445879" w14:textId="092C1FF7" w:rsidR="003C7C40" w:rsidRPr="004C5271" w:rsidRDefault="003C7C40" w:rsidP="003C7C40">
      <w:pPr>
        <w:pStyle w:val="NormalNumberedTextTLRI"/>
        <w:rPr>
          <w:rFonts w:asciiTheme="majorBidi" w:hAnsiTheme="majorBidi" w:cstheme="majorBidi"/>
          <w:lang w:val="en-AU"/>
        </w:rPr>
      </w:pPr>
      <w:r w:rsidRPr="004C5271">
        <w:rPr>
          <w:rFonts w:asciiTheme="majorBidi" w:hAnsiTheme="majorBidi" w:cstheme="majorBidi"/>
          <w:lang w:val="en-AU"/>
        </w:rPr>
        <w:t xml:space="preserve">In summary, </w:t>
      </w:r>
      <w:r w:rsidR="00C20932" w:rsidRPr="004C5271">
        <w:rPr>
          <w:rFonts w:asciiTheme="majorBidi" w:hAnsiTheme="majorBidi" w:cstheme="majorBidi"/>
          <w:lang w:val="en-AU"/>
        </w:rPr>
        <w:t xml:space="preserve">several commentators and bodies have noted that </w:t>
      </w:r>
      <w:r w:rsidRPr="004C5271">
        <w:rPr>
          <w:rFonts w:asciiTheme="majorBidi" w:hAnsiTheme="majorBidi" w:cstheme="majorBidi"/>
          <w:lang w:val="en-AU"/>
        </w:rPr>
        <w:t xml:space="preserve">notional estate legislation </w:t>
      </w:r>
      <w:r w:rsidR="00E86764" w:rsidRPr="004C5271">
        <w:rPr>
          <w:rFonts w:asciiTheme="majorBidi" w:hAnsiTheme="majorBidi" w:cstheme="majorBidi"/>
          <w:lang w:val="en-AU"/>
        </w:rPr>
        <w:t>affects</w:t>
      </w:r>
      <w:r w:rsidRPr="004C5271">
        <w:rPr>
          <w:rFonts w:asciiTheme="majorBidi" w:hAnsiTheme="majorBidi" w:cstheme="majorBidi"/>
          <w:lang w:val="en-AU"/>
        </w:rPr>
        <w:t xml:space="preserve"> a person’s right to deal with </w:t>
      </w:r>
      <w:r w:rsidR="00C20932" w:rsidRPr="004C5271">
        <w:rPr>
          <w:rFonts w:asciiTheme="majorBidi" w:hAnsiTheme="majorBidi" w:cstheme="majorBidi"/>
          <w:lang w:val="en-AU"/>
        </w:rPr>
        <w:t xml:space="preserve">their </w:t>
      </w:r>
      <w:r w:rsidRPr="004C5271">
        <w:rPr>
          <w:rFonts w:asciiTheme="majorBidi" w:hAnsiTheme="majorBidi" w:cstheme="majorBidi"/>
          <w:lang w:val="en-AU"/>
        </w:rPr>
        <w:t>assets during their life</w:t>
      </w:r>
      <w:r w:rsidR="00C20932" w:rsidRPr="004C5271">
        <w:rPr>
          <w:rFonts w:asciiTheme="majorBidi" w:hAnsiTheme="majorBidi" w:cstheme="majorBidi"/>
          <w:lang w:val="en-AU"/>
        </w:rPr>
        <w:t>time</w:t>
      </w:r>
      <w:r w:rsidRPr="004C5271">
        <w:rPr>
          <w:rFonts w:asciiTheme="majorBidi" w:hAnsiTheme="majorBidi" w:cstheme="majorBidi"/>
          <w:lang w:val="en-AU"/>
        </w:rPr>
        <w:t>, in</w:t>
      </w:r>
      <w:r w:rsidR="00953AB7" w:rsidRPr="004C5271">
        <w:rPr>
          <w:rFonts w:asciiTheme="majorBidi" w:hAnsiTheme="majorBidi" w:cstheme="majorBidi"/>
          <w:lang w:val="en-AU"/>
        </w:rPr>
        <w:t xml:space="preserve">cluding their right to make gifts in accordance with their wishes. </w:t>
      </w:r>
    </w:p>
    <w:p w14:paraId="25108538" w14:textId="4C4F1E25" w:rsidR="00FC7FE5" w:rsidRPr="004C5271" w:rsidRDefault="00FC7FE5" w:rsidP="00AE2B8C">
      <w:pPr>
        <w:pStyle w:val="Sub-HeadingTLRI"/>
      </w:pPr>
      <w:r w:rsidRPr="004C5271">
        <w:lastRenderedPageBreak/>
        <w:t>Lack of demonstrated need</w:t>
      </w:r>
    </w:p>
    <w:p w14:paraId="3136E306" w14:textId="085F88A9" w:rsidR="00953AB7" w:rsidRPr="004C5271" w:rsidRDefault="00257814" w:rsidP="005812D7">
      <w:pPr>
        <w:pStyle w:val="NormalNumberedTextTLRI"/>
        <w:rPr>
          <w:rFonts w:asciiTheme="majorBidi" w:hAnsiTheme="majorBidi" w:cstheme="majorBidi"/>
          <w:lang w:val="en-AU"/>
        </w:rPr>
      </w:pPr>
      <w:bookmarkStart w:id="140" w:name="_Ref13503116"/>
      <w:r w:rsidRPr="004C5271">
        <w:rPr>
          <w:rFonts w:asciiTheme="majorBidi" w:hAnsiTheme="majorBidi" w:cstheme="majorBidi"/>
          <w:lang w:val="en-AU"/>
        </w:rPr>
        <w:t>Six submissions</w:t>
      </w:r>
      <w:r w:rsidRPr="004C5271">
        <w:rPr>
          <w:rStyle w:val="FootnoteReference"/>
          <w:rFonts w:asciiTheme="majorBidi" w:hAnsiTheme="majorBidi" w:cstheme="majorBidi"/>
          <w:lang w:val="en-AU"/>
        </w:rPr>
        <w:footnoteReference w:id="313"/>
      </w:r>
      <w:r w:rsidRPr="004C5271">
        <w:rPr>
          <w:rFonts w:asciiTheme="majorBidi" w:hAnsiTheme="majorBidi" w:cstheme="majorBidi"/>
          <w:lang w:val="en-AU"/>
        </w:rPr>
        <w:t xml:space="preserve"> expressed the view that the need for notional estate legislation has not been </w:t>
      </w:r>
      <w:r w:rsidR="00F54F82" w:rsidRPr="004C5271">
        <w:rPr>
          <w:rFonts w:asciiTheme="majorBidi" w:hAnsiTheme="majorBidi" w:cstheme="majorBidi"/>
          <w:lang w:val="en-AU"/>
        </w:rPr>
        <w:t>demonstrated</w:t>
      </w:r>
      <w:r w:rsidR="005812D7" w:rsidRPr="004C5271">
        <w:rPr>
          <w:rFonts w:asciiTheme="majorBidi" w:hAnsiTheme="majorBidi" w:cstheme="majorBidi"/>
          <w:lang w:val="en-AU"/>
        </w:rPr>
        <w:t>.</w:t>
      </w:r>
      <w:r w:rsidR="00085604" w:rsidRPr="004C5271">
        <w:rPr>
          <w:rStyle w:val="FootnoteReference"/>
          <w:rFonts w:asciiTheme="majorBidi" w:hAnsiTheme="majorBidi" w:cstheme="majorBidi"/>
          <w:lang w:val="en-AU"/>
        </w:rPr>
        <w:footnoteReference w:id="314"/>
      </w:r>
      <w:r w:rsidR="005812D7" w:rsidRPr="004C5271">
        <w:rPr>
          <w:rFonts w:asciiTheme="majorBidi" w:hAnsiTheme="majorBidi" w:cstheme="majorBidi"/>
          <w:lang w:val="en-AU"/>
        </w:rPr>
        <w:t xml:space="preserve"> It was stated that there is </w:t>
      </w:r>
      <w:r w:rsidR="004954EC" w:rsidRPr="004C5271">
        <w:rPr>
          <w:rFonts w:asciiTheme="majorBidi" w:hAnsiTheme="majorBidi" w:cstheme="majorBidi"/>
          <w:lang w:val="en-AU"/>
        </w:rPr>
        <w:t>‘</w:t>
      </w:r>
      <w:r w:rsidR="005812D7" w:rsidRPr="004C5271">
        <w:rPr>
          <w:rFonts w:asciiTheme="majorBidi" w:hAnsiTheme="majorBidi" w:cstheme="majorBidi"/>
          <w:lang w:val="en-AU"/>
        </w:rPr>
        <w:t>no wave of avoidance that needs to be cured</w:t>
      </w:r>
      <w:r w:rsidR="004954EC" w:rsidRPr="004C5271">
        <w:rPr>
          <w:rFonts w:asciiTheme="majorBidi" w:hAnsiTheme="majorBidi" w:cstheme="majorBidi"/>
          <w:lang w:val="en-AU"/>
        </w:rPr>
        <w:t>’,</w:t>
      </w:r>
      <w:r w:rsidR="005812D7" w:rsidRPr="004C5271">
        <w:rPr>
          <w:rStyle w:val="FootnoteReference"/>
          <w:rFonts w:asciiTheme="majorBidi" w:hAnsiTheme="majorBidi" w:cstheme="majorBidi"/>
          <w:lang w:val="en-AU"/>
        </w:rPr>
        <w:footnoteReference w:id="315"/>
      </w:r>
      <w:r w:rsidR="005812D7" w:rsidRPr="004C5271">
        <w:rPr>
          <w:rFonts w:asciiTheme="majorBidi" w:hAnsiTheme="majorBidi" w:cstheme="majorBidi"/>
          <w:lang w:val="en-AU"/>
        </w:rPr>
        <w:t xml:space="preserve"> and that there </w:t>
      </w:r>
      <w:r w:rsidR="00264C24" w:rsidRPr="004C5271">
        <w:rPr>
          <w:rFonts w:asciiTheme="majorBidi" w:hAnsiTheme="majorBidi" w:cstheme="majorBidi"/>
          <w:lang w:val="en-AU"/>
        </w:rPr>
        <w:t xml:space="preserve">is </w:t>
      </w:r>
      <w:r w:rsidR="005812D7" w:rsidRPr="004C5271">
        <w:rPr>
          <w:rFonts w:asciiTheme="majorBidi" w:hAnsiTheme="majorBidi" w:cstheme="majorBidi"/>
          <w:lang w:val="en-AU"/>
        </w:rPr>
        <w:t xml:space="preserve">an absence of </w:t>
      </w:r>
      <w:r w:rsidR="004954EC" w:rsidRPr="004C5271">
        <w:rPr>
          <w:rFonts w:asciiTheme="majorBidi" w:hAnsiTheme="majorBidi" w:cstheme="majorBidi"/>
          <w:lang w:val="en-AU"/>
        </w:rPr>
        <w:t>‘</w:t>
      </w:r>
      <w:r w:rsidR="005812D7" w:rsidRPr="004C5271">
        <w:rPr>
          <w:rFonts w:asciiTheme="majorBidi" w:hAnsiTheme="majorBidi" w:cstheme="majorBidi"/>
          <w:lang w:val="en-AU"/>
        </w:rPr>
        <w:t xml:space="preserve">empirical evidence of the </w:t>
      </w:r>
      <w:r w:rsidR="004954EC" w:rsidRPr="004C5271">
        <w:rPr>
          <w:rFonts w:asciiTheme="majorBidi" w:hAnsiTheme="majorBidi" w:cstheme="majorBidi"/>
          <w:lang w:val="en-AU"/>
        </w:rPr>
        <w:t>“</w:t>
      </w:r>
      <w:r w:rsidR="005812D7" w:rsidRPr="004C5271">
        <w:rPr>
          <w:rFonts w:asciiTheme="majorBidi" w:hAnsiTheme="majorBidi" w:cstheme="majorBidi"/>
          <w:lang w:val="en-AU"/>
        </w:rPr>
        <w:t>mischief</w:t>
      </w:r>
      <w:r w:rsidR="004954EC" w:rsidRPr="004C5271">
        <w:rPr>
          <w:rFonts w:asciiTheme="majorBidi" w:hAnsiTheme="majorBidi" w:cstheme="majorBidi"/>
          <w:lang w:val="en-AU"/>
        </w:rPr>
        <w:t>”</w:t>
      </w:r>
      <w:r w:rsidR="005812D7" w:rsidRPr="004C5271">
        <w:rPr>
          <w:rFonts w:asciiTheme="majorBidi" w:hAnsiTheme="majorBidi" w:cstheme="majorBidi"/>
          <w:lang w:val="en-AU"/>
        </w:rPr>
        <w:t xml:space="preserve"> that is to be corrected.</w:t>
      </w:r>
      <w:r w:rsidR="004954EC" w:rsidRPr="004C5271">
        <w:rPr>
          <w:rFonts w:asciiTheme="majorBidi" w:hAnsiTheme="majorBidi" w:cstheme="majorBidi"/>
          <w:lang w:val="en-AU"/>
        </w:rPr>
        <w:t>’</w:t>
      </w:r>
      <w:r w:rsidR="005812D7" w:rsidRPr="004C5271">
        <w:rPr>
          <w:rStyle w:val="FootnoteReference"/>
          <w:rFonts w:asciiTheme="majorBidi" w:hAnsiTheme="majorBidi" w:cstheme="majorBidi"/>
          <w:lang w:val="en-AU"/>
        </w:rPr>
        <w:footnoteReference w:id="316"/>
      </w:r>
      <w:r w:rsidR="005812D7" w:rsidRPr="004C5271">
        <w:rPr>
          <w:rFonts w:asciiTheme="majorBidi" w:hAnsiTheme="majorBidi" w:cstheme="majorBidi"/>
          <w:lang w:val="en-AU"/>
        </w:rPr>
        <w:t xml:space="preserve"> </w:t>
      </w:r>
      <w:r w:rsidR="00953AB7" w:rsidRPr="004C5271">
        <w:rPr>
          <w:rFonts w:asciiTheme="majorBidi" w:hAnsiTheme="majorBidi" w:cstheme="majorBidi"/>
          <w:lang w:val="en-AU"/>
        </w:rPr>
        <w:t>These views align with observations made at [</w:t>
      </w:r>
      <w:r w:rsidR="004954EC" w:rsidRPr="004C5271">
        <w:rPr>
          <w:rFonts w:asciiTheme="majorBidi" w:hAnsiTheme="majorBidi" w:cstheme="majorBidi"/>
          <w:lang w:val="en-AU"/>
        </w:rPr>
        <w:fldChar w:fldCharType="begin"/>
      </w:r>
      <w:r w:rsidR="004954EC" w:rsidRPr="004C5271">
        <w:rPr>
          <w:rFonts w:asciiTheme="majorBidi" w:hAnsiTheme="majorBidi" w:cstheme="majorBidi"/>
          <w:lang w:val="en-AU"/>
        </w:rPr>
        <w:instrText xml:space="preserve"> REF _Ref13329508 \r \h </w:instrText>
      </w:r>
      <w:r w:rsidR="004C5271">
        <w:rPr>
          <w:rFonts w:asciiTheme="majorBidi" w:hAnsiTheme="majorBidi" w:cstheme="majorBidi"/>
          <w:lang w:val="en-AU"/>
        </w:rPr>
        <w:instrText xml:space="preserve"> \* MERGEFORMAT </w:instrText>
      </w:r>
      <w:r w:rsidR="004954EC" w:rsidRPr="004C5271">
        <w:rPr>
          <w:rFonts w:asciiTheme="majorBidi" w:hAnsiTheme="majorBidi" w:cstheme="majorBidi"/>
          <w:lang w:val="en-AU"/>
        </w:rPr>
      </w:r>
      <w:r w:rsidR="004954EC"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5.5.10</w:t>
      </w:r>
      <w:r w:rsidR="004954EC" w:rsidRPr="004C5271">
        <w:rPr>
          <w:rFonts w:asciiTheme="majorBidi" w:hAnsiTheme="majorBidi" w:cstheme="majorBidi"/>
          <w:lang w:val="en-AU"/>
        </w:rPr>
        <w:fldChar w:fldCharType="end"/>
      </w:r>
      <w:r w:rsidR="00953AB7" w:rsidRPr="004C5271">
        <w:rPr>
          <w:rFonts w:asciiTheme="majorBidi" w:hAnsiTheme="majorBidi" w:cstheme="majorBidi"/>
          <w:lang w:val="en-AU"/>
        </w:rPr>
        <w:t xml:space="preserve">] that the instance of notional estate orders in New South Wales is relatively infrequent. This </w:t>
      </w:r>
      <w:r w:rsidR="00FA1DB7" w:rsidRPr="004C5271">
        <w:rPr>
          <w:rFonts w:asciiTheme="majorBidi" w:hAnsiTheme="majorBidi" w:cstheme="majorBidi"/>
          <w:lang w:val="en-AU"/>
        </w:rPr>
        <w:t xml:space="preserve">fact raises questions about first, whether there is a </w:t>
      </w:r>
      <w:proofErr w:type="gramStart"/>
      <w:r w:rsidR="00FA1DB7" w:rsidRPr="004C5271">
        <w:rPr>
          <w:rFonts w:asciiTheme="majorBidi" w:hAnsiTheme="majorBidi" w:cstheme="majorBidi"/>
          <w:lang w:val="en-AU"/>
        </w:rPr>
        <w:t>sufficient</w:t>
      </w:r>
      <w:proofErr w:type="gramEnd"/>
      <w:r w:rsidR="00FA1DB7" w:rsidRPr="004C5271">
        <w:rPr>
          <w:rFonts w:asciiTheme="majorBidi" w:hAnsiTheme="majorBidi" w:cstheme="majorBidi"/>
          <w:lang w:val="en-AU"/>
        </w:rPr>
        <w:t xml:space="preserve"> </w:t>
      </w:r>
      <w:r w:rsidR="00E86764" w:rsidRPr="004C5271">
        <w:rPr>
          <w:rFonts w:asciiTheme="majorBidi" w:hAnsiTheme="majorBidi" w:cstheme="majorBidi"/>
          <w:lang w:val="en-AU"/>
        </w:rPr>
        <w:t>problem</w:t>
      </w:r>
      <w:r w:rsidR="00FA1DB7" w:rsidRPr="004C5271">
        <w:rPr>
          <w:rFonts w:asciiTheme="majorBidi" w:hAnsiTheme="majorBidi" w:cstheme="majorBidi"/>
          <w:lang w:val="en-AU"/>
        </w:rPr>
        <w:t xml:space="preserve"> </w:t>
      </w:r>
      <w:r w:rsidR="00856A73" w:rsidRPr="004C5271">
        <w:rPr>
          <w:rFonts w:asciiTheme="majorBidi" w:hAnsiTheme="majorBidi" w:cstheme="majorBidi"/>
          <w:lang w:val="en-AU"/>
        </w:rPr>
        <w:t>with</w:t>
      </w:r>
      <w:r w:rsidR="00FA1DB7" w:rsidRPr="004C5271">
        <w:rPr>
          <w:rFonts w:asciiTheme="majorBidi" w:hAnsiTheme="majorBidi" w:cstheme="majorBidi"/>
          <w:lang w:val="en-AU"/>
        </w:rPr>
        <w:t xml:space="preserve"> the law that requires redress and, secondly, whether New South Wales’ notional estate laws address the perceived need.</w:t>
      </w:r>
      <w:bookmarkEnd w:id="140"/>
    </w:p>
    <w:p w14:paraId="037210B2" w14:textId="7DBF5BEF" w:rsidR="008E3B9B" w:rsidRPr="004C5271" w:rsidRDefault="008E3B9B" w:rsidP="005812D7">
      <w:pPr>
        <w:pStyle w:val="NormalNumberedTextTLRI"/>
        <w:rPr>
          <w:rFonts w:asciiTheme="majorBidi" w:hAnsiTheme="majorBidi" w:cstheme="majorBidi"/>
          <w:lang w:val="en-AU"/>
        </w:rPr>
      </w:pPr>
      <w:r w:rsidRPr="004C5271">
        <w:rPr>
          <w:rFonts w:asciiTheme="majorBidi" w:hAnsiTheme="majorBidi" w:cstheme="majorBidi"/>
          <w:lang w:val="en-AU"/>
        </w:rPr>
        <w:t>Justin McMullen stated</w:t>
      </w:r>
      <w:r w:rsidR="00F54F82" w:rsidRPr="004C5271">
        <w:rPr>
          <w:rFonts w:asciiTheme="majorBidi" w:hAnsiTheme="majorBidi" w:cstheme="majorBidi"/>
          <w:lang w:val="en-AU"/>
        </w:rPr>
        <w:t xml:space="preserve"> that instances </w:t>
      </w:r>
      <w:r w:rsidR="00057045" w:rsidRPr="004C5271">
        <w:rPr>
          <w:rFonts w:asciiTheme="majorBidi" w:hAnsiTheme="majorBidi" w:cstheme="majorBidi"/>
          <w:lang w:val="en-AU"/>
        </w:rPr>
        <w:t xml:space="preserve">where </w:t>
      </w:r>
      <w:r w:rsidR="00F54F82" w:rsidRPr="004C5271">
        <w:rPr>
          <w:rFonts w:asciiTheme="majorBidi" w:hAnsiTheme="majorBidi" w:cstheme="majorBidi"/>
          <w:lang w:val="en-AU"/>
        </w:rPr>
        <w:t>one party to a relationship own</w:t>
      </w:r>
      <w:r w:rsidR="00057045" w:rsidRPr="004C5271">
        <w:rPr>
          <w:rFonts w:asciiTheme="majorBidi" w:hAnsiTheme="majorBidi" w:cstheme="majorBidi"/>
          <w:lang w:val="en-AU"/>
        </w:rPr>
        <w:t xml:space="preserve">s </w:t>
      </w:r>
      <w:r w:rsidR="00F54F82" w:rsidRPr="004C5271">
        <w:rPr>
          <w:rFonts w:asciiTheme="majorBidi" w:hAnsiTheme="majorBidi" w:cstheme="majorBidi"/>
          <w:lang w:val="en-AU"/>
        </w:rPr>
        <w:t xml:space="preserve">all assets of the </w:t>
      </w:r>
      <w:r w:rsidR="00DB44DB" w:rsidRPr="004C5271">
        <w:rPr>
          <w:rFonts w:asciiTheme="majorBidi" w:hAnsiTheme="majorBidi" w:cstheme="majorBidi"/>
          <w:lang w:val="en-AU"/>
        </w:rPr>
        <w:t>couple</w:t>
      </w:r>
      <w:r w:rsidR="00F54F82" w:rsidRPr="004C5271">
        <w:rPr>
          <w:rFonts w:asciiTheme="majorBidi" w:hAnsiTheme="majorBidi" w:cstheme="majorBidi"/>
          <w:lang w:val="en-AU"/>
        </w:rPr>
        <w:t xml:space="preserve"> solely is</w:t>
      </w:r>
      <w:r w:rsidR="00057045" w:rsidRPr="004C5271">
        <w:rPr>
          <w:rFonts w:asciiTheme="majorBidi" w:hAnsiTheme="majorBidi" w:cstheme="majorBidi"/>
          <w:lang w:val="en-AU"/>
        </w:rPr>
        <w:t xml:space="preserve"> declining</w:t>
      </w:r>
      <w:r w:rsidR="00264C24" w:rsidRPr="004C5271">
        <w:rPr>
          <w:rFonts w:asciiTheme="majorBidi" w:hAnsiTheme="majorBidi" w:cstheme="majorBidi"/>
          <w:lang w:val="en-AU"/>
        </w:rPr>
        <w:t>,</w:t>
      </w:r>
      <w:r w:rsidR="00057045" w:rsidRPr="004C5271">
        <w:rPr>
          <w:rFonts w:asciiTheme="majorBidi" w:hAnsiTheme="majorBidi" w:cstheme="majorBidi"/>
          <w:lang w:val="en-AU"/>
        </w:rPr>
        <w:t xml:space="preserve"> meaning that </w:t>
      </w:r>
      <w:r w:rsidR="00DB44DB" w:rsidRPr="004C5271">
        <w:rPr>
          <w:rFonts w:asciiTheme="majorBidi" w:hAnsiTheme="majorBidi" w:cstheme="majorBidi"/>
          <w:lang w:val="en-AU"/>
        </w:rPr>
        <w:t>cases where a surviving spouse is left with</w:t>
      </w:r>
      <w:r w:rsidR="00E07C14" w:rsidRPr="004C5271">
        <w:rPr>
          <w:rFonts w:asciiTheme="majorBidi" w:hAnsiTheme="majorBidi" w:cstheme="majorBidi"/>
          <w:lang w:val="en-AU"/>
        </w:rPr>
        <w:t>out</w:t>
      </w:r>
      <w:r w:rsidR="00DB44DB" w:rsidRPr="004C5271">
        <w:rPr>
          <w:rFonts w:asciiTheme="majorBidi" w:hAnsiTheme="majorBidi" w:cstheme="majorBidi"/>
          <w:lang w:val="en-AU"/>
        </w:rPr>
        <w:t xml:space="preserve"> adequate provision is</w:t>
      </w:r>
      <w:r w:rsidR="00E07C14" w:rsidRPr="004C5271">
        <w:rPr>
          <w:rFonts w:asciiTheme="majorBidi" w:hAnsiTheme="majorBidi" w:cstheme="majorBidi"/>
          <w:lang w:val="en-AU"/>
        </w:rPr>
        <w:t xml:space="preserve"> declining,</w:t>
      </w:r>
      <w:r w:rsidR="00DB44DB" w:rsidRPr="004C5271">
        <w:rPr>
          <w:rFonts w:asciiTheme="majorBidi" w:hAnsiTheme="majorBidi" w:cstheme="majorBidi"/>
          <w:lang w:val="en-AU"/>
        </w:rPr>
        <w:t xml:space="preserve"> and will </w:t>
      </w:r>
      <w:r w:rsidR="005812D7" w:rsidRPr="004C5271">
        <w:rPr>
          <w:rFonts w:asciiTheme="majorBidi" w:hAnsiTheme="majorBidi" w:cstheme="majorBidi"/>
          <w:lang w:val="en-AU"/>
        </w:rPr>
        <w:t xml:space="preserve">continue to </w:t>
      </w:r>
      <w:r w:rsidR="00DB44DB" w:rsidRPr="004C5271">
        <w:rPr>
          <w:rFonts w:asciiTheme="majorBidi" w:hAnsiTheme="majorBidi" w:cstheme="majorBidi"/>
          <w:lang w:val="en-AU"/>
        </w:rPr>
        <w:t>decline</w:t>
      </w:r>
      <w:r w:rsidRPr="004C5271">
        <w:rPr>
          <w:rFonts w:asciiTheme="majorBidi" w:hAnsiTheme="majorBidi" w:cstheme="majorBidi"/>
          <w:lang w:val="en-AU"/>
        </w:rPr>
        <w:t>:</w:t>
      </w:r>
    </w:p>
    <w:p w14:paraId="1C65DB13" w14:textId="2B2EB587" w:rsidR="00FC7FE5" w:rsidRPr="004C5271" w:rsidRDefault="00FC7FE5" w:rsidP="004954EC">
      <w:pPr>
        <w:pStyle w:val="QuoteTLRI"/>
        <w:rPr>
          <w:rFonts w:asciiTheme="majorBidi" w:hAnsiTheme="majorBidi" w:cstheme="majorBidi"/>
        </w:rPr>
      </w:pPr>
      <w:r w:rsidRPr="004C5271">
        <w:rPr>
          <w:rFonts w:asciiTheme="majorBidi" w:hAnsiTheme="majorBidi" w:cstheme="majorBidi"/>
        </w:rPr>
        <w:t>It is rare in my experience to find one spouse of a couple who is ignorant as to the assets of the relationship. Anecdotally, people are more knowledgeable about the ownership arrangements of their personal and real property and their corporate and trust structures. To that end, it is less likely that one spouse of a couple will own the property of the relationship in their sole name. It is for that reason that the incidence of lack of provision to surviving spouses has diminished and will continue to diminish over time.</w:t>
      </w:r>
    </w:p>
    <w:p w14:paraId="272F5C32" w14:textId="7049DDFD" w:rsidR="00D70D18" w:rsidRPr="004C5271" w:rsidRDefault="00953AB7" w:rsidP="00F259B1">
      <w:pPr>
        <w:pStyle w:val="NormalNumberedTextTLRI"/>
        <w:rPr>
          <w:rFonts w:asciiTheme="majorBidi" w:hAnsiTheme="majorBidi" w:cstheme="majorBidi"/>
          <w:lang w:val="en-AU"/>
        </w:rPr>
      </w:pPr>
      <w:r w:rsidRPr="004C5271">
        <w:rPr>
          <w:rFonts w:asciiTheme="majorBidi" w:hAnsiTheme="majorBidi" w:cstheme="majorBidi"/>
          <w:lang w:val="en-AU"/>
        </w:rPr>
        <w:t xml:space="preserve">Lawyer </w:t>
      </w:r>
      <w:r w:rsidR="005812D7" w:rsidRPr="004C5271">
        <w:rPr>
          <w:rFonts w:asciiTheme="majorBidi" w:hAnsiTheme="majorBidi" w:cstheme="majorBidi"/>
          <w:lang w:val="en-AU"/>
        </w:rPr>
        <w:t>Essen Bradbury commented that further evidence is required to demonstrate a need for legislative reform:</w:t>
      </w:r>
    </w:p>
    <w:p w14:paraId="77728E6F" w14:textId="7AB5862F" w:rsidR="00D70D18" w:rsidRPr="004C5271" w:rsidRDefault="00D70D18" w:rsidP="004954EC">
      <w:pPr>
        <w:pStyle w:val="QuoteTLRI"/>
        <w:rPr>
          <w:rFonts w:asciiTheme="majorBidi" w:hAnsiTheme="majorBidi" w:cstheme="majorBidi"/>
        </w:rPr>
      </w:pPr>
      <w:r w:rsidRPr="004C5271">
        <w:rPr>
          <w:rFonts w:asciiTheme="majorBidi" w:hAnsiTheme="majorBidi" w:cstheme="majorBidi"/>
        </w:rPr>
        <w:t xml:space="preserve">this quick survey is inadequate if we are going to undertake such structural reform to the TFM legislation that has been brought about by one instance of what may appear on its surface to be an </w:t>
      </w:r>
      <w:r w:rsidRPr="004C5271">
        <w:rPr>
          <w:rFonts w:asciiTheme="majorBidi" w:hAnsiTheme="majorBidi" w:cstheme="majorBidi"/>
        </w:rPr>
        <w:lastRenderedPageBreak/>
        <w:t>unfair outcome. Accordingly, more research to investigate the costs of estate legislation, and a review of matters that are dealt with out of court needs to be undertaken before making such dramatic erosions of testamentary freedom.</w:t>
      </w:r>
    </w:p>
    <w:p w14:paraId="20E9BB3A" w14:textId="754792A1" w:rsidR="00AE098C" w:rsidRPr="004C5271" w:rsidRDefault="00CA6ECD" w:rsidP="00AE098C">
      <w:pPr>
        <w:pStyle w:val="NormalNumberedTextTLRI"/>
        <w:rPr>
          <w:rFonts w:asciiTheme="majorBidi" w:hAnsiTheme="majorBidi" w:cstheme="majorBidi"/>
          <w:lang w:val="en-AU"/>
        </w:rPr>
      </w:pPr>
      <w:r w:rsidRPr="004C5271">
        <w:rPr>
          <w:rFonts w:asciiTheme="majorBidi" w:hAnsiTheme="majorBidi" w:cstheme="majorBidi"/>
          <w:lang w:val="en-AU"/>
        </w:rPr>
        <w:t>Two respondents</w:t>
      </w:r>
      <w:r w:rsidR="00AE098C" w:rsidRPr="004C5271">
        <w:rPr>
          <w:rFonts w:asciiTheme="majorBidi" w:hAnsiTheme="majorBidi" w:cstheme="majorBidi"/>
          <w:lang w:val="en-AU"/>
        </w:rPr>
        <w:t xml:space="preserve"> </w:t>
      </w:r>
      <w:r w:rsidR="00910665" w:rsidRPr="004C5271">
        <w:rPr>
          <w:rFonts w:asciiTheme="majorBidi" w:hAnsiTheme="majorBidi" w:cstheme="majorBidi"/>
          <w:lang w:val="en-AU"/>
        </w:rPr>
        <w:t xml:space="preserve">similarly </w:t>
      </w:r>
      <w:r w:rsidR="00AE098C" w:rsidRPr="004C5271">
        <w:rPr>
          <w:rFonts w:asciiTheme="majorBidi" w:hAnsiTheme="majorBidi" w:cstheme="majorBidi"/>
          <w:lang w:val="en-AU"/>
        </w:rPr>
        <w:t xml:space="preserve">submitted that there would need to be a compelling argument </w:t>
      </w:r>
      <w:r w:rsidR="00910665" w:rsidRPr="004C5271">
        <w:rPr>
          <w:rFonts w:asciiTheme="majorBidi" w:hAnsiTheme="majorBidi" w:cstheme="majorBidi"/>
          <w:lang w:val="en-AU"/>
        </w:rPr>
        <w:t>to</w:t>
      </w:r>
      <w:r w:rsidR="00AE098C" w:rsidRPr="004C5271">
        <w:rPr>
          <w:rFonts w:asciiTheme="majorBidi" w:hAnsiTheme="majorBidi" w:cstheme="majorBidi"/>
          <w:lang w:val="en-AU"/>
        </w:rPr>
        <w:t xml:space="preserve"> justify the intrusion upon a person’s rights to deal with their assets as they please</w:t>
      </w:r>
      <w:r w:rsidR="00910665"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317"/>
      </w:r>
    </w:p>
    <w:p w14:paraId="67E04828" w14:textId="79206D42" w:rsidR="00F61D9A" w:rsidRPr="004C5271" w:rsidRDefault="00F61D9A" w:rsidP="00AE2B8C">
      <w:pPr>
        <w:pStyle w:val="Sub-HeadingTLRI"/>
      </w:pPr>
      <w:r w:rsidRPr="004C5271">
        <w:t>Will</w:t>
      </w:r>
      <w:r w:rsidR="000B7F3C" w:rsidRPr="004C5271">
        <w:t>-</w:t>
      </w:r>
      <w:r w:rsidRPr="004C5271">
        <w:t>makers are best equipped to assess the competing claims to their assets</w:t>
      </w:r>
    </w:p>
    <w:p w14:paraId="0042232D" w14:textId="43510D4D" w:rsidR="00F61D9A" w:rsidRPr="004C5271" w:rsidRDefault="00471466" w:rsidP="00401866">
      <w:pPr>
        <w:pStyle w:val="NormalNumberedTextTLRI"/>
        <w:rPr>
          <w:rFonts w:asciiTheme="majorBidi" w:hAnsiTheme="majorBidi" w:cstheme="majorBidi"/>
          <w:lang w:val="en-AU"/>
        </w:rPr>
      </w:pPr>
      <w:bookmarkStart w:id="142" w:name="_Ref13503399"/>
      <w:r w:rsidRPr="004C5271">
        <w:rPr>
          <w:rFonts w:asciiTheme="majorBidi" w:hAnsiTheme="majorBidi" w:cstheme="majorBidi"/>
          <w:lang w:val="en-AU"/>
        </w:rPr>
        <w:t>An Australian study of will-making trends found that over one quarter of the people surveyed who had made wills making unequal provision between their children stated that their reasons for doing so were in recognition of financial contributions or work.</w:t>
      </w:r>
      <w:r w:rsidRPr="004C5271">
        <w:rPr>
          <w:rStyle w:val="FootnoteReference"/>
          <w:rFonts w:asciiTheme="majorBidi" w:hAnsiTheme="majorBidi" w:cstheme="majorBidi"/>
        </w:rPr>
        <w:footnoteReference w:id="318"/>
      </w:r>
      <w:r w:rsidRPr="004C5271">
        <w:rPr>
          <w:rFonts w:asciiTheme="majorBidi" w:hAnsiTheme="majorBidi" w:cstheme="majorBidi"/>
          <w:lang w:val="en-AU"/>
        </w:rPr>
        <w:t xml:space="preserve"> </w:t>
      </w:r>
      <w:r w:rsidR="00401866" w:rsidRPr="004C5271">
        <w:rPr>
          <w:rFonts w:asciiTheme="majorBidi" w:hAnsiTheme="majorBidi" w:cstheme="majorBidi"/>
          <w:lang w:val="en-AU"/>
        </w:rPr>
        <w:t>Consistent with these findings, s</w:t>
      </w:r>
      <w:r w:rsidR="00502759" w:rsidRPr="004C5271">
        <w:rPr>
          <w:rFonts w:asciiTheme="majorBidi" w:hAnsiTheme="majorBidi" w:cstheme="majorBidi"/>
          <w:lang w:val="en-AU"/>
        </w:rPr>
        <w:t>ome</w:t>
      </w:r>
      <w:r w:rsidR="00F61D9A" w:rsidRPr="004C5271">
        <w:rPr>
          <w:rFonts w:asciiTheme="majorBidi" w:hAnsiTheme="majorBidi" w:cstheme="majorBidi"/>
          <w:lang w:val="en-AU"/>
        </w:rPr>
        <w:t xml:space="preserve"> respondents observed that individuals may, during their life</w:t>
      </w:r>
      <w:r w:rsidR="00401866" w:rsidRPr="004C5271">
        <w:rPr>
          <w:rFonts w:asciiTheme="majorBidi" w:hAnsiTheme="majorBidi" w:cstheme="majorBidi"/>
          <w:lang w:val="en-AU"/>
        </w:rPr>
        <w:t>time</w:t>
      </w:r>
      <w:r w:rsidR="00F61D9A" w:rsidRPr="004C5271">
        <w:rPr>
          <w:rFonts w:asciiTheme="majorBidi" w:hAnsiTheme="majorBidi" w:cstheme="majorBidi"/>
          <w:lang w:val="en-AU"/>
        </w:rPr>
        <w:t>, make gifts to someone in recognition of, or to compensate them for their assistance or support. It was submitted that individuals should have the freedom to make gifts to thank or reward effort and that it is inappropriate for those transactions to be later subject to challenge under a family provision claim.</w:t>
      </w:r>
      <w:r w:rsidR="00942214" w:rsidRPr="004C5271">
        <w:rPr>
          <w:rStyle w:val="FootnoteReference"/>
          <w:rFonts w:asciiTheme="majorBidi" w:hAnsiTheme="majorBidi" w:cstheme="majorBidi"/>
          <w:lang w:val="en-AU"/>
        </w:rPr>
        <w:footnoteReference w:id="319"/>
      </w:r>
      <w:r w:rsidR="00F61D9A" w:rsidRPr="004C5271">
        <w:rPr>
          <w:rFonts w:asciiTheme="majorBidi" w:hAnsiTheme="majorBidi" w:cstheme="majorBidi"/>
          <w:lang w:val="en-AU"/>
        </w:rPr>
        <w:t xml:space="preserve"> </w:t>
      </w:r>
      <w:r w:rsidRPr="004C5271">
        <w:rPr>
          <w:rFonts w:asciiTheme="majorBidi" w:hAnsiTheme="majorBidi" w:cstheme="majorBidi"/>
          <w:lang w:val="en-AU"/>
        </w:rPr>
        <w:t>The Elder Law Committee also provided the example of a</w:t>
      </w:r>
      <w:r w:rsidR="000570BA" w:rsidRPr="004C5271">
        <w:rPr>
          <w:rFonts w:asciiTheme="majorBidi" w:hAnsiTheme="majorBidi" w:cstheme="majorBidi"/>
          <w:lang w:val="en-AU"/>
        </w:rPr>
        <w:t xml:space="preserve"> parent who, during their lifetime, transfers a shack to one of their children as they </w:t>
      </w:r>
      <w:r w:rsidRPr="004C5271">
        <w:rPr>
          <w:rFonts w:asciiTheme="majorBidi" w:hAnsiTheme="majorBidi" w:cstheme="majorBidi"/>
          <w:lang w:val="en-AU"/>
        </w:rPr>
        <w:t xml:space="preserve">pay </w:t>
      </w:r>
      <w:r w:rsidR="00942214" w:rsidRPr="004C5271">
        <w:rPr>
          <w:rFonts w:asciiTheme="majorBidi" w:hAnsiTheme="majorBidi" w:cstheme="majorBidi"/>
          <w:lang w:val="en-AU"/>
        </w:rPr>
        <w:t xml:space="preserve">all </w:t>
      </w:r>
      <w:r w:rsidRPr="004C5271">
        <w:rPr>
          <w:rFonts w:asciiTheme="majorBidi" w:hAnsiTheme="majorBidi" w:cstheme="majorBidi"/>
          <w:lang w:val="en-AU"/>
        </w:rPr>
        <w:t xml:space="preserve">the maintenance and other expenses and </w:t>
      </w:r>
      <w:r w:rsidR="000570BA" w:rsidRPr="004C5271">
        <w:rPr>
          <w:rFonts w:asciiTheme="majorBidi" w:hAnsiTheme="majorBidi" w:cstheme="majorBidi"/>
          <w:lang w:val="en-AU"/>
        </w:rPr>
        <w:t>are</w:t>
      </w:r>
      <w:r w:rsidRPr="004C5271">
        <w:rPr>
          <w:rFonts w:asciiTheme="majorBidi" w:hAnsiTheme="majorBidi" w:cstheme="majorBidi"/>
          <w:lang w:val="en-AU"/>
        </w:rPr>
        <w:t xml:space="preserve"> the only </w:t>
      </w:r>
      <w:r w:rsidR="00910665" w:rsidRPr="004C5271">
        <w:rPr>
          <w:rFonts w:asciiTheme="majorBidi" w:hAnsiTheme="majorBidi" w:cstheme="majorBidi"/>
          <w:lang w:val="en-AU"/>
        </w:rPr>
        <w:t>child</w:t>
      </w:r>
      <w:r w:rsidR="000570BA" w:rsidRPr="004C5271">
        <w:rPr>
          <w:rFonts w:asciiTheme="majorBidi" w:hAnsiTheme="majorBidi" w:cstheme="majorBidi"/>
          <w:lang w:val="en-AU"/>
        </w:rPr>
        <w:t xml:space="preserve"> </w:t>
      </w:r>
      <w:r w:rsidRPr="004C5271">
        <w:rPr>
          <w:rFonts w:asciiTheme="majorBidi" w:hAnsiTheme="majorBidi" w:cstheme="majorBidi"/>
          <w:lang w:val="en-AU"/>
        </w:rPr>
        <w:t>who use</w:t>
      </w:r>
      <w:r w:rsidR="00AE3D14" w:rsidRPr="004C5271">
        <w:rPr>
          <w:rFonts w:asciiTheme="majorBidi" w:hAnsiTheme="majorBidi" w:cstheme="majorBidi"/>
          <w:lang w:val="en-AU"/>
        </w:rPr>
        <w:t>s</w:t>
      </w:r>
      <w:r w:rsidRPr="004C5271">
        <w:rPr>
          <w:rFonts w:asciiTheme="majorBidi" w:hAnsiTheme="majorBidi" w:cstheme="majorBidi"/>
          <w:lang w:val="en-AU"/>
        </w:rPr>
        <w:t xml:space="preserve"> it</w:t>
      </w:r>
      <w:r w:rsidR="000570BA" w:rsidRPr="004C5271">
        <w:rPr>
          <w:rFonts w:asciiTheme="majorBidi" w:hAnsiTheme="majorBidi" w:cstheme="majorBidi"/>
          <w:lang w:val="en-AU"/>
        </w:rPr>
        <w:t xml:space="preserve">. The Committee commented </w:t>
      </w:r>
      <w:r w:rsidRPr="004C5271">
        <w:rPr>
          <w:rFonts w:asciiTheme="majorBidi" w:hAnsiTheme="majorBidi" w:cstheme="majorBidi"/>
          <w:lang w:val="en-AU"/>
        </w:rPr>
        <w:t xml:space="preserve">that notional estate laws </w:t>
      </w:r>
      <w:r w:rsidR="000570BA" w:rsidRPr="004C5271">
        <w:rPr>
          <w:rFonts w:asciiTheme="majorBidi" w:hAnsiTheme="majorBidi" w:cstheme="majorBidi"/>
          <w:lang w:val="en-AU"/>
        </w:rPr>
        <w:t xml:space="preserve">could disadvantage </w:t>
      </w:r>
      <w:r w:rsidR="00910665" w:rsidRPr="004C5271">
        <w:rPr>
          <w:rFonts w:asciiTheme="majorBidi" w:hAnsiTheme="majorBidi" w:cstheme="majorBidi"/>
          <w:lang w:val="en-AU"/>
        </w:rPr>
        <w:t>the recipient of the shack</w:t>
      </w:r>
      <w:r w:rsidR="000570BA" w:rsidRPr="004C5271">
        <w:rPr>
          <w:rFonts w:asciiTheme="majorBidi" w:hAnsiTheme="majorBidi" w:cstheme="majorBidi"/>
          <w:lang w:val="en-AU"/>
        </w:rPr>
        <w:t xml:space="preserve"> in those circumstances</w:t>
      </w:r>
      <w:r w:rsidRPr="004C5271">
        <w:rPr>
          <w:rFonts w:asciiTheme="majorBidi" w:hAnsiTheme="majorBidi" w:cstheme="majorBidi"/>
          <w:lang w:val="en-AU"/>
        </w:rPr>
        <w:t>.</w:t>
      </w:r>
      <w:bookmarkEnd w:id="142"/>
      <w:r w:rsidRPr="004C5271">
        <w:rPr>
          <w:rFonts w:asciiTheme="majorBidi" w:hAnsiTheme="majorBidi" w:cstheme="majorBidi"/>
          <w:lang w:val="en-AU"/>
        </w:rPr>
        <w:t xml:space="preserve"> </w:t>
      </w:r>
    </w:p>
    <w:p w14:paraId="12964DF8" w14:textId="6C0C84BF" w:rsidR="008C7585" w:rsidRPr="004C5271" w:rsidRDefault="00942214" w:rsidP="008F6E27">
      <w:pPr>
        <w:pStyle w:val="NormalNumberedTextTLRI"/>
        <w:rPr>
          <w:rFonts w:asciiTheme="majorBidi" w:hAnsiTheme="majorBidi" w:cstheme="majorBidi"/>
          <w:lang w:val="en-AU"/>
        </w:rPr>
      </w:pPr>
      <w:bookmarkStart w:id="143" w:name="_Ref13302837"/>
      <w:r w:rsidRPr="004C5271">
        <w:rPr>
          <w:rFonts w:asciiTheme="majorBidi" w:hAnsiTheme="majorBidi" w:cstheme="majorBidi"/>
          <w:lang w:val="en-AU"/>
        </w:rPr>
        <w:t>When reviewing its succession laws, the N</w:t>
      </w:r>
      <w:r w:rsidR="00EC5779" w:rsidRPr="004C5271">
        <w:rPr>
          <w:rFonts w:asciiTheme="majorBidi" w:hAnsiTheme="majorBidi" w:cstheme="majorBidi"/>
          <w:lang w:val="en-AU"/>
        </w:rPr>
        <w:t xml:space="preserve">ew </w:t>
      </w:r>
      <w:r w:rsidRPr="004C5271">
        <w:rPr>
          <w:rFonts w:asciiTheme="majorBidi" w:hAnsiTheme="majorBidi" w:cstheme="majorBidi"/>
          <w:lang w:val="en-AU"/>
        </w:rPr>
        <w:t>Z</w:t>
      </w:r>
      <w:r w:rsidR="00EC5779" w:rsidRPr="004C5271">
        <w:rPr>
          <w:rFonts w:asciiTheme="majorBidi" w:hAnsiTheme="majorBidi" w:cstheme="majorBidi"/>
          <w:lang w:val="en-AU"/>
        </w:rPr>
        <w:t xml:space="preserve">ealand </w:t>
      </w:r>
      <w:r w:rsidRPr="004C5271">
        <w:rPr>
          <w:rFonts w:asciiTheme="majorBidi" w:hAnsiTheme="majorBidi" w:cstheme="majorBidi"/>
          <w:lang w:val="en-AU"/>
        </w:rPr>
        <w:t>L</w:t>
      </w:r>
      <w:r w:rsidR="00EC5779" w:rsidRPr="004C5271">
        <w:rPr>
          <w:rFonts w:asciiTheme="majorBidi" w:hAnsiTheme="majorBidi" w:cstheme="majorBidi"/>
          <w:lang w:val="en-AU"/>
        </w:rPr>
        <w:t xml:space="preserve">aw </w:t>
      </w:r>
      <w:r w:rsidRPr="004C5271">
        <w:rPr>
          <w:rFonts w:asciiTheme="majorBidi" w:hAnsiTheme="majorBidi" w:cstheme="majorBidi"/>
          <w:lang w:val="en-AU"/>
        </w:rPr>
        <w:t>C</w:t>
      </w:r>
      <w:r w:rsidR="00EC5779" w:rsidRPr="004C5271">
        <w:rPr>
          <w:rFonts w:asciiTheme="majorBidi" w:hAnsiTheme="majorBidi" w:cstheme="majorBidi"/>
          <w:lang w:val="en-AU"/>
        </w:rPr>
        <w:t>ommission</w:t>
      </w:r>
      <w:r w:rsidRPr="004C5271">
        <w:rPr>
          <w:rFonts w:asciiTheme="majorBidi" w:hAnsiTheme="majorBidi" w:cstheme="majorBidi"/>
          <w:lang w:val="en-AU"/>
        </w:rPr>
        <w:t xml:space="preserve"> expressed the view that</w:t>
      </w:r>
      <w:r w:rsidR="00AE3D14" w:rsidRPr="004C5271">
        <w:rPr>
          <w:rFonts w:asciiTheme="majorBidi" w:hAnsiTheme="majorBidi" w:cstheme="majorBidi"/>
          <w:lang w:val="en-AU"/>
        </w:rPr>
        <w:t>,</w:t>
      </w:r>
      <w:r w:rsidRPr="004C5271">
        <w:rPr>
          <w:rFonts w:asciiTheme="majorBidi" w:hAnsiTheme="majorBidi" w:cstheme="majorBidi"/>
          <w:lang w:val="en-AU"/>
        </w:rPr>
        <w:t xml:space="preserve"> </w:t>
      </w:r>
      <w:r w:rsidR="00AE3D14" w:rsidRPr="004C5271">
        <w:rPr>
          <w:rFonts w:asciiTheme="majorBidi" w:eastAsia="Times New Roman" w:hAnsiTheme="majorBidi" w:cstheme="majorBidi"/>
          <w:color w:val="333333"/>
          <w:lang w:val="en-AU"/>
        </w:rPr>
        <w:t>‘[i]</w:t>
      </w:r>
      <w:r w:rsidRPr="004C5271">
        <w:rPr>
          <w:rFonts w:asciiTheme="majorBidi" w:eastAsia="Times New Roman" w:hAnsiTheme="majorBidi" w:cstheme="majorBidi"/>
          <w:color w:val="333333"/>
          <w:lang w:val="en-AU"/>
        </w:rPr>
        <w:t>n many cases the best person to judge who is family and what duties are owed to family is the will-maker.</w:t>
      </w:r>
      <w:r w:rsidR="00F74A84" w:rsidRPr="004C5271">
        <w:rPr>
          <w:rFonts w:asciiTheme="majorBidi" w:eastAsia="Times New Roman" w:hAnsiTheme="majorBidi" w:cstheme="majorBidi"/>
          <w:color w:val="333333"/>
          <w:lang w:val="en-AU"/>
        </w:rPr>
        <w:t>’</w:t>
      </w:r>
      <w:r w:rsidRPr="004C5271">
        <w:rPr>
          <w:rStyle w:val="FootnoteReference"/>
          <w:rFonts w:asciiTheme="majorBidi" w:eastAsia="Times New Roman" w:hAnsiTheme="majorBidi" w:cstheme="majorBidi"/>
          <w:color w:val="333333"/>
          <w:lang w:val="en-AU"/>
        </w:rPr>
        <w:footnoteReference w:id="320"/>
      </w:r>
      <w:r w:rsidRPr="004C5271">
        <w:rPr>
          <w:rFonts w:asciiTheme="majorBidi" w:eastAsia="Times New Roman" w:hAnsiTheme="majorBidi" w:cstheme="majorBidi"/>
          <w:color w:val="333333"/>
          <w:lang w:val="en-AU"/>
        </w:rPr>
        <w:t xml:space="preserve"> </w:t>
      </w:r>
      <w:r w:rsidR="008C7585" w:rsidRPr="004C5271">
        <w:rPr>
          <w:rFonts w:asciiTheme="majorBidi" w:hAnsiTheme="majorBidi" w:cstheme="majorBidi"/>
          <w:lang w:val="en-AU"/>
        </w:rPr>
        <w:t xml:space="preserve">On the other hand, </w:t>
      </w:r>
      <w:r w:rsidR="000570BA" w:rsidRPr="004C5271">
        <w:rPr>
          <w:rFonts w:asciiTheme="majorBidi" w:hAnsiTheme="majorBidi" w:cstheme="majorBidi"/>
          <w:lang w:val="en-AU"/>
        </w:rPr>
        <w:t>Christine</w:t>
      </w:r>
      <w:r w:rsidR="008C7585" w:rsidRPr="004C5271">
        <w:rPr>
          <w:rFonts w:asciiTheme="majorBidi" w:hAnsiTheme="majorBidi" w:cstheme="majorBidi"/>
          <w:lang w:val="en-AU"/>
        </w:rPr>
        <w:t xml:space="preserve"> Schokman, </w:t>
      </w:r>
      <w:r w:rsidR="000570BA" w:rsidRPr="004C5271">
        <w:rPr>
          <w:rFonts w:asciiTheme="majorBidi" w:hAnsiTheme="majorBidi" w:cstheme="majorBidi"/>
          <w:lang w:val="en-AU"/>
        </w:rPr>
        <w:t>Dexter</w:t>
      </w:r>
      <w:r w:rsidR="008C7585" w:rsidRPr="004C5271">
        <w:rPr>
          <w:rFonts w:asciiTheme="majorBidi" w:hAnsiTheme="majorBidi" w:cstheme="majorBidi"/>
          <w:lang w:val="en-AU"/>
        </w:rPr>
        <w:t xml:space="preserve"> Marcenko and </w:t>
      </w:r>
      <w:r w:rsidR="000570BA" w:rsidRPr="004C5271">
        <w:rPr>
          <w:rFonts w:asciiTheme="majorBidi" w:hAnsiTheme="majorBidi" w:cstheme="majorBidi"/>
          <w:lang w:val="en-AU"/>
        </w:rPr>
        <w:t>Michael</w:t>
      </w:r>
      <w:r w:rsidR="008C7585" w:rsidRPr="004C5271">
        <w:rPr>
          <w:rFonts w:asciiTheme="majorBidi" w:hAnsiTheme="majorBidi" w:cstheme="majorBidi"/>
          <w:lang w:val="en-AU"/>
        </w:rPr>
        <w:t xml:space="preserve"> Flanagan </w:t>
      </w:r>
      <w:r w:rsidR="000570BA" w:rsidRPr="004C5271">
        <w:rPr>
          <w:rFonts w:asciiTheme="majorBidi" w:hAnsiTheme="majorBidi" w:cstheme="majorBidi"/>
          <w:lang w:val="en-AU"/>
        </w:rPr>
        <w:t xml:space="preserve">commented that </w:t>
      </w:r>
      <w:r w:rsidR="008C7585" w:rsidRPr="004C5271">
        <w:rPr>
          <w:rFonts w:asciiTheme="majorBidi" w:hAnsiTheme="majorBidi" w:cstheme="majorBidi"/>
          <w:lang w:val="en-AU"/>
        </w:rPr>
        <w:t>will</w:t>
      </w:r>
      <w:r w:rsidR="000B7F3C" w:rsidRPr="004C5271">
        <w:rPr>
          <w:rFonts w:asciiTheme="majorBidi" w:hAnsiTheme="majorBidi" w:cstheme="majorBidi"/>
          <w:lang w:val="en-AU"/>
        </w:rPr>
        <w:t>-</w:t>
      </w:r>
      <w:r w:rsidR="008C7585" w:rsidRPr="004C5271">
        <w:rPr>
          <w:rFonts w:asciiTheme="majorBidi" w:hAnsiTheme="majorBidi" w:cstheme="majorBidi"/>
          <w:lang w:val="en-AU"/>
        </w:rPr>
        <w:t>maker</w:t>
      </w:r>
      <w:r w:rsidR="000570BA" w:rsidRPr="004C5271">
        <w:rPr>
          <w:rFonts w:asciiTheme="majorBidi" w:hAnsiTheme="majorBidi" w:cstheme="majorBidi"/>
          <w:lang w:val="en-AU"/>
        </w:rPr>
        <w:t>s</w:t>
      </w:r>
      <w:r w:rsidR="008C7585" w:rsidRPr="004C5271">
        <w:rPr>
          <w:rFonts w:asciiTheme="majorBidi" w:hAnsiTheme="majorBidi" w:cstheme="majorBidi"/>
          <w:lang w:val="en-AU"/>
        </w:rPr>
        <w:t xml:space="preserve"> </w:t>
      </w:r>
      <w:r w:rsidR="000570BA" w:rsidRPr="004C5271">
        <w:rPr>
          <w:rFonts w:asciiTheme="majorBidi" w:hAnsiTheme="majorBidi" w:cstheme="majorBidi"/>
          <w:lang w:val="en-AU"/>
        </w:rPr>
        <w:t>do not always act</w:t>
      </w:r>
      <w:r w:rsidR="008C7585" w:rsidRPr="004C5271">
        <w:rPr>
          <w:rFonts w:asciiTheme="majorBidi" w:hAnsiTheme="majorBidi" w:cstheme="majorBidi"/>
          <w:lang w:val="en-AU"/>
        </w:rPr>
        <w:t xml:space="preserve"> as a ‘wise and just testator</w:t>
      </w:r>
      <w:r w:rsidR="000570BA" w:rsidRPr="004C5271">
        <w:rPr>
          <w:rFonts w:asciiTheme="majorBidi" w:hAnsiTheme="majorBidi" w:cstheme="majorBidi"/>
          <w:lang w:val="en-AU"/>
        </w:rPr>
        <w:t>.</w:t>
      </w:r>
      <w:r w:rsidR="008C7585" w:rsidRPr="004C5271">
        <w:rPr>
          <w:rFonts w:asciiTheme="majorBidi" w:hAnsiTheme="majorBidi" w:cstheme="majorBidi"/>
          <w:lang w:val="en-AU"/>
        </w:rPr>
        <w:t xml:space="preserve">’ </w:t>
      </w:r>
      <w:r w:rsidR="000570BA" w:rsidRPr="004C5271">
        <w:rPr>
          <w:rFonts w:asciiTheme="majorBidi" w:hAnsiTheme="majorBidi" w:cstheme="majorBidi"/>
          <w:lang w:val="en-AU"/>
        </w:rPr>
        <w:t xml:space="preserve">They </w:t>
      </w:r>
      <w:r w:rsidR="00910665" w:rsidRPr="004C5271">
        <w:rPr>
          <w:rFonts w:asciiTheme="majorBidi" w:hAnsiTheme="majorBidi" w:cstheme="majorBidi"/>
          <w:lang w:val="en-AU"/>
        </w:rPr>
        <w:t>provided</w:t>
      </w:r>
      <w:r w:rsidR="000570BA" w:rsidRPr="004C5271">
        <w:rPr>
          <w:rFonts w:asciiTheme="majorBidi" w:hAnsiTheme="majorBidi" w:cstheme="majorBidi"/>
          <w:lang w:val="en-AU"/>
        </w:rPr>
        <w:t xml:space="preserve"> the following </w:t>
      </w:r>
      <w:r w:rsidR="00EC5779" w:rsidRPr="004C5271">
        <w:rPr>
          <w:rFonts w:asciiTheme="majorBidi" w:hAnsiTheme="majorBidi" w:cstheme="majorBidi"/>
          <w:lang w:val="en-AU"/>
        </w:rPr>
        <w:t xml:space="preserve">illustrative </w:t>
      </w:r>
      <w:r w:rsidR="000570BA" w:rsidRPr="004C5271">
        <w:rPr>
          <w:rFonts w:asciiTheme="majorBidi" w:hAnsiTheme="majorBidi" w:cstheme="majorBidi"/>
          <w:lang w:val="en-AU"/>
        </w:rPr>
        <w:t>example</w:t>
      </w:r>
      <w:r w:rsidR="008C7585" w:rsidRPr="004C5271">
        <w:rPr>
          <w:rFonts w:asciiTheme="majorBidi" w:hAnsiTheme="majorBidi" w:cstheme="majorBidi"/>
          <w:lang w:val="en-AU"/>
        </w:rPr>
        <w:t>:</w:t>
      </w:r>
      <w:bookmarkEnd w:id="143"/>
    </w:p>
    <w:p w14:paraId="6736B632" w14:textId="27311635" w:rsidR="008C7585" w:rsidRPr="004C5271" w:rsidRDefault="008C7585" w:rsidP="00F74A84">
      <w:pPr>
        <w:pStyle w:val="QuoteTLRI"/>
        <w:rPr>
          <w:rFonts w:asciiTheme="majorBidi" w:hAnsiTheme="majorBidi" w:cstheme="majorBidi"/>
        </w:rPr>
      </w:pPr>
      <w:r w:rsidRPr="004C5271">
        <w:rPr>
          <w:rFonts w:asciiTheme="majorBidi" w:hAnsiTheme="majorBidi" w:cstheme="majorBidi"/>
        </w:rPr>
        <w:lastRenderedPageBreak/>
        <w:t>A testator had four children who unfortunately became embroiled in a bitter feud which resulted in the testator siding with one of his children. Not long before his death the testator wrote his other three children out of his will and he gifted a substantial real estate holding to the favoured child with the evident intent of defeating any future claim under the Act.</w:t>
      </w:r>
    </w:p>
    <w:p w14:paraId="38F89B18" w14:textId="148B9D05" w:rsidR="008C7585" w:rsidRPr="004C5271" w:rsidRDefault="008C7585" w:rsidP="00F74A84">
      <w:pPr>
        <w:pStyle w:val="QuoteTLRI"/>
        <w:rPr>
          <w:rFonts w:asciiTheme="majorBidi" w:hAnsiTheme="majorBidi" w:cstheme="majorBidi"/>
        </w:rPr>
      </w:pPr>
      <w:r w:rsidRPr="004C5271">
        <w:rPr>
          <w:rFonts w:asciiTheme="majorBidi" w:hAnsiTheme="majorBidi" w:cstheme="majorBidi"/>
        </w:rPr>
        <w:t>The reason the favoured child benefitted so greatly was because she and the testator each vehemently denied that another relative sexually molested the testator</w:t>
      </w:r>
      <w:r w:rsidR="00F74A84" w:rsidRPr="004C5271">
        <w:rPr>
          <w:rFonts w:asciiTheme="majorBidi" w:hAnsiTheme="majorBidi" w:cstheme="majorBidi"/>
        </w:rPr>
        <w:t>’</w:t>
      </w:r>
      <w:r w:rsidRPr="004C5271">
        <w:rPr>
          <w:rFonts w:asciiTheme="majorBidi" w:hAnsiTheme="majorBidi" w:cstheme="majorBidi"/>
        </w:rPr>
        <w:t>s grandchildren (the issue of the children whose TFM application was intentionally defeated). They maintained this denial of guilt notwithstanding that a jury unanimously made findings of guilt against the relative. Had the Act been allowed to operate as intended the Court would have surely found that the testator had a strong moral obligation to provide for each of his children.</w:t>
      </w:r>
    </w:p>
    <w:p w14:paraId="3462B605" w14:textId="77777777" w:rsidR="008C7585" w:rsidRPr="004C5271" w:rsidRDefault="008C7585" w:rsidP="00F74A84">
      <w:pPr>
        <w:pStyle w:val="QuoteTLRI"/>
        <w:rPr>
          <w:rFonts w:asciiTheme="majorBidi" w:hAnsiTheme="majorBidi" w:cstheme="majorBidi"/>
        </w:rPr>
      </w:pPr>
      <w:r w:rsidRPr="004C5271">
        <w:rPr>
          <w:rFonts w:asciiTheme="majorBidi" w:hAnsiTheme="majorBidi" w:cstheme="majorBidi"/>
        </w:rPr>
        <w:t xml:space="preserve">This recent example illustrates that not all testators are wise and just and that the principle of testamentary freedom should always be subject to the provisions of the Act. </w:t>
      </w:r>
    </w:p>
    <w:p w14:paraId="7CBD16BF" w14:textId="681F7167" w:rsidR="00891A98" w:rsidRPr="004C5271" w:rsidRDefault="00891A98" w:rsidP="00F61D9A">
      <w:pPr>
        <w:pStyle w:val="NormalNumberedTextTLRI"/>
        <w:rPr>
          <w:rFonts w:asciiTheme="majorBidi" w:hAnsiTheme="majorBidi" w:cstheme="majorBidi"/>
          <w:lang w:val="en-AU"/>
        </w:rPr>
      </w:pPr>
      <w:bookmarkStart w:id="144" w:name="_Ref13503439"/>
      <w:r w:rsidRPr="004C5271">
        <w:rPr>
          <w:rFonts w:asciiTheme="majorBidi" w:hAnsiTheme="majorBidi" w:cstheme="majorBidi"/>
          <w:lang w:val="en-AU"/>
        </w:rPr>
        <w:t xml:space="preserve">Robert Young </w:t>
      </w:r>
      <w:r w:rsidR="00910665" w:rsidRPr="004C5271">
        <w:rPr>
          <w:rFonts w:asciiTheme="majorBidi" w:hAnsiTheme="majorBidi" w:cstheme="majorBidi"/>
          <w:lang w:val="en-AU"/>
        </w:rPr>
        <w:t>noted</w:t>
      </w:r>
      <w:r w:rsidR="00363F2D" w:rsidRPr="004C5271">
        <w:rPr>
          <w:rFonts w:asciiTheme="majorBidi" w:hAnsiTheme="majorBidi" w:cstheme="majorBidi"/>
          <w:lang w:val="en-AU"/>
        </w:rPr>
        <w:t xml:space="preserve"> that the courts </w:t>
      </w:r>
      <w:r w:rsidR="004279CD" w:rsidRPr="004C5271">
        <w:rPr>
          <w:rFonts w:asciiTheme="majorBidi" w:hAnsiTheme="majorBidi" w:cstheme="majorBidi"/>
          <w:lang w:val="en-AU"/>
        </w:rPr>
        <w:t>consider what</w:t>
      </w:r>
      <w:r w:rsidR="00363F2D" w:rsidRPr="004C5271">
        <w:rPr>
          <w:rFonts w:asciiTheme="majorBidi" w:hAnsiTheme="majorBidi" w:cstheme="majorBidi"/>
          <w:lang w:val="en-AU"/>
        </w:rPr>
        <w:t xml:space="preserve"> assets beneficiaries receive outside an estate when assessing the merits of a family provision claim.</w:t>
      </w:r>
      <w:r w:rsidR="00DA5A78" w:rsidRPr="004C5271">
        <w:rPr>
          <w:rStyle w:val="FootnoteReference"/>
          <w:rFonts w:asciiTheme="majorBidi" w:hAnsiTheme="majorBidi" w:cstheme="majorBidi"/>
          <w:lang w:val="en-AU"/>
        </w:rPr>
        <w:footnoteReference w:id="321"/>
      </w:r>
      <w:r w:rsidR="00363F2D" w:rsidRPr="004C5271">
        <w:rPr>
          <w:rFonts w:asciiTheme="majorBidi" w:hAnsiTheme="majorBidi" w:cstheme="majorBidi"/>
          <w:lang w:val="en-AU"/>
        </w:rPr>
        <w:t xml:space="preserve"> </w:t>
      </w:r>
      <w:r w:rsidR="00C20932" w:rsidRPr="004C5271">
        <w:rPr>
          <w:rFonts w:asciiTheme="majorBidi" w:hAnsiTheme="majorBidi" w:cstheme="majorBidi"/>
          <w:lang w:val="en-AU"/>
        </w:rPr>
        <w:t>Mr Young</w:t>
      </w:r>
      <w:r w:rsidR="00363F2D" w:rsidRPr="004C5271">
        <w:rPr>
          <w:rFonts w:asciiTheme="majorBidi" w:hAnsiTheme="majorBidi" w:cstheme="majorBidi"/>
          <w:lang w:val="en-AU"/>
        </w:rPr>
        <w:t xml:space="preserve"> suggested that</w:t>
      </w:r>
      <w:r w:rsidR="00401866" w:rsidRPr="004C5271">
        <w:rPr>
          <w:rFonts w:asciiTheme="majorBidi" w:hAnsiTheme="majorBidi" w:cstheme="majorBidi"/>
          <w:lang w:val="en-AU"/>
        </w:rPr>
        <w:t xml:space="preserve"> a useful reform to</w:t>
      </w:r>
      <w:r w:rsidR="00363F2D" w:rsidRPr="004C5271">
        <w:rPr>
          <w:rFonts w:asciiTheme="majorBidi" w:hAnsiTheme="majorBidi" w:cstheme="majorBidi"/>
          <w:lang w:val="en-AU"/>
        </w:rPr>
        <w:t xml:space="preserve"> the </w:t>
      </w:r>
      <w:r w:rsidR="00363F2D" w:rsidRPr="004C5271">
        <w:rPr>
          <w:rFonts w:asciiTheme="majorBidi" w:hAnsiTheme="majorBidi" w:cstheme="majorBidi"/>
          <w:i/>
          <w:iCs/>
          <w:lang w:val="en-AU"/>
        </w:rPr>
        <w:t>TFM Act</w:t>
      </w:r>
      <w:r w:rsidR="00363F2D" w:rsidRPr="004C5271">
        <w:rPr>
          <w:rFonts w:asciiTheme="majorBidi" w:hAnsiTheme="majorBidi" w:cstheme="majorBidi"/>
          <w:lang w:val="en-AU"/>
        </w:rPr>
        <w:t xml:space="preserve"> </w:t>
      </w:r>
      <w:r w:rsidR="00401866" w:rsidRPr="004C5271">
        <w:rPr>
          <w:rFonts w:asciiTheme="majorBidi" w:hAnsiTheme="majorBidi" w:cstheme="majorBidi"/>
          <w:lang w:val="en-AU"/>
        </w:rPr>
        <w:t xml:space="preserve">would be to include an express provision </w:t>
      </w:r>
      <w:r w:rsidR="00363F2D" w:rsidRPr="004C5271">
        <w:rPr>
          <w:rFonts w:asciiTheme="majorBidi" w:hAnsiTheme="majorBidi" w:cstheme="majorBidi"/>
          <w:lang w:val="en-AU"/>
        </w:rPr>
        <w:t>allow</w:t>
      </w:r>
      <w:r w:rsidR="00401866" w:rsidRPr="004C5271">
        <w:rPr>
          <w:rFonts w:asciiTheme="majorBidi" w:hAnsiTheme="majorBidi" w:cstheme="majorBidi"/>
          <w:lang w:val="en-AU"/>
        </w:rPr>
        <w:t>ing</w:t>
      </w:r>
      <w:r w:rsidR="00363F2D" w:rsidRPr="004C5271">
        <w:rPr>
          <w:rFonts w:asciiTheme="majorBidi" w:hAnsiTheme="majorBidi" w:cstheme="majorBidi"/>
          <w:lang w:val="en-AU"/>
        </w:rPr>
        <w:t xml:space="preserve"> these gifts to be considered when </w:t>
      </w:r>
      <w:r w:rsidR="00401866" w:rsidRPr="004C5271">
        <w:rPr>
          <w:rFonts w:asciiTheme="majorBidi" w:hAnsiTheme="majorBidi" w:cstheme="majorBidi"/>
          <w:lang w:val="en-AU"/>
        </w:rPr>
        <w:t xml:space="preserve">a judge is </w:t>
      </w:r>
      <w:r w:rsidR="00363F2D" w:rsidRPr="004C5271">
        <w:rPr>
          <w:rFonts w:asciiTheme="majorBidi" w:hAnsiTheme="majorBidi" w:cstheme="majorBidi"/>
          <w:lang w:val="en-AU"/>
        </w:rPr>
        <w:t>assessing a claim.</w:t>
      </w:r>
      <w:bookmarkEnd w:id="144"/>
      <w:r w:rsidR="002B2C55" w:rsidRPr="004C5271">
        <w:rPr>
          <w:rFonts w:asciiTheme="majorBidi" w:hAnsiTheme="majorBidi" w:cstheme="majorBidi"/>
          <w:lang w:val="en-AU"/>
        </w:rPr>
        <w:t xml:space="preserve"> </w:t>
      </w:r>
    </w:p>
    <w:p w14:paraId="093923E0" w14:textId="122C4D2B" w:rsidR="009F3D4D" w:rsidRPr="004C5271" w:rsidRDefault="00F95696" w:rsidP="00AE2B8C">
      <w:pPr>
        <w:pStyle w:val="Sub-HeadingTLRI"/>
      </w:pPr>
      <w:r w:rsidRPr="004C5271">
        <w:t>Loss of control and lack of c</w:t>
      </w:r>
      <w:r w:rsidR="009F3D4D" w:rsidRPr="004C5271">
        <w:t>ertainty</w:t>
      </w:r>
    </w:p>
    <w:p w14:paraId="29EEEDB9" w14:textId="0E4AD132" w:rsidR="00F95696" w:rsidRPr="004C5271" w:rsidRDefault="00AE098C" w:rsidP="009F3D4D">
      <w:pPr>
        <w:pStyle w:val="NormalNumberedTextTLRI"/>
        <w:rPr>
          <w:rFonts w:asciiTheme="majorBidi" w:hAnsiTheme="majorBidi" w:cstheme="majorBidi"/>
          <w:lang w:val="en-AU"/>
        </w:rPr>
      </w:pPr>
      <w:bookmarkStart w:id="146" w:name="_Ref13503337"/>
      <w:r w:rsidRPr="004C5271">
        <w:rPr>
          <w:rFonts w:asciiTheme="majorBidi" w:hAnsiTheme="majorBidi" w:cstheme="majorBidi"/>
          <w:lang w:val="en-AU"/>
        </w:rPr>
        <w:t>Five</w:t>
      </w:r>
      <w:r w:rsidR="009F3D4D" w:rsidRPr="004C5271">
        <w:rPr>
          <w:rFonts w:asciiTheme="majorBidi" w:hAnsiTheme="majorBidi" w:cstheme="majorBidi"/>
          <w:lang w:val="en-AU"/>
        </w:rPr>
        <w:t xml:space="preserve"> submissions </w:t>
      </w:r>
      <w:r w:rsidR="00910665" w:rsidRPr="004C5271">
        <w:rPr>
          <w:rFonts w:asciiTheme="majorBidi" w:hAnsiTheme="majorBidi" w:cstheme="majorBidi"/>
          <w:lang w:val="en-AU"/>
        </w:rPr>
        <w:t>stated that</w:t>
      </w:r>
      <w:r w:rsidR="009F3D4D" w:rsidRPr="004C5271">
        <w:rPr>
          <w:rFonts w:asciiTheme="majorBidi" w:hAnsiTheme="majorBidi" w:cstheme="majorBidi"/>
          <w:lang w:val="en-AU"/>
        </w:rPr>
        <w:t xml:space="preserve"> notional estate legislation </w:t>
      </w:r>
      <w:r w:rsidR="00910665" w:rsidRPr="004C5271">
        <w:rPr>
          <w:rFonts w:asciiTheme="majorBidi" w:hAnsiTheme="majorBidi" w:cstheme="majorBidi"/>
          <w:lang w:val="en-AU"/>
        </w:rPr>
        <w:t xml:space="preserve">would </w:t>
      </w:r>
      <w:r w:rsidR="00DA484B" w:rsidRPr="004C5271">
        <w:rPr>
          <w:rFonts w:asciiTheme="majorBidi" w:hAnsiTheme="majorBidi" w:cstheme="majorBidi"/>
          <w:lang w:val="en-AU"/>
        </w:rPr>
        <w:t>creat</w:t>
      </w:r>
      <w:r w:rsidR="00910665" w:rsidRPr="004C5271">
        <w:rPr>
          <w:rFonts w:asciiTheme="majorBidi" w:hAnsiTheme="majorBidi" w:cstheme="majorBidi"/>
          <w:lang w:val="en-AU"/>
        </w:rPr>
        <w:t>e</w:t>
      </w:r>
      <w:r w:rsidR="009F3D4D" w:rsidRPr="004C5271">
        <w:rPr>
          <w:rFonts w:asciiTheme="majorBidi" w:hAnsiTheme="majorBidi" w:cstheme="majorBidi"/>
          <w:lang w:val="en-AU"/>
        </w:rPr>
        <w:t xml:space="preserve"> uncertainty for individuals and their intended beneficiaries</w:t>
      </w:r>
      <w:r w:rsidR="00F95696" w:rsidRPr="004C5271">
        <w:rPr>
          <w:rFonts w:asciiTheme="majorBidi" w:hAnsiTheme="majorBidi" w:cstheme="majorBidi"/>
          <w:lang w:val="en-AU"/>
        </w:rPr>
        <w:t xml:space="preserve"> because a broader range of assets could be </w:t>
      </w:r>
      <w:r w:rsidR="00EC5779" w:rsidRPr="004C5271">
        <w:rPr>
          <w:rFonts w:asciiTheme="majorBidi" w:hAnsiTheme="majorBidi" w:cstheme="majorBidi"/>
          <w:lang w:val="en-AU"/>
        </w:rPr>
        <w:t xml:space="preserve">affected </w:t>
      </w:r>
      <w:r w:rsidR="00F95696" w:rsidRPr="004C5271">
        <w:rPr>
          <w:rFonts w:asciiTheme="majorBidi" w:hAnsiTheme="majorBidi" w:cstheme="majorBidi"/>
          <w:lang w:val="en-AU"/>
        </w:rPr>
        <w:t>by a family provision claim.</w:t>
      </w:r>
      <w:r w:rsidR="00D2309C" w:rsidRPr="004C5271">
        <w:rPr>
          <w:rStyle w:val="FootnoteReference"/>
          <w:rFonts w:asciiTheme="majorBidi" w:hAnsiTheme="majorBidi" w:cstheme="majorBidi"/>
          <w:lang w:val="en-AU"/>
        </w:rPr>
        <w:footnoteReference w:id="322"/>
      </w:r>
      <w:r w:rsidR="00F95696" w:rsidRPr="004C5271">
        <w:rPr>
          <w:rFonts w:asciiTheme="majorBidi" w:hAnsiTheme="majorBidi" w:cstheme="majorBidi"/>
          <w:lang w:val="en-AU"/>
        </w:rPr>
        <w:t xml:space="preserve"> Presently, for </w:t>
      </w:r>
      <w:r w:rsidR="00F95696" w:rsidRPr="004C5271">
        <w:rPr>
          <w:rFonts w:asciiTheme="majorBidi" w:hAnsiTheme="majorBidi" w:cstheme="majorBidi"/>
          <w:lang w:val="en-AU"/>
        </w:rPr>
        <w:lastRenderedPageBreak/>
        <w:t xml:space="preserve">example, individuals who hold assets as joint tenants, or who complete binding death benefit nominations, have certainty that those assets will not be affected by a potential </w:t>
      </w:r>
      <w:r w:rsidR="00F61D9A" w:rsidRPr="004C5271">
        <w:rPr>
          <w:rFonts w:asciiTheme="majorBidi" w:hAnsiTheme="majorBidi" w:cstheme="majorBidi"/>
          <w:lang w:val="en-AU"/>
        </w:rPr>
        <w:t xml:space="preserve">family provision </w:t>
      </w:r>
      <w:r w:rsidR="00F95696" w:rsidRPr="004C5271">
        <w:rPr>
          <w:rFonts w:asciiTheme="majorBidi" w:hAnsiTheme="majorBidi" w:cstheme="majorBidi"/>
          <w:lang w:val="en-AU"/>
        </w:rPr>
        <w:t>claim</w:t>
      </w:r>
      <w:r w:rsidR="00F61D9A" w:rsidRPr="004C5271">
        <w:rPr>
          <w:rFonts w:asciiTheme="majorBidi" w:hAnsiTheme="majorBidi" w:cstheme="majorBidi"/>
          <w:lang w:val="en-AU"/>
        </w:rPr>
        <w:t xml:space="preserve"> after death</w:t>
      </w:r>
      <w:r w:rsidR="00F95696" w:rsidRPr="004C5271">
        <w:rPr>
          <w:rFonts w:asciiTheme="majorBidi" w:hAnsiTheme="majorBidi" w:cstheme="majorBidi"/>
          <w:lang w:val="en-AU"/>
        </w:rPr>
        <w:t xml:space="preserve">. </w:t>
      </w:r>
      <w:r w:rsidR="00D449DC" w:rsidRPr="004C5271">
        <w:rPr>
          <w:rFonts w:asciiTheme="majorBidi" w:hAnsiTheme="majorBidi" w:cstheme="majorBidi"/>
          <w:lang w:val="en-AU"/>
        </w:rPr>
        <w:t>Similarly, the recipients of assets gifted during life have certainty that those gifts will not later be the subject of a family provision claim.</w:t>
      </w:r>
      <w:r w:rsidR="00D449DC" w:rsidRPr="004C5271">
        <w:rPr>
          <w:rStyle w:val="FootnoteReference"/>
          <w:rFonts w:asciiTheme="majorBidi" w:hAnsiTheme="majorBidi" w:cstheme="majorBidi"/>
          <w:lang w:val="en-AU"/>
        </w:rPr>
        <w:footnoteReference w:id="323"/>
      </w:r>
      <w:r w:rsidR="00F066A2" w:rsidRPr="004C5271">
        <w:rPr>
          <w:rFonts w:asciiTheme="majorBidi" w:hAnsiTheme="majorBidi" w:cstheme="majorBidi"/>
          <w:lang w:val="en-AU"/>
        </w:rPr>
        <w:t xml:space="preserve"> </w:t>
      </w:r>
      <w:r w:rsidR="00C20932" w:rsidRPr="004C5271">
        <w:rPr>
          <w:rFonts w:asciiTheme="majorBidi" w:hAnsiTheme="majorBidi" w:cstheme="majorBidi"/>
          <w:lang w:val="en-AU"/>
        </w:rPr>
        <w:t>There is a risk that c</w:t>
      </w:r>
      <w:r w:rsidR="00856A73" w:rsidRPr="004C5271">
        <w:rPr>
          <w:rFonts w:asciiTheme="majorBidi" w:hAnsiTheme="majorBidi" w:cstheme="majorBidi"/>
          <w:lang w:val="en-AU"/>
        </w:rPr>
        <w:t>reating u</w:t>
      </w:r>
      <w:r w:rsidR="00F066A2" w:rsidRPr="004C5271">
        <w:rPr>
          <w:rFonts w:asciiTheme="majorBidi" w:hAnsiTheme="majorBidi" w:cstheme="majorBidi"/>
          <w:lang w:val="en-AU"/>
        </w:rPr>
        <w:t>ncertainty might deter individuals from maintaining, developing or improving properties.</w:t>
      </w:r>
      <w:r w:rsidR="00F066A2" w:rsidRPr="004C5271">
        <w:rPr>
          <w:rStyle w:val="FootnoteReference"/>
          <w:rFonts w:asciiTheme="majorBidi" w:hAnsiTheme="majorBidi" w:cstheme="majorBidi"/>
          <w:lang w:val="en-AU"/>
        </w:rPr>
        <w:footnoteReference w:id="324"/>
      </w:r>
      <w:bookmarkEnd w:id="146"/>
    </w:p>
    <w:p w14:paraId="7022020F" w14:textId="2F2A16BF" w:rsidR="009F3D4D" w:rsidRPr="004C5271" w:rsidRDefault="00F61D9A" w:rsidP="009F3D4D">
      <w:pPr>
        <w:pStyle w:val="NormalNumberedTextTLRI"/>
        <w:rPr>
          <w:rFonts w:asciiTheme="majorBidi" w:hAnsiTheme="majorBidi" w:cstheme="majorBidi"/>
          <w:lang w:val="en-AU"/>
        </w:rPr>
      </w:pPr>
      <w:r w:rsidRPr="004C5271">
        <w:rPr>
          <w:rFonts w:asciiTheme="majorBidi" w:hAnsiTheme="majorBidi" w:cstheme="majorBidi"/>
          <w:lang w:val="en-AU"/>
        </w:rPr>
        <w:t>It was said that</w:t>
      </w:r>
      <w:r w:rsidR="009F3D4D" w:rsidRPr="004C5271">
        <w:rPr>
          <w:rFonts w:asciiTheme="majorBidi" w:hAnsiTheme="majorBidi" w:cstheme="majorBidi"/>
          <w:lang w:val="en-AU"/>
        </w:rPr>
        <w:t xml:space="preserve"> uncertainty </w:t>
      </w:r>
      <w:r w:rsidRPr="004C5271">
        <w:rPr>
          <w:rFonts w:asciiTheme="majorBidi" w:hAnsiTheme="majorBidi" w:cstheme="majorBidi"/>
          <w:lang w:val="en-AU"/>
        </w:rPr>
        <w:t>would</w:t>
      </w:r>
      <w:r w:rsidR="009F3D4D" w:rsidRPr="004C5271">
        <w:rPr>
          <w:rFonts w:asciiTheme="majorBidi" w:hAnsiTheme="majorBidi" w:cstheme="majorBidi"/>
          <w:lang w:val="en-AU"/>
        </w:rPr>
        <w:t xml:space="preserve"> erode </w:t>
      </w:r>
      <w:r w:rsidR="00F83F2B" w:rsidRPr="004C5271">
        <w:rPr>
          <w:rFonts w:asciiTheme="majorBidi" w:hAnsiTheme="majorBidi" w:cstheme="majorBidi"/>
          <w:lang w:val="en-AU"/>
        </w:rPr>
        <w:t>the</w:t>
      </w:r>
      <w:r w:rsidR="009F3D4D" w:rsidRPr="004C5271">
        <w:rPr>
          <w:rFonts w:asciiTheme="majorBidi" w:hAnsiTheme="majorBidi" w:cstheme="majorBidi"/>
          <w:lang w:val="en-AU"/>
        </w:rPr>
        <w:t xml:space="preserve"> peace of mind </w:t>
      </w:r>
      <w:r w:rsidRPr="004C5271">
        <w:rPr>
          <w:rFonts w:asciiTheme="majorBidi" w:hAnsiTheme="majorBidi" w:cstheme="majorBidi"/>
          <w:lang w:val="en-AU"/>
        </w:rPr>
        <w:t xml:space="preserve">that is achieved </w:t>
      </w:r>
      <w:r w:rsidR="009F3D4D" w:rsidRPr="004C5271">
        <w:rPr>
          <w:rFonts w:asciiTheme="majorBidi" w:hAnsiTheme="majorBidi" w:cstheme="majorBidi"/>
          <w:lang w:val="en-AU"/>
        </w:rPr>
        <w:t xml:space="preserve">when </w:t>
      </w:r>
      <w:r w:rsidR="00F83F2B" w:rsidRPr="004C5271">
        <w:rPr>
          <w:rFonts w:asciiTheme="majorBidi" w:hAnsiTheme="majorBidi" w:cstheme="majorBidi"/>
          <w:lang w:val="en-AU"/>
        </w:rPr>
        <w:t>individuals</w:t>
      </w:r>
      <w:r w:rsidR="009F3D4D" w:rsidRPr="004C5271">
        <w:rPr>
          <w:rFonts w:asciiTheme="majorBidi" w:hAnsiTheme="majorBidi" w:cstheme="majorBidi"/>
          <w:lang w:val="en-AU"/>
        </w:rPr>
        <w:t xml:space="preserve"> have confidence that assets will pass to </w:t>
      </w:r>
      <w:r w:rsidRPr="004C5271">
        <w:rPr>
          <w:rFonts w:asciiTheme="majorBidi" w:hAnsiTheme="majorBidi" w:cstheme="majorBidi"/>
          <w:lang w:val="en-AU"/>
        </w:rPr>
        <w:t xml:space="preserve">their </w:t>
      </w:r>
      <w:r w:rsidR="009F3D4D" w:rsidRPr="004C5271">
        <w:rPr>
          <w:rFonts w:asciiTheme="majorBidi" w:hAnsiTheme="majorBidi" w:cstheme="majorBidi"/>
          <w:lang w:val="en-AU"/>
        </w:rPr>
        <w:t xml:space="preserve">chosen beneficiaries free from challenge. </w:t>
      </w:r>
      <w:r w:rsidR="00C20932" w:rsidRPr="004C5271">
        <w:rPr>
          <w:rFonts w:asciiTheme="majorBidi" w:hAnsiTheme="majorBidi" w:cstheme="majorBidi"/>
          <w:lang w:val="en-AU"/>
        </w:rPr>
        <w:t xml:space="preserve">Financial advisor </w:t>
      </w:r>
      <w:r w:rsidR="00DA484B" w:rsidRPr="004C5271">
        <w:rPr>
          <w:rFonts w:asciiTheme="majorBidi" w:hAnsiTheme="majorBidi" w:cstheme="majorBidi"/>
          <w:lang w:val="en-AU"/>
        </w:rPr>
        <w:t>Tony Gray</w:t>
      </w:r>
      <w:r w:rsidR="009F3D4D" w:rsidRPr="004C5271">
        <w:rPr>
          <w:rFonts w:asciiTheme="majorBidi" w:hAnsiTheme="majorBidi" w:cstheme="majorBidi"/>
          <w:lang w:val="en-AU"/>
        </w:rPr>
        <w:t xml:space="preserve"> explained the comfort that family members often feel</w:t>
      </w:r>
      <w:r w:rsidR="00B27458" w:rsidRPr="004C5271">
        <w:rPr>
          <w:rFonts w:asciiTheme="majorBidi" w:hAnsiTheme="majorBidi" w:cstheme="majorBidi"/>
          <w:lang w:val="en-AU"/>
        </w:rPr>
        <w:t xml:space="preserve"> </w:t>
      </w:r>
      <w:r w:rsidR="009F3D4D" w:rsidRPr="004C5271">
        <w:rPr>
          <w:rFonts w:asciiTheme="majorBidi" w:hAnsiTheme="majorBidi" w:cstheme="majorBidi"/>
          <w:lang w:val="en-AU"/>
        </w:rPr>
        <w:t>upon being informed that decisions that the deceased had put in place during their life were free from risk of challenge</w:t>
      </w:r>
      <w:r w:rsidR="00B27458" w:rsidRPr="004C5271">
        <w:rPr>
          <w:rFonts w:asciiTheme="majorBidi" w:hAnsiTheme="majorBidi" w:cstheme="majorBidi"/>
          <w:lang w:val="en-AU"/>
        </w:rPr>
        <w:t>,</w:t>
      </w:r>
      <w:r w:rsidR="009F3D4D" w:rsidRPr="004C5271">
        <w:rPr>
          <w:rFonts w:asciiTheme="majorBidi" w:hAnsiTheme="majorBidi" w:cstheme="majorBidi"/>
          <w:lang w:val="en-AU"/>
        </w:rPr>
        <w:t xml:space="preserve"> irrespective of whether a specific </w:t>
      </w:r>
      <w:r w:rsidR="00B27458" w:rsidRPr="004C5271">
        <w:rPr>
          <w:rFonts w:asciiTheme="majorBidi" w:hAnsiTheme="majorBidi" w:cstheme="majorBidi"/>
          <w:lang w:val="en-AU"/>
        </w:rPr>
        <w:t>claim</w:t>
      </w:r>
      <w:r w:rsidR="009F3D4D" w:rsidRPr="004C5271">
        <w:rPr>
          <w:rFonts w:asciiTheme="majorBidi" w:hAnsiTheme="majorBidi" w:cstheme="majorBidi"/>
          <w:lang w:val="en-AU"/>
        </w:rPr>
        <w:t xml:space="preserve"> </w:t>
      </w:r>
      <w:r w:rsidRPr="004C5271">
        <w:rPr>
          <w:rFonts w:asciiTheme="majorBidi" w:hAnsiTheme="majorBidi" w:cstheme="majorBidi"/>
          <w:lang w:val="en-AU"/>
        </w:rPr>
        <w:t>was</w:t>
      </w:r>
      <w:r w:rsidR="009F3D4D" w:rsidRPr="004C5271">
        <w:rPr>
          <w:rFonts w:asciiTheme="majorBidi" w:hAnsiTheme="majorBidi" w:cstheme="majorBidi"/>
          <w:lang w:val="en-AU"/>
        </w:rPr>
        <w:t xml:space="preserve"> foreseen.</w:t>
      </w:r>
    </w:p>
    <w:p w14:paraId="63B5E526" w14:textId="1020E6C3" w:rsidR="009F3D4D" w:rsidRPr="004C5271" w:rsidRDefault="00DA484B" w:rsidP="009F3D4D">
      <w:pPr>
        <w:pStyle w:val="NormalNumberedTextTLRI"/>
        <w:rPr>
          <w:rFonts w:asciiTheme="majorBidi" w:hAnsiTheme="majorBidi" w:cstheme="majorBidi"/>
          <w:lang w:val="en-AU"/>
        </w:rPr>
      </w:pPr>
      <w:r w:rsidRPr="004C5271">
        <w:rPr>
          <w:rFonts w:asciiTheme="majorBidi" w:hAnsiTheme="majorBidi" w:cstheme="majorBidi"/>
          <w:lang w:val="en-AU"/>
        </w:rPr>
        <w:t xml:space="preserve">Several </w:t>
      </w:r>
      <w:r w:rsidR="009F3D4D" w:rsidRPr="004C5271">
        <w:rPr>
          <w:rFonts w:asciiTheme="majorBidi" w:hAnsiTheme="majorBidi" w:cstheme="majorBidi"/>
          <w:lang w:val="en-AU"/>
        </w:rPr>
        <w:t xml:space="preserve">respondents observed the </w:t>
      </w:r>
      <w:r w:rsidR="00F83F2B" w:rsidRPr="004C5271">
        <w:rPr>
          <w:rFonts w:asciiTheme="majorBidi" w:hAnsiTheme="majorBidi" w:cstheme="majorBidi"/>
          <w:lang w:val="en-AU"/>
        </w:rPr>
        <w:t>challenges</w:t>
      </w:r>
      <w:r w:rsidR="009F3D4D" w:rsidRPr="004C5271">
        <w:rPr>
          <w:rFonts w:asciiTheme="majorBidi" w:hAnsiTheme="majorBidi" w:cstheme="majorBidi"/>
          <w:lang w:val="en-AU"/>
        </w:rPr>
        <w:t xml:space="preserve"> </w:t>
      </w:r>
      <w:r w:rsidR="00F83F2B" w:rsidRPr="004C5271">
        <w:rPr>
          <w:rFonts w:asciiTheme="majorBidi" w:hAnsiTheme="majorBidi" w:cstheme="majorBidi"/>
          <w:lang w:val="en-AU"/>
        </w:rPr>
        <w:t xml:space="preserve">that </w:t>
      </w:r>
      <w:r w:rsidR="009F3D4D" w:rsidRPr="004C5271">
        <w:rPr>
          <w:rFonts w:asciiTheme="majorBidi" w:hAnsiTheme="majorBidi" w:cstheme="majorBidi"/>
          <w:lang w:val="en-AU"/>
        </w:rPr>
        <w:t>individuals face when planning for their death and deciding upon the distribution of assets amongst family members</w:t>
      </w:r>
      <w:r w:rsidRPr="004C5271">
        <w:rPr>
          <w:rFonts w:asciiTheme="majorBidi" w:hAnsiTheme="majorBidi" w:cstheme="majorBidi"/>
          <w:lang w:val="en-AU"/>
        </w:rPr>
        <w:t>, particularly in blended families</w:t>
      </w:r>
      <w:r w:rsidR="009F3D4D" w:rsidRPr="004C5271">
        <w:rPr>
          <w:rFonts w:asciiTheme="majorBidi" w:hAnsiTheme="majorBidi" w:cstheme="majorBidi"/>
          <w:lang w:val="en-AU"/>
        </w:rPr>
        <w:t xml:space="preserve">. Some lawyers </w:t>
      </w:r>
      <w:r w:rsidRPr="004C5271">
        <w:rPr>
          <w:rFonts w:asciiTheme="majorBidi" w:hAnsiTheme="majorBidi" w:cstheme="majorBidi"/>
          <w:lang w:val="en-AU"/>
        </w:rPr>
        <w:t>commented</w:t>
      </w:r>
      <w:r w:rsidR="009F3D4D" w:rsidRPr="004C5271">
        <w:rPr>
          <w:rFonts w:asciiTheme="majorBidi" w:hAnsiTheme="majorBidi" w:cstheme="majorBidi"/>
          <w:lang w:val="en-AU"/>
        </w:rPr>
        <w:t xml:space="preserve"> that </w:t>
      </w:r>
      <w:r w:rsidRPr="004C5271">
        <w:rPr>
          <w:rFonts w:asciiTheme="majorBidi" w:hAnsiTheme="majorBidi" w:cstheme="majorBidi"/>
          <w:lang w:val="en-AU"/>
        </w:rPr>
        <w:t xml:space="preserve">these </w:t>
      </w:r>
      <w:r w:rsidR="009F3D4D" w:rsidRPr="004C5271">
        <w:rPr>
          <w:rFonts w:asciiTheme="majorBidi" w:hAnsiTheme="majorBidi" w:cstheme="majorBidi"/>
          <w:lang w:val="en-AU"/>
        </w:rPr>
        <w:t xml:space="preserve">decisions can be stressful and emotional and that clients take comfort in knowing that the choices that they ultimately make can be implemented in a form that, after death, is </w:t>
      </w:r>
      <w:r w:rsidR="001D4C65" w:rsidRPr="004C5271">
        <w:rPr>
          <w:rFonts w:asciiTheme="majorBidi" w:hAnsiTheme="majorBidi" w:cstheme="majorBidi"/>
          <w:lang w:val="en-AU"/>
        </w:rPr>
        <w:t>immune</w:t>
      </w:r>
      <w:r w:rsidR="009F3D4D" w:rsidRPr="004C5271">
        <w:rPr>
          <w:rFonts w:asciiTheme="majorBidi" w:hAnsiTheme="majorBidi" w:cstheme="majorBidi"/>
          <w:lang w:val="en-AU"/>
        </w:rPr>
        <w:t xml:space="preserve"> from a family provision challenge. </w:t>
      </w:r>
      <w:r w:rsidR="00910740" w:rsidRPr="004C5271">
        <w:rPr>
          <w:rFonts w:asciiTheme="majorBidi" w:hAnsiTheme="majorBidi" w:cstheme="majorBidi"/>
          <w:lang w:val="en-AU"/>
        </w:rPr>
        <w:t xml:space="preserve">One respondent commented that notional estate laws </w:t>
      </w:r>
      <w:r w:rsidR="003203B6" w:rsidRPr="004C5271">
        <w:rPr>
          <w:rFonts w:asciiTheme="majorBidi" w:hAnsiTheme="majorBidi" w:cstheme="majorBidi"/>
          <w:lang w:val="en-AU"/>
        </w:rPr>
        <w:t>‘</w:t>
      </w:r>
      <w:r w:rsidR="00910740" w:rsidRPr="004C5271">
        <w:rPr>
          <w:rFonts w:asciiTheme="majorBidi" w:hAnsiTheme="majorBidi" w:cstheme="majorBidi"/>
          <w:lang w:val="en-AU"/>
        </w:rPr>
        <w:t>would disrupt the lives of many families and create chronic/acute anxiety.</w:t>
      </w:r>
      <w:r w:rsidR="003203B6" w:rsidRPr="004C5271">
        <w:rPr>
          <w:rFonts w:asciiTheme="majorBidi" w:hAnsiTheme="majorBidi" w:cstheme="majorBidi"/>
          <w:lang w:val="en-AU"/>
        </w:rPr>
        <w:t>’</w:t>
      </w:r>
      <w:r w:rsidR="00910740" w:rsidRPr="004C5271">
        <w:rPr>
          <w:rStyle w:val="FootnoteReference"/>
          <w:rFonts w:asciiTheme="majorBidi" w:hAnsiTheme="majorBidi" w:cstheme="majorBidi"/>
          <w:lang w:val="en-AU"/>
        </w:rPr>
        <w:footnoteReference w:id="325"/>
      </w:r>
    </w:p>
    <w:p w14:paraId="5424C4BC" w14:textId="601CB8C4" w:rsidR="009F3D4D" w:rsidRPr="004C5271" w:rsidRDefault="00DA484B" w:rsidP="009F3D4D">
      <w:pPr>
        <w:pStyle w:val="NormalNumberedTextTLRI"/>
        <w:rPr>
          <w:rFonts w:asciiTheme="majorBidi" w:hAnsiTheme="majorBidi" w:cstheme="majorBidi"/>
          <w:lang w:val="en-AU"/>
        </w:rPr>
      </w:pPr>
      <w:r w:rsidRPr="004C5271">
        <w:rPr>
          <w:rFonts w:asciiTheme="majorBidi" w:hAnsiTheme="majorBidi" w:cstheme="majorBidi"/>
          <w:lang w:val="en-AU"/>
        </w:rPr>
        <w:t xml:space="preserve">By way of contrast, it has been observed that family provision disputes </w:t>
      </w:r>
      <w:r w:rsidR="00B27458" w:rsidRPr="004C5271">
        <w:rPr>
          <w:rFonts w:asciiTheme="majorBidi" w:hAnsiTheme="majorBidi" w:cstheme="majorBidi"/>
          <w:lang w:val="en-AU"/>
        </w:rPr>
        <w:t>have a substantial degree of uncertainty</w:t>
      </w:r>
      <w:r w:rsidR="009F3D4D" w:rsidRPr="004C5271">
        <w:rPr>
          <w:rFonts w:asciiTheme="majorBidi" w:hAnsiTheme="majorBidi" w:cstheme="majorBidi"/>
          <w:lang w:val="en-AU"/>
        </w:rPr>
        <w:t>:</w:t>
      </w:r>
    </w:p>
    <w:p w14:paraId="219C49A6" w14:textId="1163DA49" w:rsidR="009F3D4D" w:rsidRPr="004C5271" w:rsidRDefault="009F3D4D" w:rsidP="003203B6">
      <w:pPr>
        <w:pStyle w:val="QuoteTLRI"/>
        <w:rPr>
          <w:rFonts w:asciiTheme="majorBidi" w:hAnsiTheme="majorBidi" w:cstheme="majorBidi"/>
        </w:rPr>
      </w:pPr>
      <w:r w:rsidRPr="004C5271">
        <w:rPr>
          <w:rFonts w:asciiTheme="majorBidi" w:hAnsiTheme="majorBidi" w:cstheme="majorBidi"/>
        </w:rPr>
        <w:t>The jurisdiction is riddled with uncertainty and any advice given to testators and their survivors is therefore no more reliable than taking a bet on the horses</w:t>
      </w:r>
      <w:r w:rsidR="00C30E87" w:rsidRPr="004C5271">
        <w:rPr>
          <w:rFonts w:asciiTheme="majorBidi" w:hAnsiTheme="majorBidi" w:cstheme="majorBidi"/>
        </w:rPr>
        <w:t xml:space="preserve"> </w:t>
      </w:r>
      <w:r w:rsidRPr="004C5271">
        <w:rPr>
          <w:rFonts w:asciiTheme="majorBidi" w:hAnsiTheme="majorBidi" w:cstheme="majorBidi"/>
        </w:rPr>
        <w:t xml:space="preserve">… nobody can be certain that </w:t>
      </w:r>
      <w:r w:rsidRPr="004C5271">
        <w:rPr>
          <w:rFonts w:asciiTheme="majorBidi" w:hAnsiTheme="majorBidi" w:cstheme="majorBidi"/>
        </w:rPr>
        <w:lastRenderedPageBreak/>
        <w:t>testamentary wishes will indeed withstand challenge. That is one of the reasons for the increase in trusts. They give the settlor more control over the destination of assets they have accumulated.</w:t>
      </w:r>
      <w:bookmarkStart w:id="148" w:name="_Ref13417290"/>
      <w:r w:rsidRPr="004C5271">
        <w:rPr>
          <w:rStyle w:val="FootnoteReference"/>
          <w:rFonts w:asciiTheme="majorBidi" w:hAnsiTheme="majorBidi" w:cstheme="majorBidi"/>
        </w:rPr>
        <w:footnoteReference w:id="326"/>
      </w:r>
      <w:bookmarkEnd w:id="148"/>
    </w:p>
    <w:p w14:paraId="08A1AC97" w14:textId="4F04DD56" w:rsidR="009F3D4D" w:rsidRPr="004C5271" w:rsidRDefault="008F74AC" w:rsidP="00AE2B8C">
      <w:pPr>
        <w:pStyle w:val="Sub-HeadingTLRI"/>
      </w:pPr>
      <w:r w:rsidRPr="004C5271">
        <w:t>D</w:t>
      </w:r>
      <w:r w:rsidR="009F3D4D" w:rsidRPr="004C5271">
        <w:t>elay</w:t>
      </w:r>
      <w:r w:rsidRPr="004C5271">
        <w:t xml:space="preserve"> and complexity</w:t>
      </w:r>
      <w:r w:rsidR="009F3D4D" w:rsidRPr="004C5271">
        <w:t xml:space="preserve"> in the administration of estates</w:t>
      </w:r>
    </w:p>
    <w:p w14:paraId="63DA9121" w14:textId="336B3EE2" w:rsidR="008A5C40" w:rsidRPr="004C5271" w:rsidRDefault="00B27458" w:rsidP="008A5C40">
      <w:pPr>
        <w:pStyle w:val="NormalNumberedTextTLRI"/>
        <w:rPr>
          <w:rFonts w:asciiTheme="majorBidi" w:hAnsiTheme="majorBidi" w:cstheme="majorBidi"/>
          <w:lang w:val="en-AU"/>
        </w:rPr>
      </w:pPr>
      <w:bookmarkStart w:id="149" w:name="_Ref13503709"/>
      <w:r w:rsidRPr="004C5271">
        <w:rPr>
          <w:rFonts w:asciiTheme="majorBidi" w:hAnsiTheme="majorBidi" w:cstheme="majorBidi"/>
          <w:lang w:val="en-AU"/>
        </w:rPr>
        <w:t>Four submissions</w:t>
      </w:r>
      <w:r w:rsidR="00F61D9A" w:rsidRPr="004C5271">
        <w:rPr>
          <w:rFonts w:asciiTheme="majorBidi" w:hAnsiTheme="majorBidi" w:cstheme="majorBidi"/>
          <w:lang w:val="en-AU"/>
        </w:rPr>
        <w:t xml:space="preserve"> commented that introduction of notional estate provisions would mean that the </w:t>
      </w:r>
      <w:r w:rsidR="008F74AC" w:rsidRPr="004C5271">
        <w:rPr>
          <w:rFonts w:asciiTheme="majorBidi" w:hAnsiTheme="majorBidi" w:cstheme="majorBidi"/>
          <w:lang w:val="en-AU"/>
        </w:rPr>
        <w:t>typical time taken to administer estates would be extended.</w:t>
      </w:r>
      <w:r w:rsidR="00766412" w:rsidRPr="004C5271">
        <w:rPr>
          <w:rStyle w:val="FootnoteReference"/>
          <w:rFonts w:asciiTheme="majorBidi" w:hAnsiTheme="majorBidi" w:cstheme="majorBidi"/>
          <w:lang w:val="en-AU"/>
        </w:rPr>
        <w:footnoteReference w:id="327"/>
      </w:r>
      <w:r w:rsidR="008F74AC" w:rsidRPr="004C5271">
        <w:rPr>
          <w:rFonts w:asciiTheme="majorBidi" w:hAnsiTheme="majorBidi" w:cstheme="majorBidi"/>
          <w:lang w:val="en-AU"/>
        </w:rPr>
        <w:t xml:space="preserve"> </w:t>
      </w:r>
      <w:r w:rsidR="008A5C40" w:rsidRPr="004C5271">
        <w:rPr>
          <w:rFonts w:asciiTheme="majorBidi" w:hAnsiTheme="majorBidi" w:cstheme="majorBidi"/>
          <w:lang w:val="en-AU"/>
        </w:rPr>
        <w:t xml:space="preserve">Concerns about delay were also raised when the </w:t>
      </w:r>
      <w:r w:rsidR="00E34117" w:rsidRPr="004C5271">
        <w:rPr>
          <w:rFonts w:asciiTheme="majorBidi" w:hAnsiTheme="majorBidi" w:cstheme="majorBidi"/>
          <w:lang w:val="en-AU"/>
        </w:rPr>
        <w:t>NSWLRC</w:t>
      </w:r>
      <w:r w:rsidR="008A5C40" w:rsidRPr="004C5271">
        <w:rPr>
          <w:rFonts w:asciiTheme="majorBidi" w:hAnsiTheme="majorBidi" w:cstheme="majorBidi"/>
          <w:lang w:val="en-AU"/>
        </w:rPr>
        <w:t xml:space="preserve"> conducted its initial review </w:t>
      </w:r>
      <w:r w:rsidR="00E34117" w:rsidRPr="004C5271">
        <w:rPr>
          <w:rFonts w:asciiTheme="majorBidi" w:hAnsiTheme="majorBidi" w:cstheme="majorBidi"/>
          <w:lang w:val="en-AU"/>
        </w:rPr>
        <w:t xml:space="preserve">of </w:t>
      </w:r>
      <w:r w:rsidR="008A5C40" w:rsidRPr="004C5271">
        <w:rPr>
          <w:rFonts w:asciiTheme="majorBidi" w:hAnsiTheme="majorBidi" w:cstheme="majorBidi"/>
          <w:lang w:val="en-AU"/>
        </w:rPr>
        <w:t>notional estate legislation.</w:t>
      </w:r>
      <w:r w:rsidR="008A5C40" w:rsidRPr="004C5271">
        <w:rPr>
          <w:rStyle w:val="FootnoteReference"/>
          <w:rFonts w:asciiTheme="majorBidi" w:hAnsiTheme="majorBidi" w:cstheme="majorBidi"/>
          <w:lang w:val="en-AU"/>
        </w:rPr>
        <w:footnoteReference w:id="328"/>
      </w:r>
      <w:bookmarkEnd w:id="149"/>
    </w:p>
    <w:p w14:paraId="14625C29" w14:textId="709DBDC9" w:rsidR="008A5C40" w:rsidRPr="004C5271" w:rsidRDefault="00B27458" w:rsidP="008A5C40">
      <w:pPr>
        <w:pStyle w:val="NormalNumberedTextTLRI"/>
        <w:rPr>
          <w:rFonts w:asciiTheme="majorBidi" w:hAnsiTheme="majorBidi" w:cstheme="majorBidi"/>
          <w:lang w:val="en-AU"/>
        </w:rPr>
      </w:pPr>
      <w:bookmarkStart w:id="154" w:name="_Ref13407817"/>
      <w:r w:rsidRPr="004C5271">
        <w:rPr>
          <w:rFonts w:asciiTheme="majorBidi" w:hAnsiTheme="majorBidi" w:cstheme="majorBidi"/>
          <w:lang w:val="en-AU"/>
        </w:rPr>
        <w:t>It was noted that, if Tasmania had notional estate laws</w:t>
      </w:r>
      <w:r w:rsidR="0007105A" w:rsidRPr="004C5271">
        <w:rPr>
          <w:rFonts w:asciiTheme="majorBidi" w:hAnsiTheme="majorBidi" w:cstheme="majorBidi"/>
          <w:lang w:val="en-AU"/>
        </w:rPr>
        <w:t>,</w:t>
      </w:r>
      <w:r w:rsidRPr="004C5271">
        <w:rPr>
          <w:rFonts w:asciiTheme="majorBidi" w:hAnsiTheme="majorBidi" w:cstheme="majorBidi"/>
          <w:lang w:val="en-AU"/>
        </w:rPr>
        <w:t xml:space="preserve"> then</w:t>
      </w:r>
      <w:r w:rsidR="008F1E45" w:rsidRPr="004C5271">
        <w:rPr>
          <w:rFonts w:asciiTheme="majorBidi" w:hAnsiTheme="majorBidi" w:cstheme="majorBidi"/>
          <w:lang w:val="en-AU"/>
        </w:rPr>
        <w:t>,</w:t>
      </w:r>
      <w:r w:rsidRPr="004C5271">
        <w:rPr>
          <w:rFonts w:asciiTheme="majorBidi" w:hAnsiTheme="majorBidi" w:cstheme="majorBidi"/>
          <w:lang w:val="en-AU"/>
        </w:rPr>
        <w:t xml:space="preserve"> prior to applying for a </w:t>
      </w:r>
      <w:r w:rsidR="00C20932" w:rsidRPr="004C5271">
        <w:rPr>
          <w:rFonts w:asciiTheme="majorBidi" w:hAnsiTheme="majorBidi" w:cstheme="majorBidi"/>
          <w:lang w:val="en-AU"/>
        </w:rPr>
        <w:t>g</w:t>
      </w:r>
      <w:r w:rsidRPr="004C5271">
        <w:rPr>
          <w:rFonts w:asciiTheme="majorBidi" w:hAnsiTheme="majorBidi" w:cstheme="majorBidi"/>
          <w:lang w:val="en-AU"/>
        </w:rPr>
        <w:t xml:space="preserve">rant of </w:t>
      </w:r>
      <w:r w:rsidR="00C20932" w:rsidRPr="004C5271">
        <w:rPr>
          <w:rFonts w:asciiTheme="majorBidi" w:hAnsiTheme="majorBidi" w:cstheme="majorBidi"/>
          <w:lang w:val="en-AU"/>
        </w:rPr>
        <w:t>a</w:t>
      </w:r>
      <w:r w:rsidRPr="004C5271">
        <w:rPr>
          <w:rFonts w:asciiTheme="majorBidi" w:hAnsiTheme="majorBidi" w:cstheme="majorBidi"/>
          <w:lang w:val="en-AU"/>
        </w:rPr>
        <w:t>dministration,</w:t>
      </w:r>
      <w:r w:rsidR="008D60BF" w:rsidRPr="004C5271">
        <w:rPr>
          <w:rFonts w:asciiTheme="majorBidi" w:hAnsiTheme="majorBidi" w:cstheme="majorBidi"/>
          <w:lang w:val="en-AU"/>
        </w:rPr>
        <w:t xml:space="preserve"> </w:t>
      </w:r>
      <w:r w:rsidR="008F74AC" w:rsidRPr="004C5271">
        <w:rPr>
          <w:rFonts w:asciiTheme="majorBidi" w:hAnsiTheme="majorBidi" w:cstheme="majorBidi"/>
          <w:lang w:val="en-AU"/>
        </w:rPr>
        <w:t>legal personal representatives</w:t>
      </w:r>
      <w:r w:rsidR="00F83F2B" w:rsidRPr="004C5271">
        <w:rPr>
          <w:rFonts w:asciiTheme="majorBidi" w:hAnsiTheme="majorBidi" w:cstheme="majorBidi"/>
          <w:lang w:val="en-AU"/>
        </w:rPr>
        <w:t xml:space="preserve"> would need</w:t>
      </w:r>
      <w:r w:rsidR="008F74AC" w:rsidRPr="004C5271">
        <w:rPr>
          <w:rFonts w:asciiTheme="majorBidi" w:hAnsiTheme="majorBidi" w:cstheme="majorBidi"/>
          <w:lang w:val="en-AU"/>
        </w:rPr>
        <w:t xml:space="preserve"> to take additional steps to identify </w:t>
      </w:r>
      <w:r w:rsidR="00F83F2B" w:rsidRPr="004C5271">
        <w:rPr>
          <w:rFonts w:asciiTheme="majorBidi" w:hAnsiTheme="majorBidi" w:cstheme="majorBidi"/>
          <w:lang w:val="en-AU"/>
        </w:rPr>
        <w:t>all</w:t>
      </w:r>
      <w:r w:rsidR="008F74AC" w:rsidRPr="004C5271">
        <w:rPr>
          <w:rFonts w:asciiTheme="majorBidi" w:hAnsiTheme="majorBidi" w:cstheme="majorBidi"/>
          <w:lang w:val="en-AU"/>
        </w:rPr>
        <w:t xml:space="preserve"> </w:t>
      </w:r>
      <w:r w:rsidR="009F3D4D" w:rsidRPr="004C5271">
        <w:rPr>
          <w:rFonts w:asciiTheme="majorBidi" w:hAnsiTheme="majorBidi" w:cstheme="majorBidi"/>
          <w:lang w:val="en-AU"/>
        </w:rPr>
        <w:t>assets that may be characterised as notional estate</w:t>
      </w:r>
      <w:r w:rsidR="008D60BF" w:rsidRPr="004C5271">
        <w:rPr>
          <w:rFonts w:asciiTheme="majorBidi" w:hAnsiTheme="majorBidi" w:cstheme="majorBidi"/>
          <w:lang w:val="en-AU"/>
        </w:rPr>
        <w:t xml:space="preserve"> </w:t>
      </w:r>
      <w:r w:rsidR="00181187" w:rsidRPr="004C5271">
        <w:rPr>
          <w:rFonts w:asciiTheme="majorBidi" w:hAnsiTheme="majorBidi" w:cstheme="majorBidi"/>
          <w:lang w:val="en-AU"/>
        </w:rPr>
        <w:t>—</w:t>
      </w:r>
      <w:r w:rsidR="008D60BF" w:rsidRPr="004C5271">
        <w:rPr>
          <w:rFonts w:asciiTheme="majorBidi" w:hAnsiTheme="majorBidi" w:cstheme="majorBidi"/>
          <w:lang w:val="en-AU"/>
        </w:rPr>
        <w:t xml:space="preserve"> </w:t>
      </w:r>
      <w:r w:rsidR="008F74AC" w:rsidRPr="004C5271">
        <w:rPr>
          <w:rFonts w:asciiTheme="majorBidi" w:hAnsiTheme="majorBidi" w:cstheme="majorBidi"/>
          <w:lang w:val="en-AU"/>
        </w:rPr>
        <w:t>includ</w:t>
      </w:r>
      <w:r w:rsidR="008D60BF" w:rsidRPr="004C5271">
        <w:rPr>
          <w:rFonts w:asciiTheme="majorBidi" w:hAnsiTheme="majorBidi" w:cstheme="majorBidi"/>
          <w:lang w:val="en-AU"/>
        </w:rPr>
        <w:t xml:space="preserve">ing an </w:t>
      </w:r>
      <w:r w:rsidR="008F74AC" w:rsidRPr="004C5271">
        <w:rPr>
          <w:rFonts w:asciiTheme="majorBidi" w:hAnsiTheme="majorBidi" w:cstheme="majorBidi"/>
          <w:lang w:val="en-AU"/>
        </w:rPr>
        <w:t>investigat</w:t>
      </w:r>
      <w:r w:rsidR="008D60BF" w:rsidRPr="004C5271">
        <w:rPr>
          <w:rFonts w:asciiTheme="majorBidi" w:hAnsiTheme="majorBidi" w:cstheme="majorBidi"/>
          <w:lang w:val="en-AU"/>
        </w:rPr>
        <w:t>ion of</w:t>
      </w:r>
      <w:r w:rsidR="008F74AC" w:rsidRPr="004C5271">
        <w:rPr>
          <w:rFonts w:asciiTheme="majorBidi" w:hAnsiTheme="majorBidi" w:cstheme="majorBidi"/>
          <w:lang w:val="en-AU"/>
        </w:rPr>
        <w:t xml:space="preserve"> </w:t>
      </w:r>
      <w:r w:rsidR="009F3D4D" w:rsidRPr="004C5271">
        <w:rPr>
          <w:rFonts w:asciiTheme="majorBidi" w:hAnsiTheme="majorBidi" w:cstheme="majorBidi"/>
          <w:lang w:val="en-AU"/>
        </w:rPr>
        <w:t>all transactions that the deceased entered into in the three years prior to death</w:t>
      </w:r>
      <w:r w:rsidR="008A5C40" w:rsidRPr="004C5271">
        <w:rPr>
          <w:rFonts w:asciiTheme="majorBidi" w:hAnsiTheme="majorBidi" w:cstheme="majorBidi"/>
          <w:lang w:val="en-AU"/>
        </w:rPr>
        <w:t>.</w:t>
      </w:r>
      <w:r w:rsidR="00105F46" w:rsidRPr="004C5271">
        <w:rPr>
          <w:rStyle w:val="FootnoteReference"/>
          <w:rFonts w:asciiTheme="majorBidi" w:hAnsiTheme="majorBidi" w:cstheme="majorBidi"/>
          <w:lang w:val="en-AU"/>
        </w:rPr>
        <w:footnoteReference w:id="329"/>
      </w:r>
      <w:r w:rsidRPr="004C5271">
        <w:rPr>
          <w:rFonts w:asciiTheme="majorBidi" w:hAnsiTheme="majorBidi" w:cstheme="majorBidi"/>
          <w:lang w:val="en-AU"/>
        </w:rPr>
        <w:t xml:space="preserve"> </w:t>
      </w:r>
      <w:r w:rsidR="008A5C40" w:rsidRPr="004C5271">
        <w:rPr>
          <w:rFonts w:asciiTheme="majorBidi" w:hAnsiTheme="majorBidi" w:cstheme="majorBidi"/>
          <w:lang w:val="en-AU"/>
        </w:rPr>
        <w:t>Justice Lindsay of the New South Wales Supreme Court has commented that this investigative process can be a complicated task where a deceased had an attorney acting on their behalf as they are not usually subject to regular reporting requirements.</w:t>
      </w:r>
      <w:r w:rsidR="008A5C40" w:rsidRPr="004C5271">
        <w:rPr>
          <w:rStyle w:val="FootnoteReference"/>
          <w:rFonts w:asciiTheme="majorBidi" w:hAnsiTheme="majorBidi" w:cstheme="majorBidi"/>
          <w:lang w:val="en-AU"/>
        </w:rPr>
        <w:footnoteReference w:id="330"/>
      </w:r>
      <w:r w:rsidR="008A5C40" w:rsidRPr="004C5271">
        <w:rPr>
          <w:rFonts w:asciiTheme="majorBidi" w:hAnsiTheme="majorBidi" w:cstheme="majorBidi"/>
          <w:lang w:val="en-AU"/>
        </w:rPr>
        <w:t xml:space="preserve"> In Tasmania, for example, absent a direction of the donor or order of the Board, there are no reporting requirements upon attorneys.</w:t>
      </w:r>
      <w:r w:rsidR="008A5C40" w:rsidRPr="004C5271">
        <w:rPr>
          <w:rStyle w:val="FootnoteReference"/>
          <w:rFonts w:asciiTheme="majorBidi" w:hAnsiTheme="majorBidi" w:cstheme="majorBidi"/>
          <w:lang w:val="en-AU"/>
        </w:rPr>
        <w:footnoteReference w:id="331"/>
      </w:r>
      <w:r w:rsidR="008A5C40" w:rsidRPr="004C5271">
        <w:rPr>
          <w:rFonts w:asciiTheme="majorBidi" w:hAnsiTheme="majorBidi" w:cstheme="majorBidi"/>
          <w:lang w:val="en-AU"/>
        </w:rPr>
        <w:t xml:space="preserve"> This may affect </w:t>
      </w:r>
      <w:r w:rsidR="008A5C40" w:rsidRPr="004C5271">
        <w:rPr>
          <w:rFonts w:asciiTheme="majorBidi" w:hAnsiTheme="majorBidi" w:cstheme="majorBidi"/>
          <w:lang w:val="en-AU"/>
        </w:rPr>
        <w:lastRenderedPageBreak/>
        <w:t>the quality of record-keeping</w:t>
      </w:r>
      <w:r w:rsidR="008A5C40" w:rsidRPr="004C5271">
        <w:rPr>
          <w:rStyle w:val="FootnoteReference"/>
          <w:rFonts w:asciiTheme="majorBidi" w:hAnsiTheme="majorBidi" w:cstheme="majorBidi"/>
          <w:lang w:val="en-AU"/>
        </w:rPr>
        <w:footnoteReference w:id="332"/>
      </w:r>
      <w:r w:rsidR="008A5C40" w:rsidRPr="004C5271">
        <w:rPr>
          <w:rFonts w:asciiTheme="majorBidi" w:hAnsiTheme="majorBidi" w:cstheme="majorBidi"/>
          <w:lang w:val="en-AU"/>
        </w:rPr>
        <w:t xml:space="preserve"> which may not have been subject to external audit.</w:t>
      </w:r>
      <w:bookmarkEnd w:id="154"/>
      <w:r w:rsidR="008A5C40" w:rsidRPr="004C5271">
        <w:rPr>
          <w:rFonts w:asciiTheme="majorBidi" w:hAnsiTheme="majorBidi" w:cstheme="majorBidi"/>
          <w:lang w:val="en-AU"/>
        </w:rPr>
        <w:t xml:space="preserve"> </w:t>
      </w:r>
    </w:p>
    <w:p w14:paraId="7CFB4065" w14:textId="44CA4544" w:rsidR="00504578" w:rsidRPr="004C5271" w:rsidRDefault="008A5C40" w:rsidP="008F6E27">
      <w:pPr>
        <w:pStyle w:val="NormalNumberedTextTLRI"/>
        <w:rPr>
          <w:rFonts w:asciiTheme="majorBidi" w:hAnsiTheme="majorBidi" w:cstheme="majorBidi"/>
          <w:lang w:val="en-AU"/>
        </w:rPr>
      </w:pPr>
      <w:r w:rsidRPr="004C5271">
        <w:rPr>
          <w:rFonts w:asciiTheme="majorBidi" w:hAnsiTheme="majorBidi" w:cstheme="majorBidi"/>
          <w:lang w:val="en-AU"/>
        </w:rPr>
        <w:t>One respondent</w:t>
      </w:r>
      <w:r w:rsidRPr="004C5271">
        <w:rPr>
          <w:rStyle w:val="FootnoteReference"/>
          <w:rFonts w:asciiTheme="majorBidi" w:hAnsiTheme="majorBidi" w:cstheme="majorBidi"/>
          <w:lang w:val="en-AU"/>
        </w:rPr>
        <w:footnoteReference w:id="333"/>
      </w:r>
      <w:r w:rsidRPr="004C5271">
        <w:rPr>
          <w:rFonts w:asciiTheme="majorBidi" w:hAnsiTheme="majorBidi" w:cstheme="majorBidi"/>
          <w:lang w:val="en-AU"/>
        </w:rPr>
        <w:t xml:space="preserve"> raised a concern that</w:t>
      </w:r>
      <w:r w:rsidR="00B27458" w:rsidRPr="004C5271">
        <w:rPr>
          <w:rFonts w:asciiTheme="majorBidi" w:hAnsiTheme="majorBidi" w:cstheme="majorBidi"/>
          <w:lang w:val="en-AU"/>
        </w:rPr>
        <w:t xml:space="preserve"> </w:t>
      </w:r>
      <w:r w:rsidR="00504578" w:rsidRPr="004C5271">
        <w:rPr>
          <w:rFonts w:asciiTheme="majorBidi" w:hAnsiTheme="majorBidi" w:cstheme="majorBidi"/>
          <w:lang w:val="en-AU"/>
        </w:rPr>
        <w:t>beneficiaries may not have access to financial resources, for example, a bank account, whilst an estate remains un</w:t>
      </w:r>
      <w:r w:rsidRPr="004C5271">
        <w:rPr>
          <w:rFonts w:asciiTheme="majorBidi" w:hAnsiTheme="majorBidi" w:cstheme="majorBidi"/>
          <w:lang w:val="en-AU"/>
        </w:rPr>
        <w:t>-</w:t>
      </w:r>
      <w:r w:rsidR="00504578" w:rsidRPr="004C5271">
        <w:rPr>
          <w:rFonts w:asciiTheme="majorBidi" w:hAnsiTheme="majorBidi" w:cstheme="majorBidi"/>
          <w:lang w:val="en-AU"/>
        </w:rPr>
        <w:t>administered</w:t>
      </w:r>
      <w:r w:rsidRPr="004C5271">
        <w:rPr>
          <w:rFonts w:asciiTheme="majorBidi" w:hAnsiTheme="majorBidi" w:cstheme="majorBidi"/>
          <w:lang w:val="en-AU"/>
        </w:rPr>
        <w:t>.</w:t>
      </w:r>
    </w:p>
    <w:p w14:paraId="4981CC44" w14:textId="3BB995AE" w:rsidR="009F3D4D" w:rsidRPr="004C5271" w:rsidRDefault="00E1156F" w:rsidP="00F83F2B">
      <w:pPr>
        <w:pStyle w:val="NormalNumberedTextTLRI"/>
        <w:rPr>
          <w:rFonts w:asciiTheme="majorBidi" w:hAnsiTheme="majorBidi" w:cstheme="majorBidi"/>
          <w:lang w:val="en-AU"/>
        </w:rPr>
      </w:pPr>
      <w:bookmarkStart w:id="156" w:name="_Ref13500857"/>
      <w:r w:rsidRPr="004C5271">
        <w:rPr>
          <w:rFonts w:asciiTheme="majorBidi" w:hAnsiTheme="majorBidi" w:cstheme="majorBidi"/>
          <w:lang w:val="en-AU"/>
        </w:rPr>
        <w:t>It was submitted</w:t>
      </w:r>
      <w:r w:rsidR="003C0CA5" w:rsidRPr="004C5271">
        <w:rPr>
          <w:rFonts w:asciiTheme="majorBidi" w:hAnsiTheme="majorBidi" w:cstheme="majorBidi"/>
          <w:lang w:val="en-AU"/>
        </w:rPr>
        <w:t xml:space="preserve"> that the complexities of notional estate provisions would result in longer court disputes and therefore greater delays for beneficiaries. </w:t>
      </w:r>
      <w:r w:rsidR="008A5C40" w:rsidRPr="004C5271">
        <w:rPr>
          <w:rFonts w:asciiTheme="majorBidi" w:hAnsiTheme="majorBidi" w:cstheme="majorBidi"/>
          <w:lang w:val="en-AU"/>
        </w:rPr>
        <w:t xml:space="preserve">Judicial comment from New South Wales supports </w:t>
      </w:r>
      <w:r w:rsidR="00A44C5B" w:rsidRPr="004C5271">
        <w:rPr>
          <w:rFonts w:asciiTheme="majorBidi" w:hAnsiTheme="majorBidi" w:cstheme="majorBidi"/>
          <w:lang w:val="en-AU"/>
        </w:rPr>
        <w:t>the</w:t>
      </w:r>
      <w:r w:rsidRPr="004C5271">
        <w:rPr>
          <w:rFonts w:asciiTheme="majorBidi" w:hAnsiTheme="majorBidi" w:cstheme="majorBidi"/>
          <w:lang w:val="en-AU"/>
        </w:rPr>
        <w:t xml:space="preserve"> view</w:t>
      </w:r>
      <w:r w:rsidR="008A5C40" w:rsidRPr="004C5271">
        <w:rPr>
          <w:rFonts w:asciiTheme="majorBidi" w:hAnsiTheme="majorBidi" w:cstheme="majorBidi"/>
          <w:lang w:val="en-AU"/>
        </w:rPr>
        <w:t xml:space="preserve"> </w:t>
      </w:r>
      <w:r w:rsidR="00A44C5B" w:rsidRPr="004C5271">
        <w:rPr>
          <w:rFonts w:asciiTheme="majorBidi" w:hAnsiTheme="majorBidi" w:cstheme="majorBidi"/>
          <w:lang w:val="en-AU"/>
        </w:rPr>
        <w:t xml:space="preserve">that notional estate laws add complexity, </w:t>
      </w:r>
      <w:r w:rsidR="008A5C40" w:rsidRPr="004C5271">
        <w:rPr>
          <w:rFonts w:asciiTheme="majorBidi" w:hAnsiTheme="majorBidi" w:cstheme="majorBidi"/>
          <w:lang w:val="en-AU"/>
        </w:rPr>
        <w:t xml:space="preserve">with </w:t>
      </w:r>
      <w:r w:rsidR="009F3D4D" w:rsidRPr="004C5271">
        <w:rPr>
          <w:rFonts w:asciiTheme="majorBidi" w:hAnsiTheme="majorBidi" w:cstheme="majorBidi"/>
          <w:lang w:val="en-AU"/>
        </w:rPr>
        <w:t>Justice Einstein describ</w:t>
      </w:r>
      <w:r w:rsidR="008A5C40" w:rsidRPr="004C5271">
        <w:rPr>
          <w:rFonts w:asciiTheme="majorBidi" w:hAnsiTheme="majorBidi" w:cstheme="majorBidi"/>
          <w:lang w:val="en-AU"/>
        </w:rPr>
        <w:t>ing</w:t>
      </w:r>
      <w:r w:rsidR="009F3D4D" w:rsidRPr="004C5271">
        <w:rPr>
          <w:rFonts w:asciiTheme="majorBidi" w:hAnsiTheme="majorBidi" w:cstheme="majorBidi"/>
          <w:lang w:val="en-AU"/>
        </w:rPr>
        <w:t xml:space="preserve"> </w:t>
      </w:r>
      <w:r w:rsidRPr="004C5271">
        <w:rPr>
          <w:rFonts w:asciiTheme="majorBidi" w:hAnsiTheme="majorBidi" w:cstheme="majorBidi"/>
          <w:lang w:val="en-AU"/>
        </w:rPr>
        <w:t>notional estate laws</w:t>
      </w:r>
      <w:r w:rsidR="009F3D4D" w:rsidRPr="004C5271">
        <w:rPr>
          <w:rFonts w:asciiTheme="majorBidi" w:hAnsiTheme="majorBidi" w:cstheme="majorBidi"/>
          <w:lang w:val="en-AU"/>
        </w:rPr>
        <w:t xml:space="preserve"> as </w:t>
      </w:r>
      <w:r w:rsidR="00181187" w:rsidRPr="004C5271">
        <w:rPr>
          <w:rFonts w:asciiTheme="majorBidi" w:hAnsiTheme="majorBidi" w:cstheme="majorBidi"/>
          <w:lang w:val="en-AU"/>
        </w:rPr>
        <w:t>‘</w:t>
      </w:r>
      <w:r w:rsidR="009F3D4D" w:rsidRPr="004C5271">
        <w:rPr>
          <w:rFonts w:asciiTheme="majorBidi" w:hAnsiTheme="majorBidi" w:cstheme="majorBidi"/>
          <w:lang w:val="en-AU"/>
        </w:rPr>
        <w:t>a complex concept</w:t>
      </w:r>
      <w:r w:rsidR="00181187" w:rsidRPr="004C5271">
        <w:rPr>
          <w:rFonts w:asciiTheme="majorBidi" w:hAnsiTheme="majorBidi" w:cstheme="majorBidi"/>
          <w:lang w:val="en-AU"/>
        </w:rPr>
        <w:t>’.</w:t>
      </w:r>
      <w:r w:rsidR="009F3D4D" w:rsidRPr="004C5271">
        <w:rPr>
          <w:rStyle w:val="FootnoteReference"/>
          <w:rFonts w:asciiTheme="majorBidi" w:hAnsiTheme="majorBidi" w:cstheme="majorBidi"/>
          <w:lang w:val="en-AU"/>
        </w:rPr>
        <w:footnoteReference w:id="334"/>
      </w:r>
      <w:r w:rsidR="009F3D4D" w:rsidRPr="004C5271">
        <w:rPr>
          <w:rFonts w:asciiTheme="majorBidi" w:hAnsiTheme="majorBidi" w:cstheme="majorBidi"/>
          <w:lang w:val="en-AU"/>
        </w:rPr>
        <w:t xml:space="preserve"> Justice Hallen has made similar observations, commenting that the path that the court is required to take before making an order designating property as notional estate and awarding provision for a successful applicant from that notional estate is </w:t>
      </w:r>
      <w:r w:rsidR="00181187" w:rsidRPr="004C5271">
        <w:rPr>
          <w:rFonts w:asciiTheme="majorBidi" w:hAnsiTheme="majorBidi" w:cstheme="majorBidi"/>
          <w:lang w:val="en-AU"/>
        </w:rPr>
        <w:t>‘</w:t>
      </w:r>
      <w:r w:rsidR="009F3D4D" w:rsidRPr="004C5271">
        <w:rPr>
          <w:rFonts w:asciiTheme="majorBidi" w:hAnsiTheme="majorBidi" w:cstheme="majorBidi"/>
          <w:lang w:val="en-AU"/>
        </w:rPr>
        <w:t>a tortuous one</w:t>
      </w:r>
      <w:r w:rsidR="00181187" w:rsidRPr="004C5271">
        <w:rPr>
          <w:rFonts w:asciiTheme="majorBidi" w:hAnsiTheme="majorBidi" w:cstheme="majorBidi"/>
          <w:lang w:val="en-AU"/>
        </w:rPr>
        <w:t>’.</w:t>
      </w:r>
      <w:r w:rsidR="009F3D4D" w:rsidRPr="004C5271">
        <w:rPr>
          <w:rStyle w:val="FootnoteReference"/>
          <w:rFonts w:asciiTheme="majorBidi" w:hAnsiTheme="majorBidi" w:cstheme="majorBidi"/>
        </w:rPr>
        <w:footnoteReference w:id="335"/>
      </w:r>
      <w:r w:rsidR="00A319F6" w:rsidRPr="004C5271">
        <w:rPr>
          <w:rFonts w:asciiTheme="majorBidi" w:hAnsiTheme="majorBidi" w:cstheme="majorBidi"/>
          <w:lang w:val="en-AU"/>
        </w:rPr>
        <w:t xml:space="preserve"> The National Committee itself acknowledged that the New South Wales notional estate provisions are ‘complicated and not easy to understand’</w:t>
      </w:r>
      <w:r w:rsidR="00181187" w:rsidRPr="004C5271">
        <w:rPr>
          <w:rFonts w:asciiTheme="majorBidi" w:hAnsiTheme="majorBidi" w:cstheme="majorBidi"/>
          <w:lang w:val="en-AU"/>
        </w:rPr>
        <w:t>.</w:t>
      </w:r>
      <w:r w:rsidR="00A319F6" w:rsidRPr="004C5271">
        <w:rPr>
          <w:rStyle w:val="FootnoteReference"/>
          <w:rFonts w:asciiTheme="majorBidi" w:hAnsiTheme="majorBidi" w:cstheme="majorBidi"/>
          <w:lang w:val="en-AU"/>
        </w:rPr>
        <w:footnoteReference w:id="336"/>
      </w:r>
      <w:bookmarkEnd w:id="156"/>
    </w:p>
    <w:p w14:paraId="4F72E0A3" w14:textId="2B7B9148" w:rsidR="00B95203" w:rsidRPr="004C5271" w:rsidRDefault="00AE098C" w:rsidP="00FB51B6">
      <w:pPr>
        <w:pStyle w:val="NormalNumberedTextTLRI"/>
        <w:rPr>
          <w:rFonts w:asciiTheme="majorBidi" w:hAnsiTheme="majorBidi" w:cstheme="majorBidi"/>
          <w:lang w:val="en-AU"/>
        </w:rPr>
      </w:pPr>
      <w:r w:rsidRPr="004C5271">
        <w:rPr>
          <w:rFonts w:asciiTheme="majorBidi" w:hAnsiTheme="majorBidi" w:cstheme="majorBidi"/>
          <w:lang w:val="en-AU"/>
        </w:rPr>
        <w:t>Three</w:t>
      </w:r>
      <w:r w:rsidR="00D24795" w:rsidRPr="004C5271">
        <w:rPr>
          <w:rFonts w:asciiTheme="majorBidi" w:hAnsiTheme="majorBidi" w:cstheme="majorBidi"/>
          <w:lang w:val="en-AU"/>
        </w:rPr>
        <w:t xml:space="preserve"> submission</w:t>
      </w:r>
      <w:r w:rsidR="008A5C40" w:rsidRPr="004C5271">
        <w:rPr>
          <w:rFonts w:asciiTheme="majorBidi" w:hAnsiTheme="majorBidi" w:cstheme="majorBidi"/>
          <w:lang w:val="en-AU"/>
        </w:rPr>
        <w:t>s</w:t>
      </w:r>
      <w:r w:rsidR="00D24795" w:rsidRPr="004C5271">
        <w:rPr>
          <w:rStyle w:val="FootnoteReference"/>
          <w:rFonts w:asciiTheme="majorBidi" w:hAnsiTheme="majorBidi" w:cstheme="majorBidi"/>
          <w:lang w:val="en-AU"/>
        </w:rPr>
        <w:footnoteReference w:id="337"/>
      </w:r>
      <w:r w:rsidR="00D24795" w:rsidRPr="004C5271">
        <w:rPr>
          <w:rFonts w:asciiTheme="majorBidi" w:hAnsiTheme="majorBidi" w:cstheme="majorBidi"/>
          <w:lang w:val="en-AU"/>
        </w:rPr>
        <w:t xml:space="preserve"> stated that there would be additional complexity and administrative work for trustees of superannuation funds if they were required to consider succession and estate planning matters if notional estate legislation were introduced</w:t>
      </w:r>
      <w:r w:rsidR="008A5C40" w:rsidRPr="004C5271">
        <w:rPr>
          <w:rFonts w:asciiTheme="majorBidi" w:hAnsiTheme="majorBidi" w:cstheme="majorBidi"/>
          <w:lang w:val="en-AU"/>
        </w:rPr>
        <w:t xml:space="preserve">. </w:t>
      </w:r>
      <w:bookmarkStart w:id="162" w:name="_Hlk17381199"/>
      <w:r w:rsidR="00FB51B6" w:rsidRPr="004C5271">
        <w:rPr>
          <w:rFonts w:asciiTheme="majorBidi" w:hAnsiTheme="majorBidi" w:cstheme="majorBidi"/>
          <w:lang w:val="en-AU"/>
        </w:rPr>
        <w:t>O</w:t>
      </w:r>
      <w:r w:rsidR="008A5C40" w:rsidRPr="004C5271">
        <w:rPr>
          <w:rFonts w:asciiTheme="majorBidi" w:hAnsiTheme="majorBidi" w:cstheme="majorBidi"/>
          <w:lang w:val="en-AU"/>
        </w:rPr>
        <w:t xml:space="preserve">n behalf of the Government, the Treasurer submitted that defined benefit schemes </w:t>
      </w:r>
      <w:r w:rsidR="00EC5779" w:rsidRPr="004C5271">
        <w:rPr>
          <w:rFonts w:asciiTheme="majorBidi" w:hAnsiTheme="majorBidi" w:cstheme="majorBidi"/>
          <w:lang w:val="en-AU"/>
        </w:rPr>
        <w:t xml:space="preserve">should </w:t>
      </w:r>
      <w:r w:rsidR="008A5C40" w:rsidRPr="004C5271">
        <w:rPr>
          <w:rFonts w:asciiTheme="majorBidi" w:hAnsiTheme="majorBidi" w:cstheme="majorBidi"/>
          <w:lang w:val="en-AU"/>
        </w:rPr>
        <w:t xml:space="preserve">be excluded from the operation of </w:t>
      </w:r>
      <w:r w:rsidR="00C20932" w:rsidRPr="004C5271">
        <w:rPr>
          <w:rFonts w:asciiTheme="majorBidi" w:hAnsiTheme="majorBidi" w:cstheme="majorBidi"/>
          <w:lang w:val="en-AU"/>
        </w:rPr>
        <w:t xml:space="preserve">any proposed </w:t>
      </w:r>
      <w:r w:rsidR="008A5C40" w:rsidRPr="004C5271">
        <w:rPr>
          <w:rFonts w:asciiTheme="majorBidi" w:hAnsiTheme="majorBidi" w:cstheme="majorBidi"/>
          <w:lang w:val="en-AU"/>
        </w:rPr>
        <w:t xml:space="preserve">notional estate law as </w:t>
      </w:r>
      <w:r w:rsidR="00FB51B6" w:rsidRPr="004C5271">
        <w:rPr>
          <w:rFonts w:asciiTheme="majorBidi" w:hAnsiTheme="majorBidi" w:cstheme="majorBidi"/>
          <w:lang w:val="en-AU"/>
        </w:rPr>
        <w:t>it</w:t>
      </w:r>
      <w:r w:rsidR="008A5C40" w:rsidRPr="004C5271">
        <w:rPr>
          <w:rFonts w:asciiTheme="majorBidi" w:hAnsiTheme="majorBidi" w:cstheme="majorBidi"/>
          <w:lang w:val="en-AU"/>
        </w:rPr>
        <w:t xml:space="preserve"> </w:t>
      </w:r>
      <w:r w:rsidR="00B95203" w:rsidRPr="004C5271">
        <w:rPr>
          <w:rFonts w:asciiTheme="majorBidi" w:hAnsiTheme="majorBidi" w:cstheme="majorBidi"/>
          <w:lang w:val="en-AU"/>
        </w:rPr>
        <w:t xml:space="preserve">would </w:t>
      </w:r>
      <w:r w:rsidR="00523220" w:rsidRPr="004C5271">
        <w:rPr>
          <w:rFonts w:asciiTheme="majorBidi" w:hAnsiTheme="majorBidi" w:cstheme="majorBidi"/>
          <w:lang w:val="en-AU"/>
        </w:rPr>
        <w:t>‘</w:t>
      </w:r>
      <w:r w:rsidR="00B95203" w:rsidRPr="004C5271">
        <w:rPr>
          <w:rFonts w:asciiTheme="majorBidi" w:hAnsiTheme="majorBidi" w:cstheme="majorBidi"/>
          <w:lang w:val="en-AU"/>
        </w:rPr>
        <w:t>add significant complexity and administrative work</w:t>
      </w:r>
      <w:r w:rsidR="00523220" w:rsidRPr="004C5271">
        <w:rPr>
          <w:rFonts w:asciiTheme="majorBidi" w:hAnsiTheme="majorBidi" w:cstheme="majorBidi"/>
          <w:lang w:val="en-AU"/>
        </w:rPr>
        <w:t>’</w:t>
      </w:r>
      <w:r w:rsidR="00B95203" w:rsidRPr="004C5271">
        <w:rPr>
          <w:rFonts w:asciiTheme="majorBidi" w:hAnsiTheme="majorBidi" w:cstheme="majorBidi"/>
          <w:lang w:val="en-AU"/>
        </w:rPr>
        <w:t xml:space="preserve"> and </w:t>
      </w:r>
      <w:r w:rsidR="00FB51B6" w:rsidRPr="004C5271">
        <w:rPr>
          <w:rFonts w:asciiTheme="majorBidi" w:hAnsiTheme="majorBidi" w:cstheme="majorBidi"/>
          <w:lang w:val="en-AU"/>
        </w:rPr>
        <w:t>be</w:t>
      </w:r>
      <w:r w:rsidR="00B95203" w:rsidRPr="004C5271">
        <w:rPr>
          <w:rFonts w:asciiTheme="majorBidi" w:hAnsiTheme="majorBidi" w:cstheme="majorBidi"/>
          <w:lang w:val="en-AU"/>
        </w:rPr>
        <w:t xml:space="preserve"> </w:t>
      </w:r>
      <w:r w:rsidR="00523220" w:rsidRPr="004C5271">
        <w:rPr>
          <w:rFonts w:asciiTheme="majorBidi" w:hAnsiTheme="majorBidi" w:cstheme="majorBidi"/>
          <w:lang w:val="en-AU"/>
        </w:rPr>
        <w:t>‘</w:t>
      </w:r>
      <w:r w:rsidR="00B95203" w:rsidRPr="004C5271">
        <w:rPr>
          <w:rFonts w:asciiTheme="majorBidi" w:hAnsiTheme="majorBidi" w:cstheme="majorBidi"/>
          <w:lang w:val="en-AU"/>
        </w:rPr>
        <w:t xml:space="preserve">contrary to the original intent and design of </w:t>
      </w:r>
      <w:r w:rsidR="00B95203" w:rsidRPr="004C5271">
        <w:rPr>
          <w:rFonts w:asciiTheme="majorBidi" w:hAnsiTheme="majorBidi" w:cstheme="majorBidi"/>
          <w:lang w:val="en-AU"/>
        </w:rPr>
        <w:lastRenderedPageBreak/>
        <w:t>the schemes.</w:t>
      </w:r>
      <w:r w:rsidR="00523220" w:rsidRPr="004C5271">
        <w:rPr>
          <w:rFonts w:asciiTheme="majorBidi" w:hAnsiTheme="majorBidi" w:cstheme="majorBidi"/>
          <w:lang w:val="en-AU"/>
        </w:rPr>
        <w:t>’</w:t>
      </w:r>
      <w:bookmarkEnd w:id="162"/>
      <w:r w:rsidR="00B95203" w:rsidRPr="004C5271">
        <w:rPr>
          <w:rFonts w:asciiTheme="majorBidi" w:hAnsiTheme="majorBidi" w:cstheme="majorBidi"/>
          <w:sz w:val="20"/>
          <w:lang w:val="en-AU"/>
        </w:rPr>
        <w:t xml:space="preserve"> </w:t>
      </w:r>
      <w:r w:rsidR="00953AB7" w:rsidRPr="004C5271">
        <w:rPr>
          <w:rFonts w:asciiTheme="majorBidi" w:hAnsiTheme="majorBidi" w:cstheme="majorBidi"/>
          <w:lang w:val="en-AU"/>
        </w:rPr>
        <w:t xml:space="preserve">Whilst this comment was directed specifically at defined benefit schemes, similar issues arise in relation to application of notional estate legislation to superannuation funds more broadly. </w:t>
      </w:r>
    </w:p>
    <w:p w14:paraId="0C0A75D4" w14:textId="5B2DB163" w:rsidR="0070426A" w:rsidRPr="004C5271" w:rsidRDefault="0070426A" w:rsidP="00AE2B8C">
      <w:pPr>
        <w:pStyle w:val="Sub-HeadingTLRI"/>
      </w:pPr>
      <w:r w:rsidRPr="004C5271">
        <w:t>Increase</w:t>
      </w:r>
      <w:r w:rsidR="005610D2" w:rsidRPr="004C5271">
        <w:t xml:space="preserve">d </w:t>
      </w:r>
      <w:r w:rsidRPr="004C5271">
        <w:t>cost</w:t>
      </w:r>
      <w:r w:rsidR="005610D2" w:rsidRPr="004C5271">
        <w:t>s</w:t>
      </w:r>
      <w:r w:rsidRPr="004C5271">
        <w:t xml:space="preserve"> of litigation </w:t>
      </w:r>
      <w:r w:rsidR="005610D2" w:rsidRPr="004C5271">
        <w:t xml:space="preserve">and estate administration </w:t>
      </w:r>
    </w:p>
    <w:p w14:paraId="0856F3A7" w14:textId="55DA98FA" w:rsidR="0070426A" w:rsidRPr="004C5271" w:rsidRDefault="005610D2" w:rsidP="005610D2">
      <w:pPr>
        <w:pStyle w:val="NormalNumberedTextTLRI"/>
        <w:rPr>
          <w:rFonts w:asciiTheme="majorBidi" w:hAnsiTheme="majorBidi" w:cstheme="majorBidi"/>
          <w:lang w:val="en-AU"/>
        </w:rPr>
      </w:pPr>
      <w:bookmarkStart w:id="163" w:name="_Ref13503752"/>
      <w:r w:rsidRPr="004C5271">
        <w:rPr>
          <w:rFonts w:asciiTheme="majorBidi" w:hAnsiTheme="majorBidi" w:cstheme="majorBidi"/>
          <w:lang w:val="en-AU"/>
        </w:rPr>
        <w:t>One</w:t>
      </w:r>
      <w:r w:rsidR="0070426A" w:rsidRPr="004C5271">
        <w:rPr>
          <w:rFonts w:asciiTheme="majorBidi" w:hAnsiTheme="majorBidi" w:cstheme="majorBidi"/>
          <w:lang w:val="en-AU"/>
        </w:rPr>
        <w:t xml:space="preserve"> respondent</w:t>
      </w:r>
      <w:r w:rsidRPr="004C5271">
        <w:rPr>
          <w:rFonts w:asciiTheme="majorBidi" w:hAnsiTheme="majorBidi" w:cstheme="majorBidi"/>
          <w:lang w:val="en-AU"/>
        </w:rPr>
        <w:t xml:space="preserve"> stated that, in their opinion,</w:t>
      </w:r>
      <w:r w:rsidR="0070426A" w:rsidRPr="004C5271">
        <w:rPr>
          <w:rFonts w:asciiTheme="majorBidi" w:hAnsiTheme="majorBidi" w:cstheme="majorBidi"/>
          <w:lang w:val="en-AU"/>
        </w:rPr>
        <w:t xml:space="preserve"> </w:t>
      </w:r>
      <w:r w:rsidRPr="004C5271">
        <w:rPr>
          <w:rFonts w:asciiTheme="majorBidi" w:hAnsiTheme="majorBidi" w:cstheme="majorBidi"/>
          <w:lang w:val="en-AU"/>
        </w:rPr>
        <w:t>parties’</w:t>
      </w:r>
      <w:r w:rsidR="0070426A" w:rsidRPr="004C5271">
        <w:rPr>
          <w:rFonts w:asciiTheme="majorBidi" w:hAnsiTheme="majorBidi" w:cstheme="majorBidi"/>
          <w:lang w:val="en-AU"/>
        </w:rPr>
        <w:t xml:space="preserve"> legal costs </w:t>
      </w:r>
      <w:r w:rsidRPr="004C5271">
        <w:rPr>
          <w:rFonts w:asciiTheme="majorBidi" w:hAnsiTheme="majorBidi" w:cstheme="majorBidi"/>
          <w:lang w:val="en-AU"/>
        </w:rPr>
        <w:t>would</w:t>
      </w:r>
      <w:r w:rsidR="0070426A" w:rsidRPr="004C5271">
        <w:rPr>
          <w:rFonts w:asciiTheme="majorBidi" w:hAnsiTheme="majorBidi" w:cstheme="majorBidi"/>
          <w:lang w:val="en-AU"/>
        </w:rPr>
        <w:t xml:space="preserve"> increase if notional estate legislation were introduced.</w:t>
      </w:r>
      <w:r w:rsidRPr="004C5271">
        <w:rPr>
          <w:rStyle w:val="FootnoteReference"/>
          <w:rFonts w:asciiTheme="majorBidi" w:hAnsiTheme="majorBidi" w:cstheme="majorBidi"/>
          <w:lang w:val="en-AU"/>
        </w:rPr>
        <w:footnoteReference w:id="338"/>
      </w:r>
      <w:r w:rsidR="0070426A" w:rsidRPr="004C5271">
        <w:rPr>
          <w:rFonts w:asciiTheme="majorBidi" w:hAnsiTheme="majorBidi" w:cstheme="majorBidi"/>
          <w:lang w:val="en-AU"/>
        </w:rPr>
        <w:t xml:space="preserve"> </w:t>
      </w:r>
      <w:r w:rsidR="001501F8" w:rsidRPr="004C5271">
        <w:rPr>
          <w:rFonts w:asciiTheme="majorBidi" w:hAnsiTheme="majorBidi" w:cstheme="majorBidi"/>
          <w:lang w:val="en-AU"/>
        </w:rPr>
        <w:t>Phillipa Alexander commented:</w:t>
      </w:r>
      <w:bookmarkEnd w:id="163"/>
    </w:p>
    <w:p w14:paraId="0567EA36" w14:textId="54415D57" w:rsidR="001501F8" w:rsidRPr="004C5271" w:rsidRDefault="001501F8" w:rsidP="00523220">
      <w:pPr>
        <w:pStyle w:val="QuoteTLRI"/>
        <w:rPr>
          <w:rFonts w:asciiTheme="majorBidi" w:hAnsiTheme="majorBidi" w:cstheme="majorBidi"/>
        </w:rPr>
      </w:pPr>
      <w:r w:rsidRPr="004C5271">
        <w:rPr>
          <w:rFonts w:asciiTheme="majorBidi" w:hAnsiTheme="majorBidi" w:cstheme="majorBidi"/>
        </w:rPr>
        <w:t xml:space="preserve">As a legal </w:t>
      </w:r>
      <w:proofErr w:type="gramStart"/>
      <w:r w:rsidRPr="004C5271">
        <w:rPr>
          <w:rFonts w:asciiTheme="majorBidi" w:hAnsiTheme="majorBidi" w:cstheme="majorBidi"/>
        </w:rPr>
        <w:t>costs</w:t>
      </w:r>
      <w:proofErr w:type="gramEnd"/>
      <w:r w:rsidRPr="004C5271">
        <w:rPr>
          <w:rFonts w:asciiTheme="majorBidi" w:hAnsiTheme="majorBidi" w:cstheme="majorBidi"/>
        </w:rPr>
        <w:t xml:space="preserve"> consultant operating in the NSW jurisdiction, I estimate that costs in excess of $50,000 are incurred for even the smallest case, with costs in the hundreds of thousands incurred for those which run for more than one or two days</w:t>
      </w:r>
      <w:r w:rsidR="00945847">
        <w:rPr>
          <w:rFonts w:asciiTheme="majorBidi" w:hAnsiTheme="majorBidi" w:cstheme="majorBidi"/>
        </w:rPr>
        <w:t>’</w:t>
      </w:r>
      <w:r w:rsidRPr="004C5271">
        <w:rPr>
          <w:rFonts w:asciiTheme="majorBidi" w:hAnsiTheme="majorBidi" w:cstheme="majorBidi"/>
        </w:rPr>
        <w:t xml:space="preserve"> hearing. This has the potential to cause hardship to a substantial number of persons.</w:t>
      </w:r>
    </w:p>
    <w:p w14:paraId="55DBD93E" w14:textId="2CE96FD3" w:rsidR="00AE098C" w:rsidRPr="004C5271" w:rsidRDefault="00953AB7" w:rsidP="0070426A">
      <w:pPr>
        <w:pStyle w:val="NormalNumberedTextTLRI"/>
        <w:rPr>
          <w:rFonts w:asciiTheme="majorBidi" w:hAnsiTheme="majorBidi" w:cstheme="majorBidi"/>
          <w:lang w:val="en-AU"/>
        </w:rPr>
      </w:pPr>
      <w:r w:rsidRPr="004C5271">
        <w:rPr>
          <w:rFonts w:asciiTheme="majorBidi" w:hAnsiTheme="majorBidi" w:cstheme="majorBidi"/>
          <w:lang w:val="en-AU"/>
        </w:rPr>
        <w:t xml:space="preserve">Lawyer, </w:t>
      </w:r>
      <w:r w:rsidR="00AE098C" w:rsidRPr="004C5271">
        <w:rPr>
          <w:rFonts w:asciiTheme="majorBidi" w:hAnsiTheme="majorBidi" w:cstheme="majorBidi"/>
          <w:lang w:val="en-AU"/>
        </w:rPr>
        <w:t xml:space="preserve">James Walker commented that legal costs of estate disputes are often paid </w:t>
      </w:r>
      <w:r w:rsidR="008A7B5A" w:rsidRPr="004C5271">
        <w:rPr>
          <w:rFonts w:asciiTheme="majorBidi" w:hAnsiTheme="majorBidi" w:cstheme="majorBidi"/>
          <w:lang w:val="en-AU"/>
        </w:rPr>
        <w:t xml:space="preserve">for </w:t>
      </w:r>
      <w:r w:rsidR="00AE098C" w:rsidRPr="004C5271">
        <w:rPr>
          <w:rFonts w:asciiTheme="majorBidi" w:hAnsiTheme="majorBidi" w:cstheme="majorBidi"/>
          <w:lang w:val="en-AU"/>
        </w:rPr>
        <w:t xml:space="preserve">by an estate and an increase in litigation would adversely </w:t>
      </w:r>
      <w:r w:rsidR="00EC5779" w:rsidRPr="004C5271">
        <w:rPr>
          <w:rFonts w:asciiTheme="majorBidi" w:hAnsiTheme="majorBidi" w:cstheme="majorBidi"/>
          <w:lang w:val="en-AU"/>
        </w:rPr>
        <w:t xml:space="preserve">affect </w:t>
      </w:r>
      <w:r w:rsidR="00AE098C" w:rsidRPr="004C5271">
        <w:rPr>
          <w:rFonts w:asciiTheme="majorBidi" w:hAnsiTheme="majorBidi" w:cstheme="majorBidi"/>
          <w:lang w:val="en-AU"/>
        </w:rPr>
        <w:t xml:space="preserve">the size of estates. </w:t>
      </w:r>
    </w:p>
    <w:p w14:paraId="5A3D7B2E" w14:textId="54E236BD" w:rsidR="005610D2" w:rsidRPr="004C5271" w:rsidRDefault="002E6F1F" w:rsidP="0070426A">
      <w:pPr>
        <w:pStyle w:val="NormalNumberedTextTLRI"/>
        <w:rPr>
          <w:rFonts w:asciiTheme="majorBidi" w:hAnsiTheme="majorBidi" w:cstheme="majorBidi"/>
          <w:lang w:val="en-AU"/>
        </w:rPr>
      </w:pPr>
      <w:r w:rsidRPr="004C5271">
        <w:rPr>
          <w:rFonts w:asciiTheme="majorBidi" w:hAnsiTheme="majorBidi" w:cstheme="majorBidi"/>
          <w:lang w:val="en-AU"/>
        </w:rPr>
        <w:t xml:space="preserve">It is possible </w:t>
      </w:r>
      <w:r w:rsidR="008A7B5A" w:rsidRPr="004C5271">
        <w:rPr>
          <w:rFonts w:asciiTheme="majorBidi" w:hAnsiTheme="majorBidi" w:cstheme="majorBidi"/>
          <w:lang w:val="en-AU"/>
        </w:rPr>
        <w:t>for</w:t>
      </w:r>
      <w:r w:rsidRPr="004C5271">
        <w:rPr>
          <w:rFonts w:asciiTheme="majorBidi" w:hAnsiTheme="majorBidi" w:cstheme="majorBidi"/>
          <w:lang w:val="en-AU"/>
        </w:rPr>
        <w:t xml:space="preserve"> l</w:t>
      </w:r>
      <w:r w:rsidR="005610D2" w:rsidRPr="004C5271">
        <w:rPr>
          <w:rFonts w:asciiTheme="majorBidi" w:hAnsiTheme="majorBidi" w:cstheme="majorBidi"/>
          <w:lang w:val="en-AU"/>
        </w:rPr>
        <w:t xml:space="preserve">egal costs </w:t>
      </w:r>
      <w:r w:rsidR="008A7B5A" w:rsidRPr="004C5271">
        <w:rPr>
          <w:rFonts w:asciiTheme="majorBidi" w:hAnsiTheme="majorBidi" w:cstheme="majorBidi"/>
          <w:lang w:val="en-AU"/>
        </w:rPr>
        <w:t>to</w:t>
      </w:r>
      <w:r w:rsidR="005610D2" w:rsidRPr="004C5271">
        <w:rPr>
          <w:rFonts w:asciiTheme="majorBidi" w:hAnsiTheme="majorBidi" w:cstheme="majorBidi"/>
          <w:lang w:val="en-AU"/>
        </w:rPr>
        <w:t xml:space="preserve"> be </w:t>
      </w:r>
      <w:r w:rsidR="006A5E99" w:rsidRPr="004C5271">
        <w:rPr>
          <w:rFonts w:asciiTheme="majorBidi" w:hAnsiTheme="majorBidi" w:cstheme="majorBidi"/>
          <w:lang w:val="en-AU"/>
        </w:rPr>
        <w:t xml:space="preserve">affected </w:t>
      </w:r>
      <w:r w:rsidR="005610D2" w:rsidRPr="004C5271">
        <w:rPr>
          <w:rFonts w:asciiTheme="majorBidi" w:hAnsiTheme="majorBidi" w:cstheme="majorBidi"/>
          <w:lang w:val="en-AU"/>
        </w:rPr>
        <w:t>in two ways:</w:t>
      </w:r>
    </w:p>
    <w:p w14:paraId="29F6680F" w14:textId="5B54EF4E" w:rsidR="005610D2" w:rsidRPr="004C5271" w:rsidRDefault="005610D2" w:rsidP="005610D2">
      <w:pPr>
        <w:pStyle w:val="DotPointTLRI"/>
        <w:rPr>
          <w:rFonts w:asciiTheme="majorBidi" w:hAnsiTheme="majorBidi" w:cstheme="majorBidi"/>
          <w:lang w:val="en-AU"/>
        </w:rPr>
      </w:pPr>
      <w:r w:rsidRPr="004C5271">
        <w:rPr>
          <w:rFonts w:asciiTheme="majorBidi" w:hAnsiTheme="majorBidi" w:cstheme="majorBidi"/>
          <w:lang w:val="en-AU"/>
        </w:rPr>
        <w:t>as discussed at [</w:t>
      </w:r>
      <w:r w:rsidR="00B87186" w:rsidRPr="004C5271">
        <w:rPr>
          <w:rFonts w:asciiTheme="majorBidi" w:hAnsiTheme="majorBidi" w:cstheme="majorBidi"/>
          <w:lang w:val="en-AU"/>
        </w:rPr>
        <w:fldChar w:fldCharType="begin"/>
      </w:r>
      <w:r w:rsidR="00B87186" w:rsidRPr="004C5271">
        <w:rPr>
          <w:rFonts w:asciiTheme="majorBidi" w:hAnsiTheme="majorBidi" w:cstheme="majorBidi"/>
          <w:lang w:val="en-AU"/>
        </w:rPr>
        <w:instrText xml:space="preserve"> REF _Ref13407817 \r \h </w:instrText>
      </w:r>
      <w:r w:rsidR="004C5271">
        <w:rPr>
          <w:rFonts w:asciiTheme="majorBidi" w:hAnsiTheme="majorBidi" w:cstheme="majorBidi"/>
          <w:lang w:val="en-AU"/>
        </w:rPr>
        <w:instrText xml:space="preserve"> \* MERGEFORMAT </w:instrText>
      </w:r>
      <w:r w:rsidR="00B87186" w:rsidRPr="004C5271">
        <w:rPr>
          <w:rFonts w:asciiTheme="majorBidi" w:hAnsiTheme="majorBidi" w:cstheme="majorBidi"/>
          <w:lang w:val="en-AU"/>
        </w:rPr>
      </w:r>
      <w:r w:rsidR="00B87186"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5.5.26</w:t>
      </w:r>
      <w:r w:rsidR="00B87186" w:rsidRPr="004C5271">
        <w:rPr>
          <w:rFonts w:asciiTheme="majorBidi" w:hAnsiTheme="majorBidi" w:cstheme="majorBidi"/>
          <w:lang w:val="en-AU"/>
        </w:rPr>
        <w:fldChar w:fldCharType="end"/>
      </w:r>
      <w:r w:rsidRPr="004C5271">
        <w:rPr>
          <w:rFonts w:asciiTheme="majorBidi" w:hAnsiTheme="majorBidi" w:cstheme="majorBidi"/>
          <w:lang w:val="en-AU"/>
        </w:rPr>
        <w:t>], legal personal representatives and potential claimants may need to make extensive enquiries to ascertain those assets that may be captured by the notional estate provisions;</w:t>
      </w:r>
      <w:r w:rsidRPr="004C5271">
        <w:rPr>
          <w:rStyle w:val="FootnoteReference"/>
          <w:rFonts w:asciiTheme="majorBidi" w:hAnsiTheme="majorBidi" w:cstheme="majorBidi"/>
          <w:lang w:val="en-AU"/>
        </w:rPr>
        <w:footnoteReference w:id="339"/>
      </w:r>
      <w:r w:rsidRPr="004C5271">
        <w:rPr>
          <w:rFonts w:asciiTheme="majorBidi" w:hAnsiTheme="majorBidi" w:cstheme="majorBidi"/>
          <w:lang w:val="en-AU"/>
        </w:rPr>
        <w:t xml:space="preserve"> and</w:t>
      </w:r>
    </w:p>
    <w:p w14:paraId="491C50F4" w14:textId="51EC5757" w:rsidR="005610D2" w:rsidRPr="004C5271" w:rsidRDefault="00683803" w:rsidP="005610D2">
      <w:pPr>
        <w:pStyle w:val="DotPointTLRI"/>
        <w:rPr>
          <w:rFonts w:asciiTheme="majorBidi" w:hAnsiTheme="majorBidi" w:cstheme="majorBidi"/>
          <w:lang w:val="en-AU"/>
        </w:rPr>
      </w:pPr>
      <w:r w:rsidRPr="004C5271">
        <w:rPr>
          <w:rFonts w:asciiTheme="majorBidi" w:hAnsiTheme="majorBidi" w:cstheme="majorBidi"/>
          <w:lang w:val="en-AU"/>
        </w:rPr>
        <w:t xml:space="preserve">the number of parties to a dispute may increase as the </w:t>
      </w:r>
      <w:r w:rsidR="005610D2" w:rsidRPr="004C5271">
        <w:rPr>
          <w:rFonts w:asciiTheme="majorBidi" w:hAnsiTheme="majorBidi" w:cstheme="majorBidi"/>
          <w:lang w:val="en-AU"/>
        </w:rPr>
        <w:t xml:space="preserve">recipients of assets </w:t>
      </w:r>
      <w:r w:rsidR="00B87186" w:rsidRPr="004C5271">
        <w:rPr>
          <w:rFonts w:asciiTheme="majorBidi" w:hAnsiTheme="majorBidi" w:cstheme="majorBidi"/>
          <w:lang w:val="en-AU"/>
        </w:rPr>
        <w:t>—</w:t>
      </w:r>
      <w:r w:rsidR="005610D2" w:rsidRPr="004C5271">
        <w:rPr>
          <w:rFonts w:asciiTheme="majorBidi" w:hAnsiTheme="majorBidi" w:cstheme="majorBidi"/>
          <w:lang w:val="en-AU"/>
        </w:rPr>
        <w:t xml:space="preserve"> for example, those inheriting a property by survivorship or beneficiaries of </w:t>
      </w:r>
      <w:r w:rsidR="00D61FB5" w:rsidRPr="004C5271">
        <w:rPr>
          <w:rFonts w:asciiTheme="majorBidi" w:hAnsiTheme="majorBidi" w:cstheme="majorBidi"/>
          <w:lang w:val="en-AU"/>
        </w:rPr>
        <w:t>superannuation</w:t>
      </w:r>
      <w:r w:rsidR="005610D2" w:rsidRPr="004C5271">
        <w:rPr>
          <w:rFonts w:asciiTheme="majorBidi" w:hAnsiTheme="majorBidi" w:cstheme="majorBidi"/>
          <w:lang w:val="en-AU"/>
        </w:rPr>
        <w:t xml:space="preserve"> </w:t>
      </w:r>
      <w:r w:rsidR="00B87186" w:rsidRPr="004C5271">
        <w:rPr>
          <w:rFonts w:asciiTheme="majorBidi" w:hAnsiTheme="majorBidi" w:cstheme="majorBidi"/>
          <w:lang w:val="en-AU"/>
        </w:rPr>
        <w:t>—</w:t>
      </w:r>
      <w:r w:rsidR="005610D2" w:rsidRPr="004C5271">
        <w:rPr>
          <w:rFonts w:asciiTheme="majorBidi" w:hAnsiTheme="majorBidi" w:cstheme="majorBidi"/>
          <w:lang w:val="en-AU"/>
        </w:rPr>
        <w:t xml:space="preserve"> would need to have the opportunity to be joined as parties to any </w:t>
      </w:r>
      <w:r w:rsidR="00D61FB5" w:rsidRPr="004C5271">
        <w:rPr>
          <w:rFonts w:asciiTheme="majorBidi" w:hAnsiTheme="majorBidi" w:cstheme="majorBidi"/>
          <w:lang w:val="en-AU"/>
        </w:rPr>
        <w:t>court action</w:t>
      </w:r>
      <w:r w:rsidR="005610D2" w:rsidRPr="004C5271">
        <w:rPr>
          <w:rFonts w:asciiTheme="majorBidi" w:hAnsiTheme="majorBidi" w:cstheme="majorBidi"/>
          <w:lang w:val="en-AU"/>
        </w:rPr>
        <w:t>.</w:t>
      </w:r>
      <w:r w:rsidR="005610D2" w:rsidRPr="004C5271">
        <w:rPr>
          <w:rStyle w:val="FootnoteReference"/>
          <w:rFonts w:asciiTheme="majorBidi" w:hAnsiTheme="majorBidi" w:cstheme="majorBidi"/>
          <w:lang w:val="en-AU"/>
        </w:rPr>
        <w:footnoteReference w:id="340"/>
      </w:r>
    </w:p>
    <w:p w14:paraId="0ACDF289" w14:textId="2D42C615" w:rsidR="0070426A" w:rsidRPr="004C5271" w:rsidRDefault="000C0B29" w:rsidP="0070426A">
      <w:pPr>
        <w:pStyle w:val="NormalNumberedTextTLRI"/>
        <w:rPr>
          <w:rFonts w:asciiTheme="majorBidi" w:hAnsiTheme="majorBidi" w:cstheme="majorBidi"/>
          <w:lang w:val="en-AU"/>
        </w:rPr>
      </w:pPr>
      <w:r w:rsidRPr="004C5271">
        <w:rPr>
          <w:rFonts w:asciiTheme="majorBidi" w:hAnsiTheme="majorBidi" w:cstheme="majorBidi"/>
          <w:lang w:val="en-AU"/>
        </w:rPr>
        <w:lastRenderedPageBreak/>
        <w:t>T</w:t>
      </w:r>
      <w:r w:rsidR="0070426A" w:rsidRPr="004C5271">
        <w:rPr>
          <w:rFonts w:asciiTheme="majorBidi" w:hAnsiTheme="majorBidi" w:cstheme="majorBidi"/>
          <w:lang w:val="en-AU"/>
        </w:rPr>
        <w:t xml:space="preserve">he potential </w:t>
      </w:r>
      <w:r w:rsidR="0039638E" w:rsidRPr="004C5271">
        <w:rPr>
          <w:rFonts w:asciiTheme="majorBidi" w:hAnsiTheme="majorBidi" w:cstheme="majorBidi"/>
          <w:lang w:val="en-AU"/>
        </w:rPr>
        <w:t>for a notional estates order</w:t>
      </w:r>
      <w:r w:rsidR="00FD7B56" w:rsidRPr="004C5271">
        <w:rPr>
          <w:rFonts w:asciiTheme="majorBidi" w:hAnsiTheme="majorBidi" w:cstheme="majorBidi"/>
          <w:lang w:val="en-AU"/>
        </w:rPr>
        <w:t xml:space="preserve"> </w:t>
      </w:r>
      <w:r w:rsidR="0070426A" w:rsidRPr="004C5271">
        <w:rPr>
          <w:rFonts w:asciiTheme="majorBidi" w:hAnsiTheme="majorBidi" w:cstheme="majorBidi"/>
          <w:lang w:val="en-AU"/>
        </w:rPr>
        <w:t>may not</w:t>
      </w:r>
      <w:r w:rsidR="0039638E" w:rsidRPr="004C5271">
        <w:rPr>
          <w:rFonts w:asciiTheme="majorBidi" w:hAnsiTheme="majorBidi" w:cstheme="majorBidi"/>
          <w:lang w:val="en-AU"/>
        </w:rPr>
        <w:t>, however,</w:t>
      </w:r>
      <w:r w:rsidR="00FD7B56" w:rsidRPr="004C5271">
        <w:rPr>
          <w:rFonts w:asciiTheme="majorBidi" w:hAnsiTheme="majorBidi" w:cstheme="majorBidi"/>
          <w:lang w:val="en-AU"/>
        </w:rPr>
        <w:t xml:space="preserve"> </w:t>
      </w:r>
      <w:r w:rsidR="0070426A" w:rsidRPr="004C5271">
        <w:rPr>
          <w:rFonts w:asciiTheme="majorBidi" w:hAnsiTheme="majorBidi" w:cstheme="majorBidi"/>
          <w:lang w:val="en-AU"/>
        </w:rPr>
        <w:t xml:space="preserve">enlarge the number of parties </w:t>
      </w:r>
      <w:r w:rsidR="00963DF1" w:rsidRPr="004C5271">
        <w:rPr>
          <w:rFonts w:asciiTheme="majorBidi" w:hAnsiTheme="majorBidi" w:cstheme="majorBidi"/>
          <w:lang w:val="en-AU"/>
        </w:rPr>
        <w:t>to</w:t>
      </w:r>
      <w:r w:rsidR="0070426A" w:rsidRPr="004C5271">
        <w:rPr>
          <w:rFonts w:asciiTheme="majorBidi" w:hAnsiTheme="majorBidi" w:cstheme="majorBidi"/>
          <w:lang w:val="en-AU"/>
        </w:rPr>
        <w:t xml:space="preserve"> a dispute</w:t>
      </w:r>
      <w:r w:rsidR="0039638E" w:rsidRPr="004C5271">
        <w:rPr>
          <w:rFonts w:asciiTheme="majorBidi" w:hAnsiTheme="majorBidi" w:cstheme="majorBidi"/>
          <w:lang w:val="en-AU"/>
        </w:rPr>
        <w:t xml:space="preserve"> in all cases</w:t>
      </w:r>
      <w:r w:rsidR="0070426A" w:rsidRPr="004C5271">
        <w:rPr>
          <w:rFonts w:asciiTheme="majorBidi" w:hAnsiTheme="majorBidi" w:cstheme="majorBidi"/>
          <w:lang w:val="en-AU"/>
        </w:rPr>
        <w:t xml:space="preserve">. An example </w:t>
      </w:r>
      <w:r w:rsidR="0039638E" w:rsidRPr="004C5271">
        <w:rPr>
          <w:rFonts w:asciiTheme="majorBidi" w:hAnsiTheme="majorBidi" w:cstheme="majorBidi"/>
          <w:lang w:val="en-AU"/>
        </w:rPr>
        <w:t xml:space="preserve">is </w:t>
      </w:r>
      <w:r w:rsidR="0070426A" w:rsidRPr="004C5271">
        <w:rPr>
          <w:rFonts w:asciiTheme="majorBidi" w:hAnsiTheme="majorBidi" w:cstheme="majorBidi"/>
          <w:lang w:val="en-AU"/>
        </w:rPr>
        <w:t xml:space="preserve">where a spouse is the executor and sole beneficiary of an estate whilst also the recipient of </w:t>
      </w:r>
      <w:r w:rsidR="0039638E" w:rsidRPr="004C5271">
        <w:rPr>
          <w:rFonts w:asciiTheme="majorBidi" w:hAnsiTheme="majorBidi" w:cstheme="majorBidi"/>
          <w:lang w:val="en-AU"/>
        </w:rPr>
        <w:t xml:space="preserve">non-estate </w:t>
      </w:r>
      <w:r w:rsidR="0070426A" w:rsidRPr="004C5271">
        <w:rPr>
          <w:rFonts w:asciiTheme="majorBidi" w:hAnsiTheme="majorBidi" w:cstheme="majorBidi"/>
          <w:lang w:val="en-AU"/>
        </w:rPr>
        <w:t xml:space="preserve">property, for example a joint tenancy property or the proceeds of a life insurance policy. In those circumstances, there may not be any </w:t>
      </w:r>
      <w:r w:rsidR="0039638E" w:rsidRPr="004C5271">
        <w:rPr>
          <w:rFonts w:asciiTheme="majorBidi" w:hAnsiTheme="majorBidi" w:cstheme="majorBidi"/>
          <w:lang w:val="en-AU"/>
        </w:rPr>
        <w:t>other</w:t>
      </w:r>
      <w:r w:rsidR="0070426A" w:rsidRPr="004C5271">
        <w:rPr>
          <w:rFonts w:asciiTheme="majorBidi" w:hAnsiTheme="majorBidi" w:cstheme="majorBidi"/>
          <w:lang w:val="en-AU"/>
        </w:rPr>
        <w:t xml:space="preserve"> parties </w:t>
      </w:r>
      <w:r w:rsidR="0039638E" w:rsidRPr="004C5271">
        <w:rPr>
          <w:rFonts w:asciiTheme="majorBidi" w:hAnsiTheme="majorBidi" w:cstheme="majorBidi"/>
          <w:lang w:val="en-AU"/>
        </w:rPr>
        <w:t>potentially affected</w:t>
      </w:r>
      <w:r w:rsidR="00FD7B56" w:rsidRPr="004C5271">
        <w:rPr>
          <w:rFonts w:asciiTheme="majorBidi" w:hAnsiTheme="majorBidi" w:cstheme="majorBidi"/>
          <w:lang w:val="en-AU"/>
        </w:rPr>
        <w:t xml:space="preserve">. </w:t>
      </w:r>
    </w:p>
    <w:p w14:paraId="19DE3356" w14:textId="36FFE825" w:rsidR="0070426A" w:rsidRPr="004C5271" w:rsidRDefault="0070426A" w:rsidP="0070426A">
      <w:pPr>
        <w:pStyle w:val="NormalNumberedTextTLRI"/>
        <w:rPr>
          <w:rFonts w:asciiTheme="majorBidi" w:hAnsiTheme="majorBidi" w:cstheme="majorBidi"/>
          <w:lang w:val="en-AU"/>
        </w:rPr>
      </w:pPr>
      <w:r w:rsidRPr="004C5271">
        <w:rPr>
          <w:rFonts w:asciiTheme="majorBidi" w:hAnsiTheme="majorBidi" w:cstheme="majorBidi"/>
          <w:lang w:val="en-AU"/>
        </w:rPr>
        <w:t xml:space="preserve">Notional estate legislation </w:t>
      </w:r>
      <w:r w:rsidR="00C20932" w:rsidRPr="004C5271">
        <w:rPr>
          <w:rFonts w:asciiTheme="majorBidi" w:hAnsiTheme="majorBidi" w:cstheme="majorBidi"/>
          <w:lang w:val="en-AU"/>
        </w:rPr>
        <w:t>could</w:t>
      </w:r>
      <w:r w:rsidRPr="004C5271">
        <w:rPr>
          <w:rFonts w:asciiTheme="majorBidi" w:hAnsiTheme="majorBidi" w:cstheme="majorBidi"/>
          <w:lang w:val="en-AU"/>
        </w:rPr>
        <w:t xml:space="preserve"> streamline some claims by consolidating into single court proceeding matters that would otherwise require separate court actions. </w:t>
      </w:r>
      <w:r w:rsidR="0099567F" w:rsidRPr="004C5271">
        <w:rPr>
          <w:rFonts w:asciiTheme="majorBidi" w:hAnsiTheme="majorBidi" w:cstheme="majorBidi"/>
          <w:lang w:val="en-AU"/>
        </w:rPr>
        <w:t>P</w:t>
      </w:r>
      <w:r w:rsidRPr="004C5271">
        <w:rPr>
          <w:rFonts w:asciiTheme="majorBidi" w:hAnsiTheme="majorBidi" w:cstheme="majorBidi"/>
          <w:lang w:val="en-AU"/>
        </w:rPr>
        <w:t>resently</w:t>
      </w:r>
      <w:r w:rsidR="0099567F" w:rsidRPr="004C5271">
        <w:rPr>
          <w:rFonts w:asciiTheme="majorBidi" w:hAnsiTheme="majorBidi" w:cstheme="majorBidi"/>
          <w:lang w:val="en-AU"/>
        </w:rPr>
        <w:t>,</w:t>
      </w:r>
      <w:r w:rsidRPr="004C5271">
        <w:rPr>
          <w:rFonts w:asciiTheme="majorBidi" w:hAnsiTheme="majorBidi" w:cstheme="majorBidi"/>
          <w:lang w:val="en-AU"/>
        </w:rPr>
        <w:t xml:space="preserve"> a disgruntled beneficiary may pursue court action to recover assets to a</w:t>
      </w:r>
      <w:r w:rsidR="00FD7B56" w:rsidRPr="004C5271">
        <w:rPr>
          <w:rFonts w:asciiTheme="majorBidi" w:hAnsiTheme="majorBidi" w:cstheme="majorBidi"/>
          <w:lang w:val="en-AU"/>
        </w:rPr>
        <w:t xml:space="preserve">n </w:t>
      </w:r>
      <w:r w:rsidRPr="004C5271">
        <w:rPr>
          <w:rFonts w:asciiTheme="majorBidi" w:hAnsiTheme="majorBidi" w:cstheme="majorBidi"/>
          <w:lang w:val="en-AU"/>
        </w:rPr>
        <w:t>estate</w:t>
      </w:r>
      <w:r w:rsidR="007E587C" w:rsidRPr="004C5271">
        <w:rPr>
          <w:rFonts w:asciiTheme="majorBidi" w:hAnsiTheme="majorBidi" w:cstheme="majorBidi"/>
          <w:lang w:val="en-AU"/>
        </w:rPr>
        <w:t xml:space="preserve"> prior to making </w:t>
      </w:r>
      <w:r w:rsidR="00FD7B56" w:rsidRPr="004C5271">
        <w:rPr>
          <w:rFonts w:asciiTheme="majorBidi" w:hAnsiTheme="majorBidi" w:cstheme="majorBidi"/>
          <w:lang w:val="en-AU"/>
        </w:rPr>
        <w:t xml:space="preserve">a family provision </w:t>
      </w:r>
      <w:r w:rsidR="007E587C" w:rsidRPr="004C5271">
        <w:rPr>
          <w:rFonts w:asciiTheme="majorBidi" w:hAnsiTheme="majorBidi" w:cstheme="majorBidi"/>
          <w:lang w:val="en-AU"/>
        </w:rPr>
        <w:t xml:space="preserve">claim </w:t>
      </w:r>
      <w:r w:rsidR="00FD7B56" w:rsidRPr="004C5271">
        <w:rPr>
          <w:rFonts w:asciiTheme="majorBidi" w:hAnsiTheme="majorBidi" w:cstheme="majorBidi"/>
          <w:lang w:val="en-AU"/>
        </w:rPr>
        <w:t>by</w:t>
      </w:r>
      <w:r w:rsidR="007E587C" w:rsidRPr="004C5271">
        <w:rPr>
          <w:rFonts w:asciiTheme="majorBidi" w:hAnsiTheme="majorBidi" w:cstheme="majorBidi"/>
          <w:lang w:val="en-AU"/>
        </w:rPr>
        <w:t xml:space="preserve"> asserting</w:t>
      </w:r>
      <w:r w:rsidRPr="004C5271">
        <w:rPr>
          <w:rFonts w:asciiTheme="majorBidi" w:hAnsiTheme="majorBidi" w:cstheme="majorBidi"/>
          <w:lang w:val="en-AU"/>
        </w:rPr>
        <w:t xml:space="preserve"> undue influence or unconscionability to void a </w:t>
      </w:r>
      <w:r w:rsidR="007E587C" w:rsidRPr="004C5271">
        <w:rPr>
          <w:rFonts w:asciiTheme="majorBidi" w:hAnsiTheme="majorBidi" w:cstheme="majorBidi"/>
          <w:lang w:val="en-AU"/>
        </w:rPr>
        <w:t xml:space="preserve">pre-death </w:t>
      </w:r>
      <w:r w:rsidRPr="004C5271">
        <w:rPr>
          <w:rFonts w:asciiTheme="majorBidi" w:hAnsiTheme="majorBidi" w:cstheme="majorBidi"/>
          <w:lang w:val="en-AU"/>
        </w:rPr>
        <w:t>transfer of property.</w:t>
      </w:r>
      <w:r w:rsidRPr="004C5271">
        <w:rPr>
          <w:rStyle w:val="FootnoteReference"/>
          <w:rFonts w:asciiTheme="majorBidi" w:hAnsiTheme="majorBidi" w:cstheme="majorBidi"/>
          <w:lang w:val="en-AU"/>
        </w:rPr>
        <w:footnoteReference w:id="341"/>
      </w:r>
      <w:r w:rsidRPr="004C5271">
        <w:rPr>
          <w:rFonts w:asciiTheme="majorBidi" w:hAnsiTheme="majorBidi" w:cstheme="majorBidi"/>
          <w:lang w:val="en-AU"/>
        </w:rPr>
        <w:t xml:space="preserve"> Alternatively, an individual may claim </w:t>
      </w:r>
      <w:r w:rsidR="0099567F" w:rsidRPr="004C5271">
        <w:rPr>
          <w:rFonts w:asciiTheme="majorBidi" w:hAnsiTheme="majorBidi" w:cstheme="majorBidi"/>
          <w:lang w:val="en-AU"/>
        </w:rPr>
        <w:t xml:space="preserve">an equitable interest in non-estate </w:t>
      </w:r>
      <w:r w:rsidRPr="004C5271">
        <w:rPr>
          <w:rFonts w:asciiTheme="majorBidi" w:hAnsiTheme="majorBidi" w:cstheme="majorBidi"/>
          <w:lang w:val="en-AU"/>
        </w:rPr>
        <w:t xml:space="preserve">property, whilst simultaneously commencing proceedings under the </w:t>
      </w:r>
      <w:r w:rsidRPr="004C5271">
        <w:rPr>
          <w:rFonts w:asciiTheme="majorBidi" w:hAnsiTheme="majorBidi" w:cstheme="majorBidi"/>
          <w:i/>
          <w:iCs/>
          <w:lang w:val="en-AU"/>
        </w:rPr>
        <w:t>TFM Act</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342"/>
      </w:r>
      <w:r w:rsidRPr="004C5271">
        <w:rPr>
          <w:rFonts w:asciiTheme="majorBidi" w:hAnsiTheme="majorBidi" w:cstheme="majorBidi"/>
          <w:lang w:val="en-AU"/>
        </w:rPr>
        <w:t xml:space="preserve"> Whilst these causes of action and remedies are distinct, there may be instances where, if notional estate legislation existed, individuals may proceed solely with a family provision claim as </w:t>
      </w:r>
      <w:r w:rsidR="00FD7B56" w:rsidRPr="004C5271">
        <w:rPr>
          <w:rFonts w:asciiTheme="majorBidi" w:hAnsiTheme="majorBidi" w:cstheme="majorBidi"/>
          <w:lang w:val="en-AU"/>
        </w:rPr>
        <w:t xml:space="preserve">the court would have the ability to utilise non-estate assets to </w:t>
      </w:r>
      <w:r w:rsidR="0039638E" w:rsidRPr="004C5271">
        <w:rPr>
          <w:rFonts w:asciiTheme="majorBidi" w:hAnsiTheme="majorBidi" w:cstheme="majorBidi"/>
          <w:lang w:val="en-AU"/>
        </w:rPr>
        <w:t>award</w:t>
      </w:r>
      <w:r w:rsidR="00FD7B56" w:rsidRPr="004C5271">
        <w:rPr>
          <w:rFonts w:asciiTheme="majorBidi" w:hAnsiTheme="majorBidi" w:cstheme="majorBidi"/>
          <w:lang w:val="en-AU"/>
        </w:rPr>
        <w:t xml:space="preserve"> provision for a successful applicant</w:t>
      </w:r>
      <w:r w:rsidRPr="004C5271">
        <w:rPr>
          <w:rFonts w:asciiTheme="majorBidi" w:hAnsiTheme="majorBidi" w:cstheme="majorBidi"/>
          <w:lang w:val="en-AU"/>
        </w:rPr>
        <w:t>.</w:t>
      </w:r>
    </w:p>
    <w:p w14:paraId="7C641B3E" w14:textId="720284CB" w:rsidR="0070426A" w:rsidRPr="004C5271" w:rsidRDefault="00FD7B56" w:rsidP="0070426A">
      <w:pPr>
        <w:pStyle w:val="NormalNumberedTextTLRI"/>
        <w:rPr>
          <w:rFonts w:asciiTheme="majorBidi" w:hAnsiTheme="majorBidi" w:cstheme="majorBidi"/>
          <w:lang w:val="en-AU"/>
        </w:rPr>
      </w:pPr>
      <w:r w:rsidRPr="004C5271">
        <w:rPr>
          <w:rFonts w:asciiTheme="majorBidi" w:hAnsiTheme="majorBidi" w:cstheme="majorBidi"/>
          <w:lang w:val="en-AU"/>
        </w:rPr>
        <w:t>Additional l</w:t>
      </w:r>
      <w:r w:rsidR="00D81DE0" w:rsidRPr="004C5271">
        <w:rPr>
          <w:rFonts w:asciiTheme="majorBidi" w:hAnsiTheme="majorBidi" w:cstheme="majorBidi"/>
          <w:lang w:val="en-AU"/>
        </w:rPr>
        <w:t xml:space="preserve">egal costs may be </w:t>
      </w:r>
      <w:r w:rsidRPr="004C5271">
        <w:rPr>
          <w:rFonts w:asciiTheme="majorBidi" w:hAnsiTheme="majorBidi" w:cstheme="majorBidi"/>
          <w:lang w:val="en-AU"/>
        </w:rPr>
        <w:t>mitigated</w:t>
      </w:r>
      <w:r w:rsidR="00D81DE0" w:rsidRPr="004C5271">
        <w:rPr>
          <w:rFonts w:asciiTheme="majorBidi" w:hAnsiTheme="majorBidi" w:cstheme="majorBidi"/>
          <w:lang w:val="en-AU"/>
        </w:rPr>
        <w:t xml:space="preserve"> where </w:t>
      </w:r>
      <w:r w:rsidR="0070426A" w:rsidRPr="004C5271">
        <w:rPr>
          <w:rFonts w:asciiTheme="majorBidi" w:hAnsiTheme="majorBidi" w:cstheme="majorBidi"/>
          <w:lang w:val="en-AU"/>
        </w:rPr>
        <w:t xml:space="preserve">parties </w:t>
      </w:r>
      <w:r w:rsidRPr="004C5271">
        <w:rPr>
          <w:rFonts w:asciiTheme="majorBidi" w:hAnsiTheme="majorBidi" w:cstheme="majorBidi"/>
          <w:lang w:val="en-AU"/>
        </w:rPr>
        <w:t xml:space="preserve">to a dispute </w:t>
      </w:r>
      <w:r w:rsidR="0070426A" w:rsidRPr="004C5271">
        <w:rPr>
          <w:rFonts w:asciiTheme="majorBidi" w:hAnsiTheme="majorBidi" w:cstheme="majorBidi"/>
          <w:lang w:val="en-AU"/>
        </w:rPr>
        <w:t xml:space="preserve">agree upon those assets that may be included within </w:t>
      </w:r>
      <w:r w:rsidR="00A051BE" w:rsidRPr="004C5271">
        <w:rPr>
          <w:rFonts w:asciiTheme="majorBidi" w:hAnsiTheme="majorBidi" w:cstheme="majorBidi"/>
          <w:lang w:val="en-AU"/>
        </w:rPr>
        <w:t xml:space="preserve">a </w:t>
      </w:r>
      <w:r w:rsidR="0070426A" w:rsidRPr="004C5271">
        <w:rPr>
          <w:rFonts w:asciiTheme="majorBidi" w:hAnsiTheme="majorBidi" w:cstheme="majorBidi"/>
          <w:lang w:val="en-AU"/>
        </w:rPr>
        <w:t xml:space="preserve">potential notional estate order. </w:t>
      </w:r>
      <w:r w:rsidR="00A051BE" w:rsidRPr="004C5271">
        <w:rPr>
          <w:rFonts w:asciiTheme="majorBidi" w:hAnsiTheme="majorBidi" w:cstheme="majorBidi"/>
          <w:lang w:val="en-AU"/>
        </w:rPr>
        <w:t>I</w:t>
      </w:r>
      <w:r w:rsidR="0070426A" w:rsidRPr="004C5271">
        <w:rPr>
          <w:rFonts w:asciiTheme="majorBidi" w:hAnsiTheme="majorBidi" w:cstheme="majorBidi"/>
          <w:lang w:val="en-AU"/>
        </w:rPr>
        <w:t>n New South Wales</w:t>
      </w:r>
      <w:r w:rsidR="00A051BE" w:rsidRPr="004C5271">
        <w:rPr>
          <w:rFonts w:asciiTheme="majorBidi" w:hAnsiTheme="majorBidi" w:cstheme="majorBidi"/>
          <w:lang w:val="en-AU"/>
        </w:rPr>
        <w:t xml:space="preserve">, </w:t>
      </w:r>
      <w:r w:rsidRPr="004C5271">
        <w:rPr>
          <w:rFonts w:asciiTheme="majorBidi" w:hAnsiTheme="majorBidi" w:cstheme="majorBidi"/>
          <w:lang w:val="en-AU"/>
        </w:rPr>
        <w:t xml:space="preserve">reported decisions </w:t>
      </w:r>
      <w:r w:rsidR="00266C52" w:rsidRPr="004C5271">
        <w:rPr>
          <w:rFonts w:asciiTheme="majorBidi" w:hAnsiTheme="majorBidi" w:cstheme="majorBidi"/>
          <w:lang w:val="en-AU"/>
        </w:rPr>
        <w:t>suggest</w:t>
      </w:r>
      <w:r w:rsidRPr="004C5271">
        <w:rPr>
          <w:rFonts w:asciiTheme="majorBidi" w:hAnsiTheme="majorBidi" w:cstheme="majorBidi"/>
          <w:lang w:val="en-AU"/>
        </w:rPr>
        <w:t xml:space="preserve"> that </w:t>
      </w:r>
      <w:r w:rsidR="0070426A" w:rsidRPr="004C5271">
        <w:rPr>
          <w:rFonts w:asciiTheme="majorBidi" w:hAnsiTheme="majorBidi" w:cstheme="majorBidi"/>
          <w:lang w:val="en-AU"/>
        </w:rPr>
        <w:t>it is not uncommon for parties to agree upon th</w:t>
      </w:r>
      <w:r w:rsidRPr="004C5271">
        <w:rPr>
          <w:rFonts w:asciiTheme="majorBidi" w:hAnsiTheme="majorBidi" w:cstheme="majorBidi"/>
          <w:lang w:val="en-AU"/>
        </w:rPr>
        <w:t>e</w:t>
      </w:r>
      <w:r w:rsidR="0070426A" w:rsidRPr="004C5271">
        <w:rPr>
          <w:rFonts w:asciiTheme="majorBidi" w:hAnsiTheme="majorBidi" w:cstheme="majorBidi"/>
          <w:lang w:val="en-AU"/>
        </w:rPr>
        <w:t xml:space="preserve"> assets that may be the subject of a notional estate </w:t>
      </w:r>
      <w:r w:rsidRPr="004C5271">
        <w:rPr>
          <w:rFonts w:asciiTheme="majorBidi" w:hAnsiTheme="majorBidi" w:cstheme="majorBidi"/>
          <w:lang w:val="en-AU"/>
        </w:rPr>
        <w:t>order</w:t>
      </w:r>
      <w:r w:rsidR="0070426A" w:rsidRPr="004C5271">
        <w:rPr>
          <w:rFonts w:asciiTheme="majorBidi" w:hAnsiTheme="majorBidi" w:cstheme="majorBidi"/>
          <w:lang w:val="en-AU"/>
        </w:rPr>
        <w:t>. Where early concessions or agreements are made, protracted legal argument and discovery of documents</w:t>
      </w:r>
      <w:r w:rsidR="00D00757" w:rsidRPr="004C5271">
        <w:rPr>
          <w:rFonts w:asciiTheme="majorBidi" w:hAnsiTheme="majorBidi" w:cstheme="majorBidi"/>
          <w:lang w:val="en-AU"/>
        </w:rPr>
        <w:t xml:space="preserve"> may be unnecessary</w:t>
      </w:r>
      <w:r w:rsidR="00A051BE" w:rsidRPr="004C5271">
        <w:rPr>
          <w:rFonts w:asciiTheme="majorBidi" w:hAnsiTheme="majorBidi" w:cstheme="majorBidi"/>
          <w:lang w:val="en-AU"/>
        </w:rPr>
        <w:t>, thus minimising costs.</w:t>
      </w:r>
    </w:p>
    <w:p w14:paraId="3334F034" w14:textId="77777777" w:rsidR="0070426A" w:rsidRPr="004C5271" w:rsidRDefault="0070426A" w:rsidP="00AE2B8C">
      <w:pPr>
        <w:pStyle w:val="Sub-HeadingTLRI"/>
      </w:pPr>
      <w:r w:rsidRPr="004C5271">
        <w:lastRenderedPageBreak/>
        <w:t>Greater prevalence of family provision claims</w:t>
      </w:r>
    </w:p>
    <w:p w14:paraId="10EFDAF4" w14:textId="06D55190" w:rsidR="0070426A" w:rsidRPr="004C5271" w:rsidRDefault="003B673D" w:rsidP="0070426A">
      <w:pPr>
        <w:pStyle w:val="NormalNumberedTextTLRI"/>
        <w:rPr>
          <w:rFonts w:asciiTheme="majorBidi" w:hAnsiTheme="majorBidi" w:cstheme="majorBidi"/>
          <w:lang w:val="en-AU"/>
        </w:rPr>
      </w:pPr>
      <w:bookmarkStart w:id="165" w:name="_Ref13503828"/>
      <w:r w:rsidRPr="004C5271">
        <w:rPr>
          <w:rFonts w:asciiTheme="majorBidi" w:hAnsiTheme="majorBidi" w:cstheme="majorBidi"/>
          <w:lang w:val="en-AU"/>
        </w:rPr>
        <w:t>Four</w:t>
      </w:r>
      <w:r w:rsidR="0070426A" w:rsidRPr="004C5271">
        <w:rPr>
          <w:rFonts w:asciiTheme="majorBidi" w:hAnsiTheme="majorBidi" w:cstheme="majorBidi"/>
          <w:lang w:val="en-AU"/>
        </w:rPr>
        <w:t xml:space="preserve"> submissions </w:t>
      </w:r>
      <w:r w:rsidRPr="004C5271">
        <w:rPr>
          <w:rFonts w:asciiTheme="majorBidi" w:hAnsiTheme="majorBidi" w:cstheme="majorBidi"/>
          <w:lang w:val="en-AU"/>
        </w:rPr>
        <w:t>suggested that</w:t>
      </w:r>
      <w:r w:rsidR="0070426A" w:rsidRPr="004C5271">
        <w:rPr>
          <w:rFonts w:asciiTheme="majorBidi" w:hAnsiTheme="majorBidi" w:cstheme="majorBidi"/>
          <w:lang w:val="en-AU"/>
        </w:rPr>
        <w:t xml:space="preserve"> notional estate </w:t>
      </w:r>
      <w:r w:rsidRPr="004C5271">
        <w:rPr>
          <w:rFonts w:asciiTheme="majorBidi" w:hAnsiTheme="majorBidi" w:cstheme="majorBidi"/>
          <w:lang w:val="en-AU"/>
        </w:rPr>
        <w:t>laws</w:t>
      </w:r>
      <w:r w:rsidR="0070426A" w:rsidRPr="004C5271">
        <w:rPr>
          <w:rFonts w:asciiTheme="majorBidi" w:hAnsiTheme="majorBidi" w:cstheme="majorBidi"/>
          <w:lang w:val="en-AU"/>
        </w:rPr>
        <w:t xml:space="preserve"> </w:t>
      </w:r>
      <w:r w:rsidRPr="004C5271">
        <w:rPr>
          <w:rFonts w:asciiTheme="majorBidi" w:hAnsiTheme="majorBidi" w:cstheme="majorBidi"/>
          <w:lang w:val="en-AU"/>
        </w:rPr>
        <w:t>would</w:t>
      </w:r>
      <w:r w:rsidR="0070426A" w:rsidRPr="004C5271">
        <w:rPr>
          <w:rFonts w:asciiTheme="majorBidi" w:hAnsiTheme="majorBidi" w:cstheme="majorBidi"/>
          <w:lang w:val="en-AU"/>
        </w:rPr>
        <w:t xml:space="preserve"> increase the prevalence of family provision disputes</w:t>
      </w:r>
      <w:r w:rsidR="00D00757" w:rsidRPr="004C5271">
        <w:rPr>
          <w:rFonts w:asciiTheme="majorBidi" w:hAnsiTheme="majorBidi" w:cstheme="majorBidi"/>
          <w:lang w:val="en-AU"/>
        </w:rPr>
        <w:t xml:space="preserve"> in Tasmania</w:t>
      </w:r>
      <w:r w:rsidR="0070426A" w:rsidRPr="004C5271">
        <w:rPr>
          <w:rFonts w:asciiTheme="majorBidi" w:hAnsiTheme="majorBidi" w:cstheme="majorBidi"/>
          <w:lang w:val="en-AU"/>
        </w:rPr>
        <w:t>.</w:t>
      </w:r>
      <w:r w:rsidR="00383407" w:rsidRPr="004C5271">
        <w:rPr>
          <w:rStyle w:val="FootnoteReference"/>
          <w:rFonts w:asciiTheme="majorBidi" w:hAnsiTheme="majorBidi" w:cstheme="majorBidi"/>
          <w:lang w:val="en-AU"/>
        </w:rPr>
        <w:footnoteReference w:id="343"/>
      </w:r>
      <w:r w:rsidR="0070426A" w:rsidRPr="004C5271">
        <w:rPr>
          <w:rFonts w:asciiTheme="majorBidi" w:hAnsiTheme="majorBidi" w:cstheme="majorBidi"/>
          <w:lang w:val="en-AU"/>
        </w:rPr>
        <w:t xml:space="preserve"> </w:t>
      </w:r>
      <w:r w:rsidR="00A051BE" w:rsidRPr="004C5271">
        <w:rPr>
          <w:rFonts w:asciiTheme="majorBidi" w:hAnsiTheme="majorBidi" w:cstheme="majorBidi"/>
          <w:lang w:val="en-AU"/>
        </w:rPr>
        <w:t xml:space="preserve">This was partly because </w:t>
      </w:r>
      <w:r w:rsidR="0028638A" w:rsidRPr="004C5271">
        <w:rPr>
          <w:rFonts w:asciiTheme="majorBidi" w:hAnsiTheme="majorBidi" w:cstheme="majorBidi"/>
          <w:lang w:val="en-AU"/>
        </w:rPr>
        <w:t>claims</w:t>
      </w:r>
      <w:r w:rsidR="00A051BE" w:rsidRPr="004C5271">
        <w:rPr>
          <w:rFonts w:asciiTheme="majorBidi" w:hAnsiTheme="majorBidi" w:cstheme="majorBidi"/>
          <w:lang w:val="en-AU"/>
        </w:rPr>
        <w:t xml:space="preserve"> that are presently unable to be pursued because of the lack </w:t>
      </w:r>
      <w:r w:rsidR="00F46F96" w:rsidRPr="004C5271">
        <w:rPr>
          <w:rFonts w:asciiTheme="majorBidi" w:hAnsiTheme="majorBidi" w:cstheme="majorBidi"/>
          <w:lang w:val="en-AU"/>
        </w:rPr>
        <w:t xml:space="preserve">of </w:t>
      </w:r>
      <w:r w:rsidR="0028638A" w:rsidRPr="004C5271">
        <w:rPr>
          <w:rFonts w:asciiTheme="majorBidi" w:hAnsiTheme="majorBidi" w:cstheme="majorBidi"/>
          <w:lang w:val="en-AU"/>
        </w:rPr>
        <w:t xml:space="preserve">estate could </w:t>
      </w:r>
      <w:r w:rsidR="00D00757" w:rsidRPr="004C5271">
        <w:rPr>
          <w:rFonts w:asciiTheme="majorBidi" w:hAnsiTheme="majorBidi" w:cstheme="majorBidi"/>
          <w:lang w:val="en-AU"/>
        </w:rPr>
        <w:t xml:space="preserve">then </w:t>
      </w:r>
      <w:r w:rsidR="0028638A" w:rsidRPr="004C5271">
        <w:rPr>
          <w:rFonts w:asciiTheme="majorBidi" w:hAnsiTheme="majorBidi" w:cstheme="majorBidi"/>
          <w:lang w:val="en-AU"/>
        </w:rPr>
        <w:t>be pursued against notional estate</w:t>
      </w:r>
      <w:r w:rsidR="006A5E99" w:rsidRPr="004C5271">
        <w:rPr>
          <w:rFonts w:asciiTheme="majorBidi" w:hAnsiTheme="majorBidi" w:cstheme="majorBidi"/>
          <w:lang w:val="en-AU"/>
        </w:rPr>
        <w:t>s</w:t>
      </w:r>
      <w:r w:rsidR="0028638A" w:rsidRPr="004C5271">
        <w:rPr>
          <w:rFonts w:asciiTheme="majorBidi" w:hAnsiTheme="majorBidi" w:cstheme="majorBidi"/>
          <w:lang w:val="en-AU"/>
        </w:rPr>
        <w:t xml:space="preserve">. </w:t>
      </w:r>
      <w:r w:rsidRPr="004C5271">
        <w:rPr>
          <w:rFonts w:asciiTheme="majorBidi" w:hAnsiTheme="majorBidi" w:cstheme="majorBidi"/>
          <w:lang w:val="en-AU"/>
        </w:rPr>
        <w:t>Further</w:t>
      </w:r>
      <w:r w:rsidR="0028638A" w:rsidRPr="004C5271">
        <w:rPr>
          <w:rFonts w:asciiTheme="majorBidi" w:hAnsiTheme="majorBidi" w:cstheme="majorBidi"/>
          <w:lang w:val="en-AU"/>
        </w:rPr>
        <w:t xml:space="preserve">, the enlarged </w:t>
      </w:r>
      <w:r w:rsidRPr="004C5271">
        <w:rPr>
          <w:rFonts w:asciiTheme="majorBidi" w:hAnsiTheme="majorBidi" w:cstheme="majorBidi"/>
          <w:lang w:val="en-AU"/>
        </w:rPr>
        <w:t>pool of assets</w:t>
      </w:r>
      <w:r w:rsidR="0028638A" w:rsidRPr="004C5271">
        <w:rPr>
          <w:rFonts w:asciiTheme="majorBidi" w:hAnsiTheme="majorBidi" w:cstheme="majorBidi"/>
          <w:lang w:val="en-AU"/>
        </w:rPr>
        <w:t xml:space="preserve"> available might make family members more inclined to pursue claims.</w:t>
      </w:r>
      <w:r w:rsidR="00383407" w:rsidRPr="004C5271">
        <w:rPr>
          <w:rFonts w:asciiTheme="majorBidi" w:hAnsiTheme="majorBidi" w:cstheme="majorBidi"/>
          <w:lang w:val="en-AU"/>
        </w:rPr>
        <w:t xml:space="preserve"> </w:t>
      </w:r>
      <w:r w:rsidR="00504578" w:rsidRPr="004C5271">
        <w:rPr>
          <w:rFonts w:asciiTheme="majorBidi" w:hAnsiTheme="majorBidi" w:cstheme="majorBidi"/>
          <w:lang w:val="en-AU"/>
        </w:rPr>
        <w:t>One respondent expressed concern about this adding to the existing backlogs experienced in the courts.</w:t>
      </w:r>
      <w:r w:rsidR="00504578" w:rsidRPr="004C5271">
        <w:rPr>
          <w:rStyle w:val="FootnoteReference"/>
          <w:rFonts w:asciiTheme="majorBidi" w:hAnsiTheme="majorBidi" w:cstheme="majorBidi"/>
          <w:lang w:val="en-AU"/>
        </w:rPr>
        <w:footnoteReference w:id="344"/>
      </w:r>
      <w:r w:rsidR="004158DA" w:rsidRPr="004C5271">
        <w:rPr>
          <w:rFonts w:asciiTheme="majorBidi" w:hAnsiTheme="majorBidi" w:cstheme="majorBidi"/>
          <w:lang w:val="en-AU"/>
        </w:rPr>
        <w:t xml:space="preserve"> </w:t>
      </w:r>
      <w:r w:rsidRPr="004C5271">
        <w:rPr>
          <w:rFonts w:asciiTheme="majorBidi" w:hAnsiTheme="majorBidi" w:cstheme="majorBidi"/>
          <w:lang w:val="en-AU"/>
        </w:rPr>
        <w:t>Another</w:t>
      </w:r>
      <w:r w:rsidR="004158DA" w:rsidRPr="004C5271">
        <w:rPr>
          <w:rFonts w:asciiTheme="majorBidi" w:hAnsiTheme="majorBidi" w:cstheme="majorBidi"/>
          <w:lang w:val="en-AU"/>
        </w:rPr>
        <w:t xml:space="preserve"> respondent commented:</w:t>
      </w:r>
      <w:bookmarkEnd w:id="165"/>
    </w:p>
    <w:p w14:paraId="3C5728E0" w14:textId="25BF13B9" w:rsidR="004158DA" w:rsidRPr="004C5271" w:rsidRDefault="004158DA" w:rsidP="00C05DF7">
      <w:pPr>
        <w:pStyle w:val="QuoteTLRI"/>
        <w:rPr>
          <w:rFonts w:asciiTheme="majorBidi" w:hAnsiTheme="majorBidi" w:cstheme="majorBidi"/>
        </w:rPr>
      </w:pPr>
      <w:r w:rsidRPr="004C5271">
        <w:rPr>
          <w:rFonts w:asciiTheme="majorBidi" w:hAnsiTheme="majorBidi" w:cstheme="majorBidi"/>
        </w:rPr>
        <w:t>It is in the public interest for otherwise preventable litigation to remain something which is capable of being prevented.</w:t>
      </w:r>
      <w:r w:rsidRPr="004C5271">
        <w:rPr>
          <w:rStyle w:val="FootnoteReference"/>
          <w:rFonts w:asciiTheme="majorBidi" w:hAnsiTheme="majorBidi" w:cstheme="majorBidi"/>
        </w:rPr>
        <w:footnoteReference w:id="345"/>
      </w:r>
    </w:p>
    <w:p w14:paraId="5189F79F" w14:textId="60642DD6" w:rsidR="0070426A" w:rsidRPr="004C5271" w:rsidRDefault="0070426A" w:rsidP="008F6E27">
      <w:pPr>
        <w:pStyle w:val="NormalNumberedTextTLRI"/>
        <w:rPr>
          <w:rFonts w:asciiTheme="majorBidi" w:hAnsiTheme="majorBidi" w:cstheme="majorBidi"/>
          <w:lang w:val="en-AU"/>
        </w:rPr>
      </w:pPr>
      <w:bookmarkStart w:id="166" w:name="_Ref13503794"/>
      <w:r w:rsidRPr="004C5271">
        <w:rPr>
          <w:rFonts w:asciiTheme="majorBidi" w:hAnsiTheme="majorBidi" w:cstheme="majorBidi"/>
          <w:lang w:val="en-AU"/>
        </w:rPr>
        <w:t xml:space="preserve">It is difficult to reach conclusions about the extent to which </w:t>
      </w:r>
      <w:r w:rsidR="003B673D" w:rsidRPr="004C5271">
        <w:rPr>
          <w:rFonts w:asciiTheme="majorBidi" w:hAnsiTheme="majorBidi" w:cstheme="majorBidi"/>
          <w:lang w:val="en-AU"/>
        </w:rPr>
        <w:t>notional estate legislation could increase the prevalence of claims</w:t>
      </w:r>
      <w:r w:rsidRPr="004C5271">
        <w:rPr>
          <w:rFonts w:asciiTheme="majorBidi" w:hAnsiTheme="majorBidi" w:cstheme="majorBidi"/>
          <w:lang w:val="en-AU"/>
        </w:rPr>
        <w:t xml:space="preserve">. It is useful to look </w:t>
      </w:r>
      <w:r w:rsidR="0028638A" w:rsidRPr="004C5271">
        <w:rPr>
          <w:rFonts w:asciiTheme="majorBidi" w:hAnsiTheme="majorBidi" w:cstheme="majorBidi"/>
          <w:lang w:val="en-AU"/>
        </w:rPr>
        <w:t>at</w:t>
      </w:r>
      <w:r w:rsidRPr="004C5271">
        <w:rPr>
          <w:rFonts w:asciiTheme="majorBidi" w:hAnsiTheme="majorBidi" w:cstheme="majorBidi"/>
          <w:lang w:val="en-AU"/>
        </w:rPr>
        <w:t xml:space="preserve"> the experience in New South Wales. A 2015 study </w:t>
      </w:r>
      <w:r w:rsidR="003B673D" w:rsidRPr="004C5271">
        <w:rPr>
          <w:rFonts w:asciiTheme="majorBidi" w:hAnsiTheme="majorBidi" w:cstheme="majorBidi"/>
          <w:lang w:val="en-AU"/>
        </w:rPr>
        <w:t xml:space="preserve">of family provision claims across Australia </w:t>
      </w:r>
      <w:r w:rsidRPr="004C5271">
        <w:rPr>
          <w:rFonts w:asciiTheme="majorBidi" w:hAnsiTheme="majorBidi" w:cstheme="majorBidi"/>
          <w:lang w:val="en-AU"/>
        </w:rPr>
        <w:t xml:space="preserve">found that New South Wales had 60% of </w:t>
      </w:r>
      <w:r w:rsidR="003B673D" w:rsidRPr="004C5271">
        <w:rPr>
          <w:rFonts w:asciiTheme="majorBidi" w:hAnsiTheme="majorBidi" w:cstheme="majorBidi"/>
          <w:lang w:val="en-AU"/>
        </w:rPr>
        <w:t>all</w:t>
      </w:r>
      <w:r w:rsidRPr="004C5271">
        <w:rPr>
          <w:rFonts w:asciiTheme="majorBidi" w:hAnsiTheme="majorBidi" w:cstheme="majorBidi"/>
          <w:lang w:val="en-AU"/>
        </w:rPr>
        <w:t xml:space="preserve"> family provision hearings</w:t>
      </w:r>
      <w:r w:rsidR="003B673D" w:rsidRPr="004C5271">
        <w:rPr>
          <w:rFonts w:asciiTheme="majorBidi" w:hAnsiTheme="majorBidi" w:cstheme="majorBidi"/>
          <w:lang w:val="en-AU"/>
        </w:rPr>
        <w:t xml:space="preserve"> </w:t>
      </w:r>
      <w:r w:rsidR="00C05DF7" w:rsidRPr="004C5271">
        <w:rPr>
          <w:rFonts w:asciiTheme="majorBidi" w:hAnsiTheme="majorBidi" w:cstheme="majorBidi"/>
          <w:lang w:val="en-AU"/>
        </w:rPr>
        <w:t>—</w:t>
      </w:r>
      <w:r w:rsidRPr="004C5271">
        <w:rPr>
          <w:rFonts w:asciiTheme="majorBidi" w:hAnsiTheme="majorBidi" w:cstheme="majorBidi"/>
          <w:lang w:val="en-AU"/>
        </w:rPr>
        <w:t xml:space="preserve"> three times the number in Victoria.</w:t>
      </w:r>
      <w:bookmarkStart w:id="167" w:name="_Ref13416381"/>
      <w:r w:rsidRPr="004C5271">
        <w:rPr>
          <w:rStyle w:val="FootnoteReference"/>
          <w:rFonts w:asciiTheme="majorBidi" w:hAnsiTheme="majorBidi" w:cstheme="majorBidi"/>
          <w:lang w:val="en-AU"/>
        </w:rPr>
        <w:footnoteReference w:id="346"/>
      </w:r>
      <w:bookmarkEnd w:id="167"/>
      <w:r w:rsidRPr="004C5271">
        <w:rPr>
          <w:rFonts w:asciiTheme="majorBidi" w:hAnsiTheme="majorBidi" w:cstheme="majorBidi"/>
          <w:lang w:val="en-AU"/>
        </w:rPr>
        <w:t xml:space="preserve"> The researchers hypothesised that notional estate laws increase the money available for challenge and that this may be a factor leading to an increased prevalence of claims in New South Wales. They found, however, that this was not the case as disputes in both Victoria and Queensland involved larger estates and yet th</w:t>
      </w:r>
      <w:r w:rsidR="00D00757" w:rsidRPr="004C5271">
        <w:rPr>
          <w:rFonts w:asciiTheme="majorBidi" w:hAnsiTheme="majorBidi" w:cstheme="majorBidi"/>
          <w:lang w:val="en-AU"/>
        </w:rPr>
        <w:t>ose jurisdictions</w:t>
      </w:r>
      <w:r w:rsidRPr="004C5271">
        <w:rPr>
          <w:rFonts w:asciiTheme="majorBidi" w:hAnsiTheme="majorBidi" w:cstheme="majorBidi"/>
          <w:lang w:val="en-AU"/>
        </w:rPr>
        <w:t xml:space="preserve"> had fewer contests:</w:t>
      </w:r>
      <w:bookmarkEnd w:id="166"/>
    </w:p>
    <w:p w14:paraId="34ED7C15" w14:textId="63EDC8A7" w:rsidR="0070426A" w:rsidRPr="004C5271" w:rsidRDefault="0070426A" w:rsidP="00C05DF7">
      <w:pPr>
        <w:pStyle w:val="QuoteTLRI"/>
        <w:rPr>
          <w:rFonts w:asciiTheme="majorBidi" w:hAnsiTheme="majorBidi" w:cstheme="majorBidi"/>
        </w:rPr>
      </w:pPr>
      <w:r w:rsidRPr="004C5271">
        <w:rPr>
          <w:rFonts w:asciiTheme="majorBidi" w:hAnsiTheme="majorBidi" w:cstheme="majorBidi"/>
        </w:rPr>
        <w:t>Notional estate was mentioned in relation to 15 of 59 estates, but in 5 of those estates, it was clear it was not driving the contest, for example, because the potential increase in the estate’s value was very small. However, in the remaining 10 estates, we concluded that in 8, the availability of notional estate was very likely to have played a role in bringing a family provision claim</w:t>
      </w:r>
      <w:r w:rsidR="00C05DF7" w:rsidRPr="004C5271">
        <w:rPr>
          <w:rFonts w:asciiTheme="majorBidi" w:hAnsiTheme="majorBidi" w:cstheme="majorBidi"/>
        </w:rPr>
        <w:t xml:space="preserve"> </w:t>
      </w:r>
      <w:r w:rsidRPr="004C5271">
        <w:rPr>
          <w:rFonts w:asciiTheme="majorBidi" w:hAnsiTheme="majorBidi" w:cstheme="majorBidi"/>
        </w:rPr>
        <w:t>…</w:t>
      </w:r>
    </w:p>
    <w:p w14:paraId="15BE0BFF" w14:textId="03552F1C" w:rsidR="0070426A" w:rsidRPr="004C5271" w:rsidRDefault="0070426A" w:rsidP="0070426A">
      <w:pPr>
        <w:pStyle w:val="NormalNumberedTextTLRI"/>
        <w:numPr>
          <w:ilvl w:val="0"/>
          <w:numId w:val="0"/>
        </w:numPr>
        <w:ind w:left="709" w:right="1088"/>
        <w:rPr>
          <w:rFonts w:asciiTheme="majorBidi" w:hAnsiTheme="majorBidi" w:cstheme="majorBidi"/>
          <w:sz w:val="20"/>
          <w:lang w:val="en-AU"/>
        </w:rPr>
      </w:pPr>
      <w:r w:rsidRPr="004C5271">
        <w:rPr>
          <w:rFonts w:asciiTheme="majorBidi" w:hAnsiTheme="majorBidi" w:cstheme="majorBidi"/>
          <w:sz w:val="20"/>
          <w:lang w:val="en-AU"/>
        </w:rPr>
        <w:lastRenderedPageBreak/>
        <w:t xml:space="preserve">Eight estates </w:t>
      </w:r>
      <w:proofErr w:type="gramStart"/>
      <w:r w:rsidRPr="004C5271">
        <w:rPr>
          <w:rFonts w:asciiTheme="majorBidi" w:hAnsiTheme="majorBidi" w:cstheme="majorBidi"/>
          <w:sz w:val="20"/>
          <w:lang w:val="en-AU"/>
        </w:rPr>
        <w:t>is</w:t>
      </w:r>
      <w:proofErr w:type="gramEnd"/>
      <w:r w:rsidRPr="004C5271">
        <w:rPr>
          <w:rFonts w:asciiTheme="majorBidi" w:hAnsiTheme="majorBidi" w:cstheme="majorBidi"/>
          <w:sz w:val="20"/>
          <w:lang w:val="en-AU"/>
        </w:rPr>
        <w:t xml:space="preserve"> a relatively modest number and notional estate goes only a little way to explaining the position in New South Wales. If those eight estates were excluded, New South Wales would still have well over double the number of contested estates through family provision than Victoria (the next highest state), so there are other more important influences at play.</w:t>
      </w:r>
      <w:r w:rsidRPr="004C5271">
        <w:rPr>
          <w:rStyle w:val="FootnoteReference"/>
          <w:rFonts w:asciiTheme="majorBidi" w:hAnsiTheme="majorBidi" w:cstheme="majorBidi"/>
          <w:lang w:val="en-AU"/>
        </w:rPr>
        <w:footnoteReference w:id="347"/>
      </w:r>
      <w:r w:rsidRPr="004C5271">
        <w:rPr>
          <w:rFonts w:asciiTheme="majorBidi" w:hAnsiTheme="majorBidi" w:cstheme="majorBidi"/>
          <w:sz w:val="20"/>
          <w:lang w:val="en-AU"/>
        </w:rPr>
        <w:t xml:space="preserve"> </w:t>
      </w:r>
    </w:p>
    <w:p w14:paraId="36DEEB5C" w14:textId="4E01C0F5" w:rsidR="0070426A" w:rsidRPr="004C5271" w:rsidRDefault="0070426A" w:rsidP="0070426A">
      <w:pPr>
        <w:pStyle w:val="NormalNumberedTextTLRI"/>
        <w:rPr>
          <w:rFonts w:asciiTheme="majorBidi" w:hAnsiTheme="majorBidi" w:cstheme="majorBidi"/>
          <w:lang w:val="en-AU"/>
        </w:rPr>
      </w:pPr>
      <w:r w:rsidRPr="004C5271">
        <w:rPr>
          <w:rFonts w:asciiTheme="majorBidi" w:hAnsiTheme="majorBidi" w:cstheme="majorBidi"/>
          <w:lang w:val="en-AU"/>
        </w:rPr>
        <w:t>These statistics only reveal the number of New South Wales claims proceeding to trial. As discussed elsewhere in this report,</w:t>
      </w:r>
      <w:r w:rsidRPr="004C5271">
        <w:rPr>
          <w:rStyle w:val="FootnoteReference"/>
          <w:rFonts w:asciiTheme="majorBidi" w:hAnsiTheme="majorBidi" w:cstheme="majorBidi"/>
          <w:lang w:val="en-AU"/>
        </w:rPr>
        <w:footnoteReference w:id="348"/>
      </w:r>
      <w:r w:rsidRPr="004C5271">
        <w:rPr>
          <w:rFonts w:asciiTheme="majorBidi" w:hAnsiTheme="majorBidi" w:cstheme="majorBidi"/>
          <w:lang w:val="en-AU"/>
        </w:rPr>
        <w:t xml:space="preserve"> it is difficult to gauge the number of claims that are commenced but settled without a court determination. The New South Wales Supreme Court’s </w:t>
      </w:r>
      <w:r w:rsidR="00E9629F" w:rsidRPr="004C5271">
        <w:rPr>
          <w:rFonts w:asciiTheme="majorBidi" w:hAnsiTheme="majorBidi" w:cstheme="majorBidi"/>
          <w:lang w:val="en-AU"/>
        </w:rPr>
        <w:t>A</w:t>
      </w:r>
      <w:r w:rsidRPr="004C5271">
        <w:rPr>
          <w:rFonts w:asciiTheme="majorBidi" w:hAnsiTheme="majorBidi" w:cstheme="majorBidi"/>
          <w:lang w:val="en-AU"/>
        </w:rPr>
        <w:t xml:space="preserve">nnual </w:t>
      </w:r>
      <w:r w:rsidR="00E9629F" w:rsidRPr="004C5271">
        <w:rPr>
          <w:rFonts w:asciiTheme="majorBidi" w:hAnsiTheme="majorBidi" w:cstheme="majorBidi"/>
          <w:lang w:val="en-AU"/>
        </w:rPr>
        <w:t>R</w:t>
      </w:r>
      <w:r w:rsidRPr="004C5271">
        <w:rPr>
          <w:rFonts w:asciiTheme="majorBidi" w:hAnsiTheme="majorBidi" w:cstheme="majorBidi"/>
          <w:lang w:val="en-AU"/>
        </w:rPr>
        <w:t>eports reveal that, on average, in the three years between 2015 and 2017, there were 988 family provision claims filed each year in New South Wales.</w:t>
      </w:r>
      <w:r w:rsidRPr="004C5271">
        <w:rPr>
          <w:rStyle w:val="FootnoteReference"/>
          <w:rFonts w:asciiTheme="majorBidi" w:hAnsiTheme="majorBidi" w:cstheme="majorBidi"/>
          <w:lang w:val="en-AU"/>
        </w:rPr>
        <w:footnoteReference w:id="349"/>
      </w:r>
      <w:r w:rsidR="00D70D18" w:rsidRPr="004C5271">
        <w:rPr>
          <w:rFonts w:asciiTheme="majorBidi" w:hAnsiTheme="majorBidi" w:cstheme="majorBidi"/>
          <w:lang w:val="en-AU"/>
        </w:rPr>
        <w:t xml:space="preserve"> </w:t>
      </w:r>
      <w:r w:rsidR="00576DD4" w:rsidRPr="004C5271">
        <w:rPr>
          <w:rFonts w:asciiTheme="majorBidi" w:hAnsiTheme="majorBidi" w:cstheme="majorBidi"/>
          <w:lang w:val="en-AU"/>
        </w:rPr>
        <w:t xml:space="preserve">This demonstrates that there are a significant number of claims settled before a hearing. </w:t>
      </w:r>
      <w:r w:rsidR="00D70D18" w:rsidRPr="004C5271">
        <w:rPr>
          <w:rFonts w:asciiTheme="majorBidi" w:hAnsiTheme="majorBidi" w:cstheme="majorBidi"/>
          <w:lang w:val="en-AU"/>
        </w:rPr>
        <w:t xml:space="preserve">Essen Bradbury’s submission </w:t>
      </w:r>
      <w:r w:rsidR="006A5E99" w:rsidRPr="004C5271">
        <w:rPr>
          <w:rFonts w:asciiTheme="majorBidi" w:hAnsiTheme="majorBidi" w:cstheme="majorBidi"/>
          <w:lang w:val="en-AU"/>
        </w:rPr>
        <w:t xml:space="preserve">advised </w:t>
      </w:r>
      <w:r w:rsidR="00D70D18" w:rsidRPr="004C5271">
        <w:rPr>
          <w:rFonts w:asciiTheme="majorBidi" w:hAnsiTheme="majorBidi" w:cstheme="majorBidi"/>
          <w:lang w:val="en-AU"/>
        </w:rPr>
        <w:t>that</w:t>
      </w:r>
      <w:r w:rsidR="00F46F96" w:rsidRPr="004C5271">
        <w:rPr>
          <w:rFonts w:asciiTheme="majorBidi" w:hAnsiTheme="majorBidi" w:cstheme="majorBidi"/>
          <w:lang w:val="en-AU"/>
        </w:rPr>
        <w:t xml:space="preserve"> the number of claims settled out of court </w:t>
      </w:r>
      <w:r w:rsidR="00576DD4" w:rsidRPr="004C5271">
        <w:rPr>
          <w:rFonts w:asciiTheme="majorBidi" w:hAnsiTheme="majorBidi" w:cstheme="majorBidi"/>
          <w:lang w:val="en-AU"/>
        </w:rPr>
        <w:t xml:space="preserve">does not assist </w:t>
      </w:r>
      <w:r w:rsidR="006A5E99" w:rsidRPr="004C5271">
        <w:rPr>
          <w:rFonts w:asciiTheme="majorBidi" w:hAnsiTheme="majorBidi" w:cstheme="majorBidi"/>
          <w:lang w:val="en-AU"/>
        </w:rPr>
        <w:t>in the gaining of</w:t>
      </w:r>
      <w:r w:rsidR="00576DD4" w:rsidRPr="004C5271">
        <w:rPr>
          <w:rFonts w:asciiTheme="majorBidi" w:hAnsiTheme="majorBidi" w:cstheme="majorBidi"/>
          <w:lang w:val="en-AU"/>
        </w:rPr>
        <w:t xml:space="preserve"> a</w:t>
      </w:r>
      <w:r w:rsidR="00F46F96" w:rsidRPr="004C5271">
        <w:rPr>
          <w:rFonts w:asciiTheme="majorBidi" w:hAnsiTheme="majorBidi" w:cstheme="majorBidi"/>
          <w:lang w:val="en-AU"/>
        </w:rPr>
        <w:t xml:space="preserve"> clear picture of </w:t>
      </w:r>
      <w:r w:rsidR="005C565B" w:rsidRPr="004C5271">
        <w:rPr>
          <w:rFonts w:asciiTheme="majorBidi" w:hAnsiTheme="majorBidi" w:cstheme="majorBidi"/>
          <w:lang w:val="en-AU"/>
        </w:rPr>
        <w:t xml:space="preserve">the </w:t>
      </w:r>
      <w:r w:rsidR="001E4A3B" w:rsidRPr="004C5271">
        <w:rPr>
          <w:rFonts w:asciiTheme="majorBidi" w:hAnsiTheme="majorBidi" w:cstheme="majorBidi"/>
          <w:lang w:val="en-AU"/>
        </w:rPr>
        <w:t xml:space="preserve">impact of notional estate </w:t>
      </w:r>
      <w:r w:rsidR="00576DD4" w:rsidRPr="004C5271">
        <w:rPr>
          <w:rFonts w:asciiTheme="majorBidi" w:hAnsiTheme="majorBidi" w:cstheme="majorBidi"/>
          <w:lang w:val="en-AU"/>
        </w:rPr>
        <w:t>laws</w:t>
      </w:r>
      <w:r w:rsidR="005C565B" w:rsidRPr="004C5271">
        <w:rPr>
          <w:rFonts w:asciiTheme="majorBidi" w:hAnsiTheme="majorBidi" w:cstheme="majorBidi"/>
          <w:lang w:val="en-AU"/>
        </w:rPr>
        <w:t xml:space="preserve"> in New South Wales.</w:t>
      </w:r>
    </w:p>
    <w:p w14:paraId="66D7665C" w14:textId="1F9D57F0" w:rsidR="0070426A" w:rsidRPr="004C5271" w:rsidRDefault="00576DD4" w:rsidP="008F6E27">
      <w:pPr>
        <w:pStyle w:val="NormalNumberedTextTLRI"/>
        <w:rPr>
          <w:rFonts w:asciiTheme="majorBidi" w:hAnsiTheme="majorBidi" w:cstheme="majorBidi"/>
          <w:lang w:val="en-AU"/>
        </w:rPr>
      </w:pPr>
      <w:r w:rsidRPr="004C5271">
        <w:rPr>
          <w:rFonts w:asciiTheme="majorBidi" w:hAnsiTheme="majorBidi" w:cstheme="majorBidi"/>
          <w:lang w:val="en-AU"/>
        </w:rPr>
        <w:t xml:space="preserve">Reported family provision cases from New South Wales between April 2018 and April 2019 are summarised at Appendix </w:t>
      </w:r>
      <w:r w:rsidR="00C20932" w:rsidRPr="004C5271">
        <w:rPr>
          <w:rFonts w:asciiTheme="majorBidi" w:hAnsiTheme="majorBidi" w:cstheme="majorBidi"/>
          <w:lang w:val="en-AU"/>
        </w:rPr>
        <w:t>4</w:t>
      </w:r>
      <w:r w:rsidRPr="004C5271">
        <w:rPr>
          <w:rFonts w:asciiTheme="majorBidi" w:hAnsiTheme="majorBidi" w:cstheme="majorBidi"/>
          <w:lang w:val="en-AU"/>
        </w:rPr>
        <w:t>. Of the 2</w:t>
      </w:r>
      <w:r w:rsidR="00CC6B40" w:rsidRPr="004C5271">
        <w:rPr>
          <w:rFonts w:asciiTheme="majorBidi" w:hAnsiTheme="majorBidi" w:cstheme="majorBidi"/>
          <w:lang w:val="en-AU"/>
        </w:rPr>
        <w:t>9</w:t>
      </w:r>
      <w:r w:rsidRPr="004C5271">
        <w:rPr>
          <w:rFonts w:asciiTheme="majorBidi" w:hAnsiTheme="majorBidi" w:cstheme="majorBidi"/>
          <w:lang w:val="en-AU"/>
        </w:rPr>
        <w:t xml:space="preserve"> decisions handed down,</w:t>
      </w:r>
      <w:r w:rsidR="008833A0" w:rsidRPr="004C5271">
        <w:rPr>
          <w:rStyle w:val="FootnoteReference"/>
          <w:rFonts w:asciiTheme="majorBidi" w:hAnsiTheme="majorBidi" w:cstheme="majorBidi"/>
          <w:lang w:val="en-AU"/>
        </w:rPr>
        <w:footnoteReference w:id="350"/>
      </w:r>
      <w:r w:rsidRPr="004C5271">
        <w:rPr>
          <w:rFonts w:asciiTheme="majorBidi" w:hAnsiTheme="majorBidi" w:cstheme="majorBidi"/>
          <w:lang w:val="en-AU"/>
        </w:rPr>
        <w:t xml:space="preserve"> </w:t>
      </w:r>
      <w:r w:rsidR="0070426A" w:rsidRPr="004C5271">
        <w:rPr>
          <w:rFonts w:asciiTheme="majorBidi" w:hAnsiTheme="majorBidi" w:cstheme="majorBidi"/>
          <w:lang w:val="en-AU"/>
        </w:rPr>
        <w:t>seven (</w:t>
      </w:r>
      <w:r w:rsidR="008833A0" w:rsidRPr="004C5271">
        <w:rPr>
          <w:rFonts w:asciiTheme="majorBidi" w:hAnsiTheme="majorBidi" w:cstheme="majorBidi"/>
          <w:lang w:val="en-AU"/>
        </w:rPr>
        <w:t>24</w:t>
      </w:r>
      <w:r w:rsidR="0070426A" w:rsidRPr="004C5271">
        <w:rPr>
          <w:rFonts w:asciiTheme="majorBidi" w:hAnsiTheme="majorBidi" w:cstheme="majorBidi"/>
          <w:lang w:val="en-AU"/>
        </w:rPr>
        <w:t xml:space="preserve">%) raised the issue of potential notional estate. </w:t>
      </w:r>
      <w:r w:rsidRPr="004C5271">
        <w:rPr>
          <w:rFonts w:asciiTheme="majorBidi" w:hAnsiTheme="majorBidi" w:cstheme="majorBidi"/>
          <w:lang w:val="en-AU"/>
        </w:rPr>
        <w:t xml:space="preserve">Most cases were therefore unaffected by the existence of notional estate laws in that jurisdiction. </w:t>
      </w:r>
      <w:r w:rsidR="0070426A" w:rsidRPr="004C5271">
        <w:rPr>
          <w:rFonts w:asciiTheme="majorBidi" w:hAnsiTheme="majorBidi" w:cstheme="majorBidi"/>
          <w:lang w:val="en-AU"/>
        </w:rPr>
        <w:t xml:space="preserve">In at least some </w:t>
      </w:r>
      <w:r w:rsidR="00D00757" w:rsidRPr="004C5271">
        <w:rPr>
          <w:rFonts w:asciiTheme="majorBidi" w:hAnsiTheme="majorBidi" w:cstheme="majorBidi"/>
          <w:lang w:val="en-AU"/>
        </w:rPr>
        <w:t>cases</w:t>
      </w:r>
      <w:r w:rsidR="0070426A" w:rsidRPr="004C5271">
        <w:rPr>
          <w:rFonts w:asciiTheme="majorBidi" w:hAnsiTheme="majorBidi" w:cstheme="majorBidi"/>
          <w:lang w:val="en-AU"/>
        </w:rPr>
        <w:t xml:space="preserve">, </w:t>
      </w:r>
      <w:r w:rsidRPr="004C5271">
        <w:rPr>
          <w:rFonts w:asciiTheme="majorBidi" w:hAnsiTheme="majorBidi" w:cstheme="majorBidi"/>
          <w:lang w:val="en-AU"/>
        </w:rPr>
        <w:t xml:space="preserve">however, </w:t>
      </w:r>
      <w:r w:rsidR="0070426A" w:rsidRPr="004C5271">
        <w:rPr>
          <w:rFonts w:asciiTheme="majorBidi" w:hAnsiTheme="majorBidi" w:cstheme="majorBidi"/>
          <w:lang w:val="en-AU"/>
        </w:rPr>
        <w:t xml:space="preserve">whether there are assets able to be designated </w:t>
      </w:r>
      <w:r w:rsidR="00CC0C84" w:rsidRPr="004C5271">
        <w:rPr>
          <w:rFonts w:asciiTheme="majorBidi" w:hAnsiTheme="majorBidi" w:cstheme="majorBidi"/>
          <w:lang w:val="en-AU"/>
        </w:rPr>
        <w:t xml:space="preserve">as </w:t>
      </w:r>
      <w:r w:rsidR="0070426A" w:rsidRPr="004C5271">
        <w:rPr>
          <w:rFonts w:asciiTheme="majorBidi" w:hAnsiTheme="majorBidi" w:cstheme="majorBidi"/>
          <w:lang w:val="en-AU"/>
        </w:rPr>
        <w:t xml:space="preserve">notional estate may have </w:t>
      </w:r>
      <w:r w:rsidR="008F6E27" w:rsidRPr="004C5271">
        <w:rPr>
          <w:rFonts w:asciiTheme="majorBidi" w:hAnsiTheme="majorBidi" w:cstheme="majorBidi"/>
          <w:lang w:val="en-AU"/>
        </w:rPr>
        <w:t xml:space="preserve">had </w:t>
      </w:r>
      <w:r w:rsidR="0070426A" w:rsidRPr="004C5271">
        <w:rPr>
          <w:rFonts w:asciiTheme="majorBidi" w:hAnsiTheme="majorBidi" w:cstheme="majorBidi"/>
          <w:lang w:val="en-AU"/>
        </w:rPr>
        <w:t>a significant impact upon whether a claim</w:t>
      </w:r>
      <w:r w:rsidR="006A5E99" w:rsidRPr="004C5271">
        <w:rPr>
          <w:rFonts w:asciiTheme="majorBidi" w:hAnsiTheme="majorBidi" w:cstheme="majorBidi"/>
          <w:lang w:val="en-AU"/>
        </w:rPr>
        <w:t xml:space="preserve"> was</w:t>
      </w:r>
      <w:r w:rsidR="0070426A" w:rsidRPr="004C5271">
        <w:rPr>
          <w:rFonts w:asciiTheme="majorBidi" w:hAnsiTheme="majorBidi" w:cstheme="majorBidi"/>
          <w:lang w:val="en-AU"/>
        </w:rPr>
        <w:t xml:space="preserve"> filed. For </w:t>
      </w:r>
      <w:r w:rsidR="00CC0C84" w:rsidRPr="004C5271">
        <w:rPr>
          <w:rFonts w:asciiTheme="majorBidi" w:hAnsiTheme="majorBidi" w:cstheme="majorBidi"/>
          <w:lang w:val="en-AU"/>
        </w:rPr>
        <w:t>instance</w:t>
      </w:r>
      <w:r w:rsidR="0070426A" w:rsidRPr="004C5271">
        <w:rPr>
          <w:rFonts w:asciiTheme="majorBidi" w:hAnsiTheme="majorBidi" w:cstheme="majorBidi"/>
          <w:lang w:val="en-AU"/>
        </w:rPr>
        <w:t xml:space="preserve">, in the matter of </w:t>
      </w:r>
      <w:r w:rsidR="0070426A" w:rsidRPr="004C5271">
        <w:rPr>
          <w:rFonts w:asciiTheme="majorBidi" w:hAnsiTheme="majorBidi" w:cstheme="majorBidi"/>
          <w:i/>
          <w:iCs/>
          <w:lang w:val="en-AU"/>
        </w:rPr>
        <w:t>Harris v Harris</w:t>
      </w:r>
      <w:r w:rsidR="0070426A" w:rsidRPr="004C5271">
        <w:rPr>
          <w:rFonts w:asciiTheme="majorBidi" w:hAnsiTheme="majorBidi" w:cstheme="majorBidi"/>
          <w:lang w:val="en-AU"/>
        </w:rPr>
        <w:t>,</w:t>
      </w:r>
      <w:r w:rsidR="0070426A" w:rsidRPr="004C5271">
        <w:rPr>
          <w:rStyle w:val="FootnoteReference"/>
          <w:rFonts w:asciiTheme="majorBidi" w:hAnsiTheme="majorBidi" w:cstheme="majorBidi"/>
        </w:rPr>
        <w:footnoteReference w:id="351"/>
      </w:r>
      <w:r w:rsidR="0070426A" w:rsidRPr="004C5271">
        <w:rPr>
          <w:rFonts w:asciiTheme="majorBidi" w:hAnsiTheme="majorBidi" w:cstheme="majorBidi"/>
          <w:lang w:val="en-AU"/>
        </w:rPr>
        <w:t xml:space="preserve"> the deceased’s estate was only about $8,000, whilst the </w:t>
      </w:r>
      <w:r w:rsidR="00CC0C84" w:rsidRPr="004C5271">
        <w:rPr>
          <w:rFonts w:asciiTheme="majorBidi" w:hAnsiTheme="majorBidi" w:cstheme="majorBidi"/>
          <w:lang w:val="en-AU"/>
        </w:rPr>
        <w:t xml:space="preserve">value of </w:t>
      </w:r>
      <w:r w:rsidR="0039638E" w:rsidRPr="004C5271">
        <w:rPr>
          <w:rFonts w:asciiTheme="majorBidi" w:hAnsiTheme="majorBidi" w:cstheme="majorBidi"/>
          <w:lang w:val="en-AU"/>
        </w:rPr>
        <w:t xml:space="preserve">possible </w:t>
      </w:r>
      <w:r w:rsidR="0070426A" w:rsidRPr="004C5271">
        <w:rPr>
          <w:rFonts w:asciiTheme="majorBidi" w:hAnsiTheme="majorBidi" w:cstheme="majorBidi"/>
          <w:lang w:val="en-AU"/>
        </w:rPr>
        <w:t>notional estate was about $600,000.</w:t>
      </w:r>
      <w:r w:rsidR="00D00757" w:rsidRPr="004C5271">
        <w:rPr>
          <w:rFonts w:asciiTheme="majorBidi" w:hAnsiTheme="majorBidi" w:cstheme="majorBidi"/>
          <w:lang w:val="en-AU"/>
        </w:rPr>
        <w:t xml:space="preserve"> </w:t>
      </w:r>
      <w:r w:rsidR="008F6E27" w:rsidRPr="004C5271">
        <w:rPr>
          <w:rFonts w:asciiTheme="majorBidi" w:hAnsiTheme="majorBidi" w:cstheme="majorBidi"/>
          <w:lang w:val="en-AU"/>
        </w:rPr>
        <w:t>It is</w:t>
      </w:r>
      <w:r w:rsidR="00D00757" w:rsidRPr="004C5271">
        <w:rPr>
          <w:rFonts w:asciiTheme="majorBidi" w:hAnsiTheme="majorBidi" w:cstheme="majorBidi"/>
          <w:lang w:val="en-AU"/>
        </w:rPr>
        <w:t xml:space="preserve"> likely</w:t>
      </w:r>
      <w:r w:rsidR="008F6E27" w:rsidRPr="004C5271">
        <w:rPr>
          <w:rFonts w:asciiTheme="majorBidi" w:hAnsiTheme="majorBidi" w:cstheme="majorBidi"/>
          <w:lang w:val="en-AU"/>
        </w:rPr>
        <w:t xml:space="preserve"> that the availability of </w:t>
      </w:r>
      <w:r w:rsidR="0039638E" w:rsidRPr="004C5271">
        <w:rPr>
          <w:rFonts w:asciiTheme="majorBidi" w:hAnsiTheme="majorBidi" w:cstheme="majorBidi"/>
          <w:lang w:val="en-AU"/>
        </w:rPr>
        <w:t xml:space="preserve">this </w:t>
      </w:r>
      <w:r w:rsidR="008F6E27" w:rsidRPr="004C5271">
        <w:rPr>
          <w:rFonts w:asciiTheme="majorBidi" w:hAnsiTheme="majorBidi" w:cstheme="majorBidi"/>
          <w:lang w:val="en-AU"/>
        </w:rPr>
        <w:t>potential notional estate was</w:t>
      </w:r>
      <w:r w:rsidR="00D00757" w:rsidRPr="004C5271">
        <w:rPr>
          <w:rFonts w:asciiTheme="majorBidi" w:hAnsiTheme="majorBidi" w:cstheme="majorBidi"/>
          <w:lang w:val="en-AU"/>
        </w:rPr>
        <w:t xml:space="preserve"> a key factor in the claim being pursued.</w:t>
      </w:r>
    </w:p>
    <w:p w14:paraId="707ED73F" w14:textId="5B69EC32" w:rsidR="0070426A" w:rsidRPr="004C5271" w:rsidRDefault="0070426A" w:rsidP="00AE2B8C">
      <w:pPr>
        <w:pStyle w:val="Sub-HeadingTLRI"/>
      </w:pPr>
      <w:r w:rsidRPr="004C5271">
        <w:lastRenderedPageBreak/>
        <w:t xml:space="preserve">Increase in unmeritorious claims </w:t>
      </w:r>
    </w:p>
    <w:p w14:paraId="51684966" w14:textId="5848006D" w:rsidR="008F6E27" w:rsidRPr="004C5271" w:rsidRDefault="00EF676A" w:rsidP="00D7331F">
      <w:pPr>
        <w:pStyle w:val="NormalNumberedTextTLRI"/>
        <w:rPr>
          <w:rFonts w:asciiTheme="majorBidi" w:hAnsiTheme="majorBidi" w:cstheme="majorBidi"/>
          <w:lang w:val="en-AU"/>
        </w:rPr>
      </w:pPr>
      <w:bookmarkStart w:id="168" w:name="_Ref13503898"/>
      <w:r w:rsidRPr="004C5271">
        <w:rPr>
          <w:rFonts w:asciiTheme="majorBidi" w:hAnsiTheme="majorBidi" w:cstheme="majorBidi"/>
          <w:lang w:val="en-AU"/>
        </w:rPr>
        <w:t>Three</w:t>
      </w:r>
      <w:r w:rsidR="0070426A" w:rsidRPr="004C5271">
        <w:rPr>
          <w:rFonts w:asciiTheme="majorBidi" w:hAnsiTheme="majorBidi" w:cstheme="majorBidi"/>
          <w:lang w:val="en-AU"/>
        </w:rPr>
        <w:t xml:space="preserve"> </w:t>
      </w:r>
      <w:r w:rsidR="008F6E27" w:rsidRPr="004C5271">
        <w:rPr>
          <w:rFonts w:asciiTheme="majorBidi" w:hAnsiTheme="majorBidi" w:cstheme="majorBidi"/>
          <w:lang w:val="en-AU"/>
        </w:rPr>
        <w:t xml:space="preserve">submissions </w:t>
      </w:r>
      <w:r w:rsidR="0039638E" w:rsidRPr="004C5271">
        <w:rPr>
          <w:rFonts w:asciiTheme="majorBidi" w:hAnsiTheme="majorBidi" w:cstheme="majorBidi"/>
          <w:lang w:val="en-AU"/>
        </w:rPr>
        <w:t>suggested there could be</w:t>
      </w:r>
      <w:r w:rsidR="00CC0C84" w:rsidRPr="004C5271">
        <w:rPr>
          <w:rFonts w:asciiTheme="majorBidi" w:hAnsiTheme="majorBidi" w:cstheme="majorBidi"/>
          <w:lang w:val="en-AU"/>
        </w:rPr>
        <w:t xml:space="preserve"> </w:t>
      </w:r>
      <w:r w:rsidR="0039638E" w:rsidRPr="004C5271">
        <w:rPr>
          <w:rFonts w:asciiTheme="majorBidi" w:hAnsiTheme="majorBidi" w:cstheme="majorBidi"/>
          <w:lang w:val="en-AU"/>
        </w:rPr>
        <w:t>an</w:t>
      </w:r>
      <w:r w:rsidR="00CC0C84" w:rsidRPr="004C5271">
        <w:rPr>
          <w:rFonts w:asciiTheme="majorBidi" w:hAnsiTheme="majorBidi" w:cstheme="majorBidi"/>
          <w:lang w:val="en-AU"/>
        </w:rPr>
        <w:t xml:space="preserve"> increase in</w:t>
      </w:r>
      <w:r w:rsidR="0070426A" w:rsidRPr="004C5271">
        <w:rPr>
          <w:rFonts w:asciiTheme="majorBidi" w:hAnsiTheme="majorBidi" w:cstheme="majorBidi"/>
          <w:lang w:val="en-AU"/>
        </w:rPr>
        <w:t xml:space="preserve"> unmeritorious </w:t>
      </w:r>
      <w:r w:rsidR="00504578" w:rsidRPr="004C5271">
        <w:rPr>
          <w:rFonts w:asciiTheme="majorBidi" w:hAnsiTheme="majorBidi" w:cstheme="majorBidi"/>
          <w:lang w:val="en-AU"/>
        </w:rPr>
        <w:t xml:space="preserve">or vexatious </w:t>
      </w:r>
      <w:r w:rsidR="0070426A" w:rsidRPr="004C5271">
        <w:rPr>
          <w:rFonts w:asciiTheme="majorBidi" w:hAnsiTheme="majorBidi" w:cstheme="majorBidi"/>
          <w:lang w:val="en-AU"/>
        </w:rPr>
        <w:t>claims</w:t>
      </w:r>
      <w:r w:rsidRPr="004C5271">
        <w:rPr>
          <w:rFonts w:asciiTheme="majorBidi" w:hAnsiTheme="majorBidi" w:cstheme="majorBidi"/>
          <w:lang w:val="en-AU"/>
        </w:rPr>
        <w:t xml:space="preserve"> </w:t>
      </w:r>
      <w:r w:rsidR="0039638E" w:rsidRPr="004C5271">
        <w:rPr>
          <w:rFonts w:asciiTheme="majorBidi" w:hAnsiTheme="majorBidi" w:cstheme="majorBidi"/>
          <w:lang w:val="en-AU"/>
        </w:rPr>
        <w:t>being made or threatened</w:t>
      </w:r>
      <w:r w:rsidR="0070426A" w:rsidRPr="004C5271">
        <w:rPr>
          <w:rFonts w:asciiTheme="majorBidi" w:hAnsiTheme="majorBidi" w:cstheme="majorBidi"/>
          <w:lang w:val="en-AU"/>
        </w:rPr>
        <w:t>.</w:t>
      </w:r>
      <w:r w:rsidR="00504578" w:rsidRPr="004C5271">
        <w:rPr>
          <w:rStyle w:val="FootnoteReference"/>
          <w:rFonts w:asciiTheme="majorBidi" w:hAnsiTheme="majorBidi" w:cstheme="majorBidi"/>
          <w:lang w:val="en-AU"/>
        </w:rPr>
        <w:footnoteReference w:id="352"/>
      </w:r>
      <w:r w:rsidR="0070426A" w:rsidRPr="004C5271">
        <w:rPr>
          <w:rFonts w:asciiTheme="majorBidi" w:hAnsiTheme="majorBidi" w:cstheme="majorBidi"/>
          <w:lang w:val="en-AU"/>
        </w:rPr>
        <w:t xml:space="preserve"> </w:t>
      </w:r>
      <w:r w:rsidRPr="004C5271">
        <w:rPr>
          <w:rFonts w:asciiTheme="majorBidi" w:hAnsiTheme="majorBidi" w:cstheme="majorBidi"/>
          <w:lang w:val="en-AU"/>
        </w:rPr>
        <w:t>Two</w:t>
      </w:r>
      <w:r w:rsidR="0070426A" w:rsidRPr="004C5271">
        <w:rPr>
          <w:rFonts w:asciiTheme="majorBidi" w:hAnsiTheme="majorBidi" w:cstheme="majorBidi"/>
          <w:lang w:val="en-AU"/>
        </w:rPr>
        <w:t xml:space="preserve"> respondent</w:t>
      </w:r>
      <w:r w:rsidRPr="004C5271">
        <w:rPr>
          <w:rFonts w:asciiTheme="majorBidi" w:hAnsiTheme="majorBidi" w:cstheme="majorBidi"/>
          <w:lang w:val="en-AU"/>
        </w:rPr>
        <w:t>s</w:t>
      </w:r>
      <w:r w:rsidR="0070426A" w:rsidRPr="004C5271">
        <w:rPr>
          <w:rFonts w:asciiTheme="majorBidi" w:hAnsiTheme="majorBidi" w:cstheme="majorBidi"/>
          <w:lang w:val="en-AU"/>
        </w:rPr>
        <w:t xml:space="preserve"> noted that parties may feel pressured to settle </w:t>
      </w:r>
      <w:r w:rsidR="0057342D" w:rsidRPr="004C5271">
        <w:rPr>
          <w:rFonts w:asciiTheme="majorBidi" w:hAnsiTheme="majorBidi" w:cstheme="majorBidi"/>
          <w:lang w:val="en-AU"/>
        </w:rPr>
        <w:t xml:space="preserve">unmeritorious </w:t>
      </w:r>
      <w:r w:rsidR="0070426A" w:rsidRPr="004C5271">
        <w:rPr>
          <w:rFonts w:asciiTheme="majorBidi" w:hAnsiTheme="majorBidi" w:cstheme="majorBidi"/>
          <w:lang w:val="en-AU"/>
        </w:rPr>
        <w:t>claims</w:t>
      </w:r>
      <w:r w:rsidR="0057342D" w:rsidRPr="004C5271">
        <w:rPr>
          <w:rFonts w:asciiTheme="majorBidi" w:hAnsiTheme="majorBidi" w:cstheme="majorBidi"/>
          <w:lang w:val="en-AU"/>
        </w:rPr>
        <w:t xml:space="preserve"> </w:t>
      </w:r>
      <w:r w:rsidR="0070426A" w:rsidRPr="004C5271">
        <w:rPr>
          <w:rFonts w:asciiTheme="majorBidi" w:hAnsiTheme="majorBidi" w:cstheme="majorBidi"/>
          <w:lang w:val="en-AU"/>
        </w:rPr>
        <w:t>to avoid the legal costs, delay and stress of litigation.</w:t>
      </w:r>
      <w:r w:rsidR="00F948F0" w:rsidRPr="004C5271">
        <w:rPr>
          <w:rStyle w:val="FootnoteReference"/>
          <w:rFonts w:asciiTheme="majorBidi" w:hAnsiTheme="majorBidi" w:cstheme="majorBidi"/>
          <w:lang w:val="en-AU"/>
        </w:rPr>
        <w:footnoteReference w:id="353"/>
      </w:r>
      <w:r w:rsidR="008F6E27" w:rsidRPr="004C5271">
        <w:rPr>
          <w:rFonts w:asciiTheme="majorBidi" w:hAnsiTheme="majorBidi" w:cstheme="majorBidi"/>
          <w:lang w:val="en-AU"/>
        </w:rPr>
        <w:t xml:space="preserve"> </w:t>
      </w:r>
      <w:r w:rsidRPr="004C5271">
        <w:rPr>
          <w:rFonts w:asciiTheme="majorBidi" w:hAnsiTheme="majorBidi" w:cstheme="majorBidi"/>
          <w:lang w:val="en-AU"/>
        </w:rPr>
        <w:t>One</w:t>
      </w:r>
      <w:r w:rsidR="008F6E27" w:rsidRPr="004C5271">
        <w:rPr>
          <w:rFonts w:asciiTheme="majorBidi" w:hAnsiTheme="majorBidi" w:cstheme="majorBidi"/>
          <w:lang w:val="en-AU"/>
        </w:rPr>
        <w:t xml:space="preserve"> commented:</w:t>
      </w:r>
      <w:bookmarkEnd w:id="168"/>
    </w:p>
    <w:p w14:paraId="28D49E14" w14:textId="6B37F4E6" w:rsidR="008F6E27" w:rsidRPr="004C5271" w:rsidRDefault="008F6E27" w:rsidP="00D117A5">
      <w:pPr>
        <w:pStyle w:val="QuoteTLRI"/>
        <w:rPr>
          <w:rFonts w:asciiTheme="majorBidi" w:hAnsiTheme="majorBidi" w:cstheme="majorBidi"/>
        </w:rPr>
      </w:pPr>
      <w:r w:rsidRPr="004C5271">
        <w:rPr>
          <w:rFonts w:asciiTheme="majorBidi" w:hAnsiTheme="majorBidi" w:cstheme="majorBidi"/>
        </w:rPr>
        <w:t>Life is short, and the average person just wants to live a happy and peaceful life, free from the conflict, severe stress and the cost that litigation brings. In many cases, litigation severely impacts on the health and overall wellbeing of litigants over a long and protracted period. None of which is a positive for the society in which we live.</w:t>
      </w:r>
      <w:r w:rsidRPr="004C5271">
        <w:rPr>
          <w:rStyle w:val="FootnoteReference"/>
          <w:rFonts w:asciiTheme="majorBidi" w:hAnsiTheme="majorBidi" w:cstheme="majorBidi"/>
        </w:rPr>
        <w:footnoteReference w:id="354"/>
      </w:r>
    </w:p>
    <w:p w14:paraId="279CE81F" w14:textId="21E44F92" w:rsidR="0070426A" w:rsidRPr="004C5271" w:rsidRDefault="006531F4" w:rsidP="0070426A">
      <w:pPr>
        <w:pStyle w:val="NormalNumberedTextTLRI"/>
        <w:rPr>
          <w:rFonts w:asciiTheme="majorBidi" w:hAnsiTheme="majorBidi" w:cstheme="majorBidi"/>
          <w:lang w:val="en-AU"/>
        </w:rPr>
      </w:pPr>
      <w:r w:rsidRPr="004C5271">
        <w:rPr>
          <w:rFonts w:asciiTheme="majorBidi" w:hAnsiTheme="majorBidi" w:cstheme="majorBidi"/>
          <w:lang w:val="en-AU"/>
        </w:rPr>
        <w:t>It is acknowledged that p</w:t>
      </w:r>
      <w:r w:rsidR="0070426A" w:rsidRPr="004C5271">
        <w:rPr>
          <w:rFonts w:asciiTheme="majorBidi" w:hAnsiTheme="majorBidi" w:cstheme="majorBidi"/>
          <w:lang w:val="en-AU"/>
        </w:rPr>
        <w:t xml:space="preserve">articipation in litigation of any sort can </w:t>
      </w:r>
      <w:r w:rsidRPr="004C5271">
        <w:rPr>
          <w:rFonts w:asciiTheme="majorBidi" w:hAnsiTheme="majorBidi" w:cstheme="majorBidi"/>
          <w:lang w:val="en-AU"/>
        </w:rPr>
        <w:t>have a significant impact on the person and their family</w:t>
      </w:r>
      <w:r w:rsidR="0070426A" w:rsidRPr="004C5271">
        <w:rPr>
          <w:rFonts w:asciiTheme="majorBidi" w:hAnsiTheme="majorBidi" w:cstheme="majorBidi"/>
          <w:lang w:val="en-AU"/>
        </w:rPr>
        <w:t>. This is argued to be particularly so in the context of estate litigation where disputes occur during a period of grief.</w:t>
      </w:r>
      <w:r w:rsidR="0070426A" w:rsidRPr="004C5271">
        <w:rPr>
          <w:rStyle w:val="FootnoteReference"/>
          <w:rFonts w:asciiTheme="majorBidi" w:hAnsiTheme="majorBidi" w:cstheme="majorBidi"/>
          <w:lang w:val="en-AU"/>
        </w:rPr>
        <w:footnoteReference w:id="355"/>
      </w:r>
      <w:r w:rsidR="0070426A" w:rsidRPr="004C5271">
        <w:rPr>
          <w:rFonts w:asciiTheme="majorBidi" w:hAnsiTheme="majorBidi" w:cstheme="majorBidi"/>
          <w:sz w:val="20"/>
          <w:lang w:val="en-AU"/>
        </w:rPr>
        <w:t xml:space="preserve"> </w:t>
      </w:r>
      <w:r w:rsidR="0070426A" w:rsidRPr="004C5271">
        <w:rPr>
          <w:rFonts w:asciiTheme="majorBidi" w:hAnsiTheme="majorBidi" w:cstheme="majorBidi"/>
          <w:lang w:val="en-AU"/>
        </w:rPr>
        <w:t xml:space="preserve">Its </w:t>
      </w:r>
      <w:r w:rsidR="006A5E99" w:rsidRPr="004C5271">
        <w:rPr>
          <w:rFonts w:asciiTheme="majorBidi" w:hAnsiTheme="majorBidi" w:cstheme="majorBidi"/>
          <w:lang w:val="en-AU"/>
        </w:rPr>
        <w:t>implications</w:t>
      </w:r>
      <w:r w:rsidR="0070426A" w:rsidRPr="004C5271">
        <w:rPr>
          <w:rFonts w:asciiTheme="majorBidi" w:hAnsiTheme="majorBidi" w:cstheme="majorBidi"/>
          <w:lang w:val="en-AU"/>
        </w:rPr>
        <w:t xml:space="preserve"> have been described as follows:</w:t>
      </w:r>
    </w:p>
    <w:p w14:paraId="4981C095" w14:textId="77777777" w:rsidR="0070426A" w:rsidRPr="004C5271" w:rsidRDefault="0070426A" w:rsidP="002E2E9B">
      <w:pPr>
        <w:pStyle w:val="QuoteTLRI"/>
        <w:rPr>
          <w:rFonts w:asciiTheme="majorBidi" w:hAnsiTheme="majorBidi" w:cstheme="majorBidi"/>
        </w:rPr>
      </w:pPr>
      <w:r w:rsidRPr="004C5271">
        <w:rPr>
          <w:rFonts w:asciiTheme="majorBidi" w:hAnsiTheme="majorBidi" w:cstheme="majorBidi"/>
        </w:rPr>
        <w:t>Contests over estates have economic, social and psychological costs to families and individuals. The distribution of assets after death is not a purely financial or legal exercise and dispositions in a will can represent a very public realignment of relationships and hierarchies within a family.</w:t>
      </w:r>
      <w:r w:rsidRPr="004C5271">
        <w:rPr>
          <w:rStyle w:val="FootnoteReference"/>
          <w:rFonts w:asciiTheme="majorBidi" w:hAnsiTheme="majorBidi" w:cstheme="majorBidi"/>
        </w:rPr>
        <w:footnoteReference w:id="356"/>
      </w:r>
    </w:p>
    <w:p w14:paraId="713015CC" w14:textId="62BDD8DA" w:rsidR="0070426A" w:rsidRPr="004C5271" w:rsidRDefault="0070426A" w:rsidP="0070426A">
      <w:pPr>
        <w:pStyle w:val="NormalNumberedTextTLRI"/>
        <w:rPr>
          <w:rFonts w:asciiTheme="majorBidi" w:hAnsiTheme="majorBidi" w:cstheme="majorBidi"/>
          <w:lang w:val="en-AU"/>
        </w:rPr>
      </w:pPr>
      <w:r w:rsidRPr="004C5271">
        <w:rPr>
          <w:rFonts w:asciiTheme="majorBidi" w:hAnsiTheme="majorBidi" w:cstheme="majorBidi"/>
          <w:lang w:val="en-AU"/>
        </w:rPr>
        <w:lastRenderedPageBreak/>
        <w:t>It is difficult to draw conclusions about whether there would be an increase in unmeritorious claims if notional estate laws were introduced. This is a discretionary jurisdiction</w:t>
      </w:r>
      <w:r w:rsidR="00DF283E" w:rsidRPr="004C5271">
        <w:rPr>
          <w:rFonts w:asciiTheme="majorBidi" w:hAnsiTheme="majorBidi" w:cstheme="majorBidi"/>
          <w:lang w:val="en-AU"/>
        </w:rPr>
        <w:t xml:space="preserve"> so, b</w:t>
      </w:r>
      <w:r w:rsidRPr="004C5271">
        <w:rPr>
          <w:rFonts w:asciiTheme="majorBidi" w:hAnsiTheme="majorBidi" w:cstheme="majorBidi"/>
          <w:lang w:val="en-AU"/>
        </w:rPr>
        <w:t xml:space="preserve">y its very nature, it is not possible to determine </w:t>
      </w:r>
      <w:r w:rsidR="006A5E99" w:rsidRPr="004C5271">
        <w:rPr>
          <w:rFonts w:asciiTheme="majorBidi" w:hAnsiTheme="majorBidi" w:cstheme="majorBidi"/>
          <w:lang w:val="en-AU"/>
        </w:rPr>
        <w:t xml:space="preserve">conclusively </w:t>
      </w:r>
      <w:r w:rsidRPr="004C5271">
        <w:rPr>
          <w:rFonts w:asciiTheme="majorBidi" w:hAnsiTheme="majorBidi" w:cstheme="majorBidi"/>
          <w:lang w:val="en-AU"/>
        </w:rPr>
        <w:t>the merits of a claim in the absence of a hearing where all the evidence is presented. Ultimately the question of merit is a matter for judge</w:t>
      </w:r>
      <w:r w:rsidR="006A5E99" w:rsidRPr="004C5271">
        <w:rPr>
          <w:rFonts w:asciiTheme="majorBidi" w:hAnsiTheme="majorBidi" w:cstheme="majorBidi"/>
          <w:lang w:val="en-AU"/>
        </w:rPr>
        <w:t>s</w:t>
      </w:r>
      <w:r w:rsidRPr="004C5271">
        <w:rPr>
          <w:rFonts w:asciiTheme="majorBidi" w:hAnsiTheme="majorBidi" w:cstheme="majorBidi"/>
          <w:lang w:val="en-AU"/>
        </w:rPr>
        <w:t xml:space="preserve"> in their discretion. </w:t>
      </w:r>
    </w:p>
    <w:p w14:paraId="5CC12D77" w14:textId="77777777" w:rsidR="0070426A" w:rsidRPr="00D53244" w:rsidRDefault="0070426A" w:rsidP="00BA5668">
      <w:pPr>
        <w:pStyle w:val="Sub-HeadingTLRI"/>
      </w:pPr>
      <w:r w:rsidRPr="00D53244">
        <w:t>Adult children claimants</w:t>
      </w:r>
    </w:p>
    <w:p w14:paraId="4B9A3DB4" w14:textId="5FB7E23E" w:rsidR="001E2942" w:rsidRPr="004C5271" w:rsidRDefault="0070426A" w:rsidP="00D80272">
      <w:pPr>
        <w:pStyle w:val="NormalNumberedTextTLRI"/>
        <w:rPr>
          <w:rFonts w:asciiTheme="majorBidi" w:hAnsiTheme="majorBidi" w:cstheme="majorBidi"/>
          <w:sz w:val="20"/>
          <w:lang w:val="en-AU"/>
        </w:rPr>
      </w:pPr>
      <w:bookmarkStart w:id="169" w:name="_Ref13417339"/>
      <w:r w:rsidRPr="004C5271">
        <w:rPr>
          <w:rFonts w:asciiTheme="majorBidi" w:hAnsiTheme="majorBidi" w:cstheme="majorBidi"/>
          <w:lang w:val="en-AU"/>
        </w:rPr>
        <w:t xml:space="preserve">As explained in Part 1,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enables spouses and children to bring family provision claim</w:t>
      </w:r>
      <w:r w:rsidR="0039638E" w:rsidRPr="004C5271">
        <w:rPr>
          <w:rFonts w:asciiTheme="majorBidi" w:hAnsiTheme="majorBidi" w:cstheme="majorBidi"/>
          <w:lang w:val="en-AU"/>
        </w:rPr>
        <w:t>s</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357"/>
      </w:r>
      <w:r w:rsidRPr="004C5271">
        <w:rPr>
          <w:rFonts w:asciiTheme="majorBidi" w:hAnsiTheme="majorBidi" w:cstheme="majorBidi"/>
          <w:lang w:val="en-AU"/>
        </w:rPr>
        <w:t xml:space="preserve"> </w:t>
      </w:r>
      <w:r w:rsidR="006A5E99" w:rsidRPr="004C5271">
        <w:rPr>
          <w:rFonts w:asciiTheme="majorBidi" w:hAnsiTheme="majorBidi" w:cstheme="majorBidi"/>
          <w:lang w:val="en-AU"/>
        </w:rPr>
        <w:t xml:space="preserve">This Act </w:t>
      </w:r>
      <w:r w:rsidRPr="004C5271">
        <w:rPr>
          <w:rFonts w:asciiTheme="majorBidi" w:hAnsiTheme="majorBidi" w:cstheme="majorBidi"/>
          <w:lang w:val="en-AU"/>
        </w:rPr>
        <w:t>does not distinguish between the respective claims of adult children and children</w:t>
      </w:r>
      <w:r w:rsidR="00BA36B8" w:rsidRPr="004C5271">
        <w:rPr>
          <w:rFonts w:asciiTheme="majorBidi" w:hAnsiTheme="majorBidi" w:cstheme="majorBidi"/>
          <w:lang w:val="en-AU"/>
        </w:rPr>
        <w:t xml:space="preserve"> who are minor</w:t>
      </w:r>
      <w:r w:rsidR="000D50D8" w:rsidRPr="004C5271">
        <w:rPr>
          <w:rFonts w:asciiTheme="majorBidi" w:hAnsiTheme="majorBidi" w:cstheme="majorBidi"/>
          <w:lang w:val="en-AU"/>
        </w:rPr>
        <w:t>s</w:t>
      </w:r>
      <w:r w:rsidRPr="004C5271">
        <w:rPr>
          <w:rFonts w:asciiTheme="majorBidi" w:hAnsiTheme="majorBidi" w:cstheme="majorBidi"/>
          <w:lang w:val="en-AU"/>
        </w:rPr>
        <w:t xml:space="preserve"> and each are eligible to apply and succeed if they satisfy the court of the merits of their claim</w:t>
      </w:r>
      <w:r w:rsidR="00BA36B8" w:rsidRPr="004C5271">
        <w:rPr>
          <w:rFonts w:asciiTheme="majorBidi" w:hAnsiTheme="majorBidi" w:cstheme="majorBidi"/>
          <w:lang w:val="en-AU"/>
        </w:rPr>
        <w:t>s</w:t>
      </w:r>
      <w:r w:rsidRPr="004C5271">
        <w:rPr>
          <w:rFonts w:asciiTheme="majorBidi" w:hAnsiTheme="majorBidi" w:cstheme="majorBidi"/>
          <w:lang w:val="en-AU"/>
        </w:rPr>
        <w:t>.</w:t>
      </w:r>
      <w:r w:rsidRPr="004C5271">
        <w:rPr>
          <w:rStyle w:val="FootnoteReference"/>
          <w:rFonts w:asciiTheme="majorBidi" w:hAnsiTheme="majorBidi" w:cstheme="majorBidi"/>
        </w:rPr>
        <w:footnoteReference w:id="358"/>
      </w:r>
      <w:r w:rsidR="00B75838" w:rsidRPr="004C5271">
        <w:rPr>
          <w:rFonts w:asciiTheme="majorBidi" w:hAnsiTheme="majorBidi" w:cstheme="majorBidi"/>
          <w:lang w:val="en-AU"/>
        </w:rPr>
        <w:t xml:space="preserve"> </w:t>
      </w:r>
      <w:r w:rsidR="00FD7B0A" w:rsidRPr="004C5271">
        <w:rPr>
          <w:rFonts w:asciiTheme="majorBidi" w:hAnsiTheme="majorBidi" w:cstheme="majorBidi"/>
          <w:lang w:val="en-AU"/>
        </w:rPr>
        <w:t>S</w:t>
      </w:r>
      <w:r w:rsidR="001E2942" w:rsidRPr="004C5271">
        <w:rPr>
          <w:rFonts w:asciiTheme="majorBidi" w:hAnsiTheme="majorBidi" w:cstheme="majorBidi"/>
          <w:lang w:val="en-AU"/>
        </w:rPr>
        <w:t>ome</w:t>
      </w:r>
      <w:r w:rsidRPr="004C5271">
        <w:rPr>
          <w:rFonts w:asciiTheme="majorBidi" w:hAnsiTheme="majorBidi" w:cstheme="majorBidi"/>
          <w:lang w:val="en-AU"/>
        </w:rPr>
        <w:t xml:space="preserve"> respondents</w:t>
      </w:r>
      <w:r w:rsidRPr="004C5271">
        <w:rPr>
          <w:rStyle w:val="FootnoteReference"/>
          <w:rFonts w:asciiTheme="majorBidi" w:hAnsiTheme="majorBidi" w:cstheme="majorBidi"/>
        </w:rPr>
        <w:footnoteReference w:id="359"/>
      </w:r>
      <w:r w:rsidRPr="004C5271">
        <w:rPr>
          <w:rFonts w:asciiTheme="majorBidi" w:hAnsiTheme="majorBidi" w:cstheme="majorBidi"/>
          <w:lang w:val="en-AU"/>
        </w:rPr>
        <w:t xml:space="preserve"> </w:t>
      </w:r>
      <w:r w:rsidR="00BA36B8" w:rsidRPr="004C5271">
        <w:rPr>
          <w:rFonts w:asciiTheme="majorBidi" w:hAnsiTheme="majorBidi" w:cstheme="majorBidi"/>
          <w:lang w:val="en-AU"/>
        </w:rPr>
        <w:t xml:space="preserve">expressed concerns </w:t>
      </w:r>
      <w:r w:rsidR="006A5E99" w:rsidRPr="004C5271">
        <w:rPr>
          <w:rFonts w:asciiTheme="majorBidi" w:hAnsiTheme="majorBidi" w:cstheme="majorBidi"/>
          <w:lang w:val="en-AU"/>
        </w:rPr>
        <w:t xml:space="preserve">about </w:t>
      </w:r>
      <w:r w:rsidR="007E4C90" w:rsidRPr="004C5271">
        <w:rPr>
          <w:rFonts w:asciiTheme="majorBidi" w:hAnsiTheme="majorBidi" w:cstheme="majorBidi"/>
          <w:lang w:val="en-AU"/>
        </w:rPr>
        <w:t xml:space="preserve">further extension </w:t>
      </w:r>
      <w:r w:rsidRPr="004C5271">
        <w:rPr>
          <w:rFonts w:asciiTheme="majorBidi" w:hAnsiTheme="majorBidi" w:cstheme="majorBidi"/>
          <w:lang w:val="en-AU"/>
        </w:rPr>
        <w:t xml:space="preserve">of </w:t>
      </w:r>
      <w:r w:rsidR="00682CE3" w:rsidRPr="004C5271">
        <w:rPr>
          <w:rFonts w:asciiTheme="majorBidi" w:hAnsiTheme="majorBidi" w:cstheme="majorBidi"/>
          <w:lang w:val="en-AU"/>
        </w:rPr>
        <w:t xml:space="preserve">family provision legislation </w:t>
      </w:r>
      <w:r w:rsidR="001A4F08" w:rsidRPr="004C5271">
        <w:rPr>
          <w:rFonts w:asciiTheme="majorBidi" w:hAnsiTheme="majorBidi" w:cstheme="majorBidi"/>
          <w:lang w:val="en-AU"/>
        </w:rPr>
        <w:t xml:space="preserve">in regards </w:t>
      </w:r>
      <w:r w:rsidR="00682CE3" w:rsidRPr="004C5271">
        <w:rPr>
          <w:rFonts w:asciiTheme="majorBidi" w:hAnsiTheme="majorBidi" w:cstheme="majorBidi"/>
          <w:lang w:val="en-AU"/>
        </w:rPr>
        <w:t xml:space="preserve">to </w:t>
      </w:r>
      <w:r w:rsidRPr="004C5271">
        <w:rPr>
          <w:rFonts w:asciiTheme="majorBidi" w:hAnsiTheme="majorBidi" w:cstheme="majorBidi"/>
          <w:lang w:val="en-AU"/>
        </w:rPr>
        <w:t>adult, financially independent claimants with minimal financial need.</w:t>
      </w:r>
      <w:bookmarkEnd w:id="169"/>
      <w:r w:rsidRPr="004C5271">
        <w:rPr>
          <w:rFonts w:asciiTheme="majorBidi" w:hAnsiTheme="majorBidi" w:cstheme="majorBidi"/>
          <w:lang w:val="en-AU"/>
        </w:rPr>
        <w:t xml:space="preserve"> </w:t>
      </w:r>
    </w:p>
    <w:p w14:paraId="0DFFB63E" w14:textId="22F5F9CF" w:rsidR="0070426A" w:rsidRPr="004C5271" w:rsidRDefault="0070426A" w:rsidP="0070426A">
      <w:pPr>
        <w:pStyle w:val="NormalNumberedTextTLRI"/>
        <w:rPr>
          <w:rFonts w:asciiTheme="majorBidi" w:hAnsiTheme="majorBidi" w:cstheme="majorBidi"/>
          <w:lang w:val="en-AU"/>
        </w:rPr>
      </w:pPr>
      <w:r w:rsidRPr="004C5271">
        <w:rPr>
          <w:rFonts w:asciiTheme="majorBidi" w:hAnsiTheme="majorBidi" w:cstheme="majorBidi"/>
          <w:lang w:val="en-AU"/>
        </w:rPr>
        <w:t>A recent Australian study of family provision cases found that by far the largest cohort of claimants were adult children.</w:t>
      </w:r>
      <w:r w:rsidRPr="004C5271">
        <w:rPr>
          <w:rStyle w:val="FootnoteReference"/>
          <w:rFonts w:asciiTheme="majorBidi" w:hAnsiTheme="majorBidi" w:cstheme="majorBidi"/>
        </w:rPr>
        <w:footnoteReference w:id="360"/>
      </w:r>
      <w:r w:rsidR="005774AB" w:rsidRPr="004C5271">
        <w:rPr>
          <w:rFonts w:asciiTheme="majorBidi" w:hAnsiTheme="majorBidi" w:cstheme="majorBidi"/>
          <w:lang w:val="en-AU"/>
        </w:rPr>
        <w:t xml:space="preserve"> </w:t>
      </w:r>
      <w:r w:rsidRPr="004C5271">
        <w:rPr>
          <w:rFonts w:asciiTheme="majorBidi" w:hAnsiTheme="majorBidi" w:cstheme="majorBidi"/>
          <w:lang w:val="en-AU"/>
        </w:rPr>
        <w:t xml:space="preserve">The researchers found that more than half of claims were brought by competent adult children and that about one third of claimants </w:t>
      </w:r>
      <w:r w:rsidR="005774AB" w:rsidRPr="004C5271">
        <w:rPr>
          <w:rFonts w:asciiTheme="majorBidi" w:hAnsiTheme="majorBidi" w:cstheme="majorBidi"/>
          <w:lang w:val="en-AU"/>
        </w:rPr>
        <w:t>‘</w:t>
      </w:r>
      <w:r w:rsidRPr="004C5271">
        <w:rPr>
          <w:rFonts w:asciiTheme="majorBidi" w:hAnsiTheme="majorBidi" w:cstheme="majorBidi"/>
          <w:lang w:val="en-AU"/>
        </w:rPr>
        <w:t xml:space="preserve">could be regarded as </w:t>
      </w:r>
      <w:r w:rsidR="005774AB" w:rsidRPr="004C5271">
        <w:rPr>
          <w:rFonts w:asciiTheme="majorBidi" w:hAnsiTheme="majorBidi" w:cstheme="majorBidi"/>
          <w:lang w:val="en-AU"/>
        </w:rPr>
        <w:t>“</w:t>
      </w:r>
      <w:r w:rsidRPr="004C5271">
        <w:rPr>
          <w:rFonts w:asciiTheme="majorBidi" w:hAnsiTheme="majorBidi" w:cstheme="majorBidi"/>
          <w:lang w:val="en-AU"/>
        </w:rPr>
        <w:t>financially comfortable</w:t>
      </w:r>
      <w:r w:rsidR="005774AB" w:rsidRPr="004C5271">
        <w:rPr>
          <w:rFonts w:asciiTheme="majorBidi" w:hAnsiTheme="majorBidi" w:cstheme="majorBidi"/>
          <w:lang w:val="en-AU"/>
        </w:rPr>
        <w:t>”</w:t>
      </w:r>
      <w:r w:rsidRPr="004C5271">
        <w:rPr>
          <w:rFonts w:asciiTheme="majorBidi" w:hAnsiTheme="majorBidi" w:cstheme="majorBidi"/>
          <w:lang w:val="en-AU"/>
        </w:rPr>
        <w:t xml:space="preserve"> adults just wanting more</w:t>
      </w:r>
      <w:r w:rsidR="005774AB" w:rsidRPr="004C5271">
        <w:rPr>
          <w:rFonts w:asciiTheme="majorBidi" w:hAnsiTheme="majorBidi" w:cstheme="majorBidi"/>
          <w:lang w:val="en-AU"/>
        </w:rPr>
        <w:t>’</w:t>
      </w:r>
      <w:r w:rsidRPr="004C5271">
        <w:rPr>
          <w:rFonts w:asciiTheme="majorBidi" w:hAnsiTheme="majorBidi" w:cstheme="majorBidi"/>
          <w:lang w:val="en-AU"/>
        </w:rPr>
        <w:t>.</w:t>
      </w:r>
      <w:r w:rsidRPr="004C5271">
        <w:rPr>
          <w:rStyle w:val="FootnoteReference"/>
          <w:rFonts w:asciiTheme="majorBidi" w:hAnsiTheme="majorBidi" w:cstheme="majorBidi"/>
        </w:rPr>
        <w:footnoteReference w:id="361"/>
      </w:r>
      <w:r w:rsidRPr="004C5271">
        <w:rPr>
          <w:rFonts w:asciiTheme="majorBidi" w:hAnsiTheme="majorBidi" w:cstheme="majorBidi"/>
          <w:lang w:val="en-AU"/>
        </w:rPr>
        <w:t xml:space="preserve"> Another study in South Australia also found that the greatest proportion of claimants in South Australia between 2000 and 2018 were adult children.</w:t>
      </w:r>
      <w:r w:rsidRPr="004C5271">
        <w:rPr>
          <w:rStyle w:val="FootnoteReference"/>
          <w:rFonts w:asciiTheme="majorBidi" w:hAnsiTheme="majorBidi" w:cstheme="majorBidi"/>
        </w:rPr>
        <w:footnoteReference w:id="362"/>
      </w:r>
      <w:r w:rsidRPr="004C5271">
        <w:rPr>
          <w:rFonts w:asciiTheme="majorBidi" w:hAnsiTheme="majorBidi" w:cstheme="majorBidi"/>
          <w:lang w:val="en-AU"/>
        </w:rPr>
        <w:t xml:space="preserve"> A review of reported Tasmanian family provision cases </w:t>
      </w:r>
      <w:r w:rsidR="00B75838" w:rsidRPr="004C5271">
        <w:rPr>
          <w:rFonts w:asciiTheme="majorBidi" w:hAnsiTheme="majorBidi" w:cstheme="majorBidi"/>
          <w:lang w:val="en-AU"/>
        </w:rPr>
        <w:t>provide</w:t>
      </w:r>
      <w:r w:rsidR="00FD7B0A" w:rsidRPr="004C5271">
        <w:rPr>
          <w:rFonts w:asciiTheme="majorBidi" w:hAnsiTheme="majorBidi" w:cstheme="majorBidi"/>
          <w:lang w:val="en-AU"/>
        </w:rPr>
        <w:t>s</w:t>
      </w:r>
      <w:r w:rsidR="00B75838" w:rsidRPr="004C5271">
        <w:rPr>
          <w:rFonts w:asciiTheme="majorBidi" w:hAnsiTheme="majorBidi" w:cstheme="majorBidi"/>
          <w:lang w:val="en-AU"/>
        </w:rPr>
        <w:t xml:space="preserve"> consistent results,</w:t>
      </w:r>
      <w:r w:rsidRPr="004C5271">
        <w:rPr>
          <w:rFonts w:asciiTheme="majorBidi" w:hAnsiTheme="majorBidi" w:cstheme="majorBidi"/>
          <w:lang w:val="en-AU"/>
        </w:rPr>
        <w:t xml:space="preserve"> </w:t>
      </w:r>
      <w:r w:rsidR="00B75838" w:rsidRPr="004C5271">
        <w:rPr>
          <w:rFonts w:asciiTheme="majorBidi" w:hAnsiTheme="majorBidi" w:cstheme="majorBidi"/>
          <w:lang w:val="en-AU"/>
        </w:rPr>
        <w:t>with</w:t>
      </w:r>
      <w:r w:rsidRPr="004C5271">
        <w:rPr>
          <w:rFonts w:asciiTheme="majorBidi" w:hAnsiTheme="majorBidi" w:cstheme="majorBidi"/>
          <w:lang w:val="en-AU"/>
        </w:rPr>
        <w:t xml:space="preserve"> </w:t>
      </w:r>
      <w:r w:rsidR="00B75838" w:rsidRPr="004C5271">
        <w:rPr>
          <w:rFonts w:asciiTheme="majorBidi" w:hAnsiTheme="majorBidi" w:cstheme="majorBidi"/>
          <w:lang w:val="en-AU"/>
        </w:rPr>
        <w:t>most</w:t>
      </w:r>
      <w:r w:rsidRPr="004C5271">
        <w:rPr>
          <w:rFonts w:asciiTheme="majorBidi" w:hAnsiTheme="majorBidi" w:cstheme="majorBidi"/>
          <w:lang w:val="en-AU"/>
        </w:rPr>
        <w:t xml:space="preserve"> cases proceed</w:t>
      </w:r>
      <w:r w:rsidR="00FD7B0A" w:rsidRPr="004C5271">
        <w:rPr>
          <w:rFonts w:asciiTheme="majorBidi" w:hAnsiTheme="majorBidi" w:cstheme="majorBidi"/>
          <w:lang w:val="en-AU"/>
        </w:rPr>
        <w:t>ing</w:t>
      </w:r>
      <w:r w:rsidRPr="004C5271">
        <w:rPr>
          <w:rFonts w:asciiTheme="majorBidi" w:hAnsiTheme="majorBidi" w:cstheme="majorBidi"/>
          <w:lang w:val="en-AU"/>
        </w:rPr>
        <w:t xml:space="preserve"> to hearing involv</w:t>
      </w:r>
      <w:r w:rsidR="00B75838" w:rsidRPr="004C5271">
        <w:rPr>
          <w:rFonts w:asciiTheme="majorBidi" w:hAnsiTheme="majorBidi" w:cstheme="majorBidi"/>
          <w:lang w:val="en-AU"/>
        </w:rPr>
        <w:t>ing</w:t>
      </w:r>
      <w:r w:rsidRPr="004C5271">
        <w:rPr>
          <w:rFonts w:asciiTheme="majorBidi" w:hAnsiTheme="majorBidi" w:cstheme="majorBidi"/>
          <w:lang w:val="en-AU"/>
        </w:rPr>
        <w:t xml:space="preserve"> adult children</w:t>
      </w:r>
      <w:r w:rsidR="00FD7B0A" w:rsidRPr="004C5271">
        <w:rPr>
          <w:rFonts w:asciiTheme="majorBidi" w:hAnsiTheme="majorBidi" w:cstheme="majorBidi"/>
          <w:lang w:val="en-AU"/>
        </w:rPr>
        <w:t xml:space="preserve"> applicants</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363"/>
      </w:r>
      <w:r w:rsidRPr="004C5271">
        <w:rPr>
          <w:rFonts w:asciiTheme="majorBidi" w:hAnsiTheme="majorBidi" w:cstheme="majorBidi"/>
          <w:lang w:val="en-AU"/>
        </w:rPr>
        <w:t xml:space="preserve"> </w:t>
      </w:r>
    </w:p>
    <w:p w14:paraId="2C69326E" w14:textId="39C89C10" w:rsidR="0070426A" w:rsidRPr="004C5271" w:rsidRDefault="0070426A" w:rsidP="00C53A41">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Several </w:t>
      </w:r>
      <w:r w:rsidR="00D00757" w:rsidRPr="004C5271">
        <w:rPr>
          <w:rFonts w:asciiTheme="majorBidi" w:hAnsiTheme="majorBidi" w:cstheme="majorBidi"/>
          <w:lang w:val="en-AU"/>
        </w:rPr>
        <w:t>academics</w:t>
      </w:r>
      <w:r w:rsidRPr="004C5271">
        <w:rPr>
          <w:rFonts w:asciiTheme="majorBidi" w:hAnsiTheme="majorBidi" w:cstheme="majorBidi"/>
          <w:lang w:val="en-AU"/>
        </w:rPr>
        <w:t xml:space="preserve"> have </w:t>
      </w:r>
      <w:r w:rsidR="00D00757" w:rsidRPr="004C5271">
        <w:rPr>
          <w:rFonts w:asciiTheme="majorBidi" w:hAnsiTheme="majorBidi" w:cstheme="majorBidi"/>
          <w:lang w:val="en-AU"/>
        </w:rPr>
        <w:t>expressed concerns about</w:t>
      </w:r>
      <w:r w:rsidRPr="004C5271">
        <w:rPr>
          <w:rFonts w:asciiTheme="majorBidi" w:hAnsiTheme="majorBidi" w:cstheme="majorBidi"/>
          <w:lang w:val="en-AU"/>
        </w:rPr>
        <w:t xml:space="preserve"> the prevalence of adult financially independent children bringing </w:t>
      </w:r>
      <w:r w:rsidR="00D00757" w:rsidRPr="004C5271">
        <w:rPr>
          <w:rFonts w:asciiTheme="majorBidi" w:hAnsiTheme="majorBidi" w:cstheme="majorBidi"/>
          <w:lang w:val="en-AU"/>
        </w:rPr>
        <w:t xml:space="preserve">and succeeding in </w:t>
      </w:r>
      <w:r w:rsidRPr="004C5271">
        <w:rPr>
          <w:rFonts w:asciiTheme="majorBidi" w:hAnsiTheme="majorBidi" w:cstheme="majorBidi"/>
          <w:lang w:val="en-AU"/>
        </w:rPr>
        <w:t>family provision claims.</w:t>
      </w:r>
      <w:r w:rsidR="001D1838" w:rsidRPr="004C5271">
        <w:rPr>
          <w:rStyle w:val="FootnoteReference"/>
          <w:rFonts w:asciiTheme="majorBidi" w:hAnsiTheme="majorBidi" w:cstheme="majorBidi"/>
          <w:lang w:val="en-AU"/>
        </w:rPr>
        <w:footnoteReference w:id="364"/>
      </w:r>
      <w:r w:rsidRPr="004C5271">
        <w:rPr>
          <w:rFonts w:asciiTheme="majorBidi" w:hAnsiTheme="majorBidi" w:cstheme="majorBidi"/>
          <w:lang w:val="en-AU"/>
        </w:rPr>
        <w:t xml:space="preserve"> White et al comment that one option for legislative reform would be to remove </w:t>
      </w:r>
      <w:r w:rsidR="001D1838" w:rsidRPr="004C5271">
        <w:rPr>
          <w:rFonts w:asciiTheme="majorBidi" w:hAnsiTheme="majorBidi" w:cstheme="majorBidi"/>
          <w:lang w:val="en-AU"/>
        </w:rPr>
        <w:t>the</w:t>
      </w:r>
      <w:r w:rsidRPr="004C5271">
        <w:rPr>
          <w:rFonts w:asciiTheme="majorBidi" w:hAnsiTheme="majorBidi" w:cstheme="majorBidi"/>
          <w:lang w:val="en-AU"/>
        </w:rPr>
        <w:t xml:space="preserve"> automatic eligibility for adult children to bring a family provision claim and imposing a requirement to demonstrate </w:t>
      </w:r>
      <w:r w:rsidR="001D1838" w:rsidRPr="004C5271">
        <w:rPr>
          <w:rFonts w:asciiTheme="majorBidi" w:hAnsiTheme="majorBidi" w:cstheme="majorBidi"/>
          <w:lang w:val="en-AU"/>
        </w:rPr>
        <w:t>that the deceased had a</w:t>
      </w:r>
      <w:r w:rsidRPr="004C5271">
        <w:rPr>
          <w:rFonts w:asciiTheme="majorBidi" w:hAnsiTheme="majorBidi" w:cstheme="majorBidi"/>
          <w:lang w:val="en-AU"/>
        </w:rPr>
        <w:t xml:space="preserve"> responsibility to provide</w:t>
      </w:r>
      <w:r w:rsidR="001D1838" w:rsidRPr="004C5271">
        <w:rPr>
          <w:rFonts w:asciiTheme="majorBidi" w:hAnsiTheme="majorBidi" w:cstheme="majorBidi"/>
          <w:lang w:val="en-AU"/>
        </w:rPr>
        <w:t xml:space="preserve"> for them</w:t>
      </w:r>
      <w:r w:rsidRPr="004C5271">
        <w:rPr>
          <w:rFonts w:asciiTheme="majorBidi" w:hAnsiTheme="majorBidi" w:cstheme="majorBidi"/>
          <w:lang w:val="en-AU"/>
        </w:rPr>
        <w:t>.</w:t>
      </w:r>
      <w:r w:rsidRPr="004C5271">
        <w:rPr>
          <w:rStyle w:val="FootnoteReference"/>
          <w:rFonts w:asciiTheme="majorBidi" w:hAnsiTheme="majorBidi" w:cstheme="majorBidi"/>
        </w:rPr>
        <w:footnoteReference w:id="365"/>
      </w:r>
      <w:r w:rsidRPr="004C5271">
        <w:rPr>
          <w:rFonts w:asciiTheme="majorBidi" w:hAnsiTheme="majorBidi" w:cstheme="majorBidi"/>
          <w:lang w:val="en-AU"/>
        </w:rPr>
        <w:t xml:space="preserve"> The National Committee’s Report and Supplementary Report, which endorsed notional estate provisions, contained recommendations limiting the eligibility of adult</w:t>
      </w:r>
      <w:r w:rsidR="00FD7B0A" w:rsidRPr="004C5271">
        <w:rPr>
          <w:rFonts w:asciiTheme="majorBidi" w:hAnsiTheme="majorBidi" w:cstheme="majorBidi"/>
          <w:lang w:val="en-AU"/>
        </w:rPr>
        <w:t xml:space="preserve"> </w:t>
      </w:r>
      <w:r w:rsidRPr="004C5271">
        <w:rPr>
          <w:rFonts w:asciiTheme="majorBidi" w:hAnsiTheme="majorBidi" w:cstheme="majorBidi"/>
          <w:lang w:val="en-AU"/>
        </w:rPr>
        <w:t xml:space="preserve">children so that they would not automatically be entitled to provision </w:t>
      </w:r>
      <w:r w:rsidR="00CF5A4E" w:rsidRPr="004C5271">
        <w:rPr>
          <w:rFonts w:asciiTheme="majorBidi" w:hAnsiTheme="majorBidi" w:cstheme="majorBidi"/>
          <w:lang w:val="en-AU"/>
        </w:rPr>
        <w:t>—</w:t>
      </w:r>
      <w:r w:rsidRPr="004C5271">
        <w:rPr>
          <w:rFonts w:asciiTheme="majorBidi" w:hAnsiTheme="majorBidi" w:cstheme="majorBidi"/>
          <w:lang w:val="en-AU"/>
        </w:rPr>
        <w:t xml:space="preserve"> proposing that they need to establish that </w:t>
      </w:r>
      <w:r w:rsidR="00CF5A4E" w:rsidRPr="004C5271">
        <w:rPr>
          <w:rFonts w:asciiTheme="majorBidi" w:hAnsiTheme="majorBidi" w:cstheme="majorBidi"/>
          <w:lang w:val="en-AU"/>
        </w:rPr>
        <w:t>‘</w:t>
      </w:r>
      <w:r w:rsidRPr="004C5271">
        <w:rPr>
          <w:rFonts w:asciiTheme="majorBidi" w:hAnsiTheme="majorBidi" w:cstheme="majorBidi"/>
          <w:lang w:val="en-AU"/>
        </w:rPr>
        <w:t>the deceased owed a responsibility to provide maintenance, education or advancement in life.</w:t>
      </w:r>
      <w:r w:rsidR="00CF5A4E" w:rsidRPr="004C5271">
        <w:rPr>
          <w:rFonts w:asciiTheme="majorBidi" w:hAnsiTheme="majorBidi" w:cstheme="majorBidi"/>
          <w:lang w:val="en-AU"/>
        </w:rPr>
        <w:t>’</w:t>
      </w:r>
      <w:r w:rsidRPr="004C5271">
        <w:rPr>
          <w:rStyle w:val="FootnoteReference"/>
          <w:rFonts w:asciiTheme="majorBidi" w:hAnsiTheme="majorBidi" w:cstheme="majorBidi"/>
        </w:rPr>
        <w:footnoteReference w:id="366"/>
      </w:r>
      <w:r w:rsidRPr="004C5271">
        <w:rPr>
          <w:rFonts w:asciiTheme="majorBidi" w:hAnsiTheme="majorBidi" w:cstheme="majorBidi"/>
          <w:lang w:val="en-AU"/>
        </w:rPr>
        <w:t xml:space="preserve"> In 1997</w:t>
      </w:r>
      <w:r w:rsidR="00CF5A4E" w:rsidRPr="004C5271">
        <w:rPr>
          <w:rFonts w:asciiTheme="majorBidi" w:hAnsiTheme="majorBidi" w:cstheme="majorBidi"/>
          <w:lang w:val="en-AU"/>
        </w:rPr>
        <w:t>,</w:t>
      </w:r>
      <w:r w:rsidRPr="004C5271">
        <w:rPr>
          <w:rFonts w:asciiTheme="majorBidi" w:hAnsiTheme="majorBidi" w:cstheme="majorBidi"/>
          <w:lang w:val="en-AU"/>
        </w:rPr>
        <w:t xml:space="preserve"> the NZLC also recommended that new legislation </w:t>
      </w:r>
      <w:r w:rsidR="00CF5A4E" w:rsidRPr="004C5271">
        <w:rPr>
          <w:rFonts w:asciiTheme="majorBidi" w:hAnsiTheme="majorBidi" w:cstheme="majorBidi"/>
          <w:lang w:val="en-AU"/>
        </w:rPr>
        <w:t>‘</w:t>
      </w:r>
      <w:r w:rsidRPr="004C5271">
        <w:rPr>
          <w:rFonts w:asciiTheme="majorBidi" w:hAnsiTheme="majorBidi" w:cstheme="majorBidi"/>
          <w:lang w:val="en-AU"/>
        </w:rPr>
        <w:t>give children no greater rights than they had during their parents’ lifetime.</w:t>
      </w:r>
      <w:r w:rsidR="00CF5A4E"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367"/>
      </w:r>
      <w:r w:rsidR="00BA4CA3" w:rsidRPr="004C5271">
        <w:rPr>
          <w:rFonts w:asciiTheme="majorBidi" w:hAnsiTheme="majorBidi" w:cstheme="majorBidi"/>
          <w:lang w:val="en-AU"/>
        </w:rPr>
        <w:t xml:space="preserve"> Many Acts in Canada limit the eligibility of adult children to those with special needs, for example due to disability.</w:t>
      </w:r>
      <w:r w:rsidR="00BA4CA3" w:rsidRPr="004C5271">
        <w:rPr>
          <w:rStyle w:val="FootnoteReference"/>
          <w:rFonts w:asciiTheme="majorBidi" w:hAnsiTheme="majorBidi" w:cstheme="majorBidi"/>
          <w:lang w:val="en-AU"/>
        </w:rPr>
        <w:footnoteReference w:id="368"/>
      </w:r>
      <w:r w:rsidR="00BA4CA3" w:rsidRPr="004C5271">
        <w:rPr>
          <w:rFonts w:asciiTheme="majorBidi" w:hAnsiTheme="majorBidi" w:cstheme="majorBidi"/>
          <w:lang w:val="en-AU"/>
        </w:rPr>
        <w:t xml:space="preserve"> These reforms have been consistent with recommendations of </w:t>
      </w:r>
      <w:r w:rsidR="000929AD" w:rsidRPr="004C5271">
        <w:rPr>
          <w:rFonts w:asciiTheme="majorBidi" w:hAnsiTheme="majorBidi" w:cstheme="majorBidi"/>
          <w:lang w:val="en-AU"/>
        </w:rPr>
        <w:t xml:space="preserve">their </w:t>
      </w:r>
      <w:r w:rsidR="00BA4CA3" w:rsidRPr="004C5271">
        <w:rPr>
          <w:rFonts w:asciiTheme="majorBidi" w:hAnsiTheme="majorBidi" w:cstheme="majorBidi"/>
          <w:lang w:val="en-AU"/>
        </w:rPr>
        <w:t>law reform commissions.</w:t>
      </w:r>
      <w:r w:rsidR="00BA4CA3" w:rsidRPr="004C5271">
        <w:rPr>
          <w:rStyle w:val="FootnoteReference"/>
          <w:rFonts w:asciiTheme="majorBidi" w:hAnsiTheme="majorBidi" w:cstheme="majorBidi"/>
          <w:lang w:val="en-AU"/>
        </w:rPr>
        <w:footnoteReference w:id="369"/>
      </w:r>
      <w:r w:rsidR="000929AD" w:rsidRPr="004C5271">
        <w:rPr>
          <w:rFonts w:asciiTheme="majorBidi" w:hAnsiTheme="majorBidi" w:cstheme="majorBidi"/>
          <w:lang w:val="en-AU"/>
        </w:rPr>
        <w:t xml:space="preserve"> Some Canadian jurisdictions</w:t>
      </w:r>
      <w:r w:rsidR="000929AD" w:rsidRPr="004C5271">
        <w:rPr>
          <w:rStyle w:val="FootnoteReference"/>
          <w:rFonts w:asciiTheme="majorBidi" w:hAnsiTheme="majorBidi" w:cstheme="majorBidi"/>
          <w:lang w:val="en-AU"/>
        </w:rPr>
        <w:footnoteReference w:id="370"/>
      </w:r>
      <w:r w:rsidR="000929AD" w:rsidRPr="004C5271">
        <w:rPr>
          <w:rFonts w:asciiTheme="majorBidi" w:hAnsiTheme="majorBidi" w:cstheme="majorBidi"/>
          <w:lang w:val="en-AU"/>
        </w:rPr>
        <w:t xml:space="preserve"> have</w:t>
      </w:r>
      <w:r w:rsidR="007E6AD0" w:rsidRPr="004C5271">
        <w:rPr>
          <w:rFonts w:asciiTheme="majorBidi" w:hAnsiTheme="majorBidi" w:cstheme="majorBidi"/>
          <w:lang w:val="en-AU"/>
        </w:rPr>
        <w:t xml:space="preserve"> also</w:t>
      </w:r>
      <w:r w:rsidR="000929AD" w:rsidRPr="004C5271">
        <w:rPr>
          <w:rFonts w:asciiTheme="majorBidi" w:hAnsiTheme="majorBidi" w:cstheme="majorBidi"/>
          <w:lang w:val="en-AU"/>
        </w:rPr>
        <w:t xml:space="preserve"> </w:t>
      </w:r>
      <w:r w:rsidR="000929AD" w:rsidRPr="004C5271">
        <w:rPr>
          <w:rFonts w:asciiTheme="majorBidi" w:hAnsiTheme="majorBidi" w:cstheme="majorBidi"/>
          <w:lang w:val="en-AU"/>
        </w:rPr>
        <w:lastRenderedPageBreak/>
        <w:t xml:space="preserve">transferred or provided dual jurisdiction for the family court to deal with the division of property between spouses after death. </w:t>
      </w:r>
      <w:r w:rsidR="007E6AD0" w:rsidRPr="004C5271">
        <w:rPr>
          <w:rFonts w:asciiTheme="majorBidi" w:hAnsiTheme="majorBidi" w:cstheme="majorBidi"/>
          <w:lang w:val="en-AU"/>
        </w:rPr>
        <w:t>The effect is that, in Manitoba for example, notional estate-style provisions are available to spouses under family law legislation but not to the broader range of claimants under its family provision legislation.</w:t>
      </w:r>
      <w:r w:rsidR="007E6AD0" w:rsidRPr="004C5271">
        <w:rPr>
          <w:rStyle w:val="FootnoteReference"/>
          <w:rFonts w:asciiTheme="majorBidi" w:hAnsiTheme="majorBidi" w:cstheme="majorBidi"/>
          <w:lang w:val="en-AU"/>
        </w:rPr>
        <w:footnoteReference w:id="371"/>
      </w:r>
      <w:r w:rsidR="000929AD" w:rsidRPr="004C5271">
        <w:rPr>
          <w:rFonts w:asciiTheme="majorBidi" w:hAnsiTheme="majorBidi" w:cstheme="majorBidi"/>
          <w:lang w:val="en-AU"/>
        </w:rPr>
        <w:t xml:space="preserve"> </w:t>
      </w:r>
    </w:p>
    <w:p w14:paraId="143B6334" w14:textId="31224CCE" w:rsidR="00682CE3" w:rsidRPr="004C5271" w:rsidRDefault="001A4F08" w:rsidP="00682CE3">
      <w:pPr>
        <w:pStyle w:val="NormalNumberedTextTLRI"/>
        <w:rPr>
          <w:rFonts w:asciiTheme="majorBidi" w:hAnsiTheme="majorBidi" w:cstheme="majorBidi"/>
          <w:lang w:val="en-AU"/>
        </w:rPr>
      </w:pPr>
      <w:r w:rsidRPr="004C5271">
        <w:rPr>
          <w:rFonts w:asciiTheme="majorBidi" w:hAnsiTheme="majorBidi" w:cstheme="majorBidi"/>
          <w:lang w:val="en-AU"/>
        </w:rPr>
        <w:t>This discussion</w:t>
      </w:r>
      <w:r w:rsidR="00682CE3" w:rsidRPr="004C5271">
        <w:rPr>
          <w:rFonts w:asciiTheme="majorBidi" w:hAnsiTheme="majorBidi" w:cstheme="majorBidi"/>
          <w:lang w:val="en-AU"/>
        </w:rPr>
        <w:t xml:space="preserve"> suggests a need for the </w:t>
      </w:r>
      <w:r w:rsidR="00682CE3" w:rsidRPr="004C5271">
        <w:rPr>
          <w:rFonts w:asciiTheme="majorBidi" w:hAnsiTheme="majorBidi" w:cstheme="majorBidi"/>
          <w:i/>
          <w:iCs/>
          <w:lang w:val="en-AU"/>
        </w:rPr>
        <w:t>TFM Act</w:t>
      </w:r>
      <w:r w:rsidR="00682CE3" w:rsidRPr="004C5271">
        <w:rPr>
          <w:rFonts w:asciiTheme="majorBidi" w:hAnsiTheme="majorBidi" w:cstheme="majorBidi"/>
          <w:lang w:val="en-AU"/>
        </w:rPr>
        <w:t xml:space="preserve"> to be reviewed more broadly so that it reflects current community expectations. Chief Justice Gleeson noted in </w:t>
      </w:r>
      <w:r w:rsidR="00682CE3" w:rsidRPr="004C5271">
        <w:rPr>
          <w:rFonts w:asciiTheme="majorBidi" w:hAnsiTheme="majorBidi" w:cstheme="majorBidi"/>
          <w:i/>
          <w:iCs/>
          <w:lang w:val="en-AU"/>
        </w:rPr>
        <w:t>Vigolo v Bostin</w:t>
      </w:r>
      <w:r w:rsidR="00682CE3" w:rsidRPr="004C5271">
        <w:rPr>
          <w:rFonts w:asciiTheme="majorBidi" w:hAnsiTheme="majorBidi" w:cstheme="majorBidi"/>
          <w:lang w:val="en-AU"/>
        </w:rPr>
        <w:t xml:space="preserve"> that community standards </w:t>
      </w:r>
      <w:r w:rsidR="00211269" w:rsidRPr="004C5271">
        <w:rPr>
          <w:rFonts w:asciiTheme="majorBidi" w:hAnsiTheme="majorBidi" w:cstheme="majorBidi"/>
          <w:lang w:val="en-AU"/>
        </w:rPr>
        <w:t>‘</w:t>
      </w:r>
      <w:r w:rsidR="00682CE3" w:rsidRPr="004C5271">
        <w:rPr>
          <w:rFonts w:asciiTheme="majorBidi" w:hAnsiTheme="majorBidi" w:cstheme="majorBidi"/>
          <w:lang w:val="en-AU"/>
        </w:rPr>
        <w:t>change and develop over time.</w:t>
      </w:r>
      <w:r w:rsidR="00211269" w:rsidRPr="004C5271">
        <w:rPr>
          <w:rFonts w:asciiTheme="majorBidi" w:hAnsiTheme="majorBidi" w:cstheme="majorBidi"/>
          <w:lang w:val="en-AU"/>
        </w:rPr>
        <w:t>’</w:t>
      </w:r>
      <w:r w:rsidR="00682CE3" w:rsidRPr="004C5271">
        <w:rPr>
          <w:rStyle w:val="FootnoteReference"/>
          <w:rFonts w:asciiTheme="majorBidi" w:hAnsiTheme="majorBidi" w:cstheme="majorBidi"/>
        </w:rPr>
        <w:footnoteReference w:id="372"/>
      </w:r>
      <w:r w:rsidR="00682CE3" w:rsidRPr="004C5271">
        <w:rPr>
          <w:rFonts w:asciiTheme="majorBidi" w:hAnsiTheme="majorBidi" w:cstheme="majorBidi"/>
          <w:lang w:val="en-AU"/>
        </w:rPr>
        <w:t xml:space="preserve"> The relevance of prevailing community standards with regards to claims by adult children was referred to in a recent Tasmanian decision, where Associate Justice Holt commented: </w:t>
      </w:r>
    </w:p>
    <w:p w14:paraId="18DA92B8" w14:textId="66952841" w:rsidR="00682CE3" w:rsidRPr="004C5271" w:rsidRDefault="00682CE3" w:rsidP="001A05E8">
      <w:pPr>
        <w:pStyle w:val="QuoteTLRI"/>
        <w:rPr>
          <w:rFonts w:asciiTheme="majorBidi" w:hAnsiTheme="majorBidi" w:cstheme="majorBidi"/>
        </w:rPr>
      </w:pPr>
      <w:r w:rsidRPr="004C5271">
        <w:rPr>
          <w:rFonts w:asciiTheme="majorBidi" w:hAnsiTheme="majorBidi" w:cstheme="majorBidi"/>
        </w:rPr>
        <w:t>I do not think that prevailing community standards, even in the case of large estates, contain a requirement that a testator should completely remove the welfare burden of the State for his adult children.</w:t>
      </w:r>
      <w:r w:rsidRPr="004C5271">
        <w:rPr>
          <w:rStyle w:val="FootnoteReference"/>
          <w:rFonts w:asciiTheme="majorBidi" w:eastAsia="Times New Roman" w:hAnsiTheme="majorBidi" w:cstheme="majorBidi"/>
          <w:color w:val="333333"/>
        </w:rPr>
        <w:footnoteReference w:id="373"/>
      </w:r>
    </w:p>
    <w:p w14:paraId="7705F189" w14:textId="0DC67C9E" w:rsidR="001E2942" w:rsidRPr="004C5271" w:rsidRDefault="0070426A" w:rsidP="0070426A">
      <w:pPr>
        <w:pStyle w:val="NormalNumberedTextTLRI"/>
        <w:rPr>
          <w:rFonts w:asciiTheme="majorBidi" w:hAnsiTheme="majorBidi" w:cstheme="majorBidi"/>
          <w:lang w:val="en-AU"/>
        </w:rPr>
      </w:pPr>
      <w:r w:rsidRPr="004C5271">
        <w:rPr>
          <w:rFonts w:asciiTheme="majorBidi" w:hAnsiTheme="majorBidi" w:cstheme="majorBidi"/>
          <w:lang w:val="en-AU"/>
        </w:rPr>
        <w:t xml:space="preserve">It is outside of the Institute’s terms of reference to consider or make recommendations about the provisions of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generally, including who is eligible to bring a claim. The reference </w:t>
      </w:r>
      <w:r w:rsidR="000F6384" w:rsidRPr="004C5271">
        <w:rPr>
          <w:rFonts w:asciiTheme="majorBidi" w:hAnsiTheme="majorBidi" w:cstheme="majorBidi"/>
          <w:lang w:val="en-AU"/>
        </w:rPr>
        <w:t>is</w:t>
      </w:r>
      <w:r w:rsidRPr="004C5271">
        <w:rPr>
          <w:rFonts w:asciiTheme="majorBidi" w:hAnsiTheme="majorBidi" w:cstheme="majorBidi"/>
          <w:lang w:val="en-AU"/>
        </w:rPr>
        <w:t xml:space="preserve"> limited to the question of whether notional estate legislation should be introduced. </w:t>
      </w:r>
      <w:r w:rsidR="00682CE3" w:rsidRPr="004C5271">
        <w:rPr>
          <w:rFonts w:asciiTheme="majorBidi" w:hAnsiTheme="majorBidi" w:cstheme="majorBidi"/>
          <w:lang w:val="en-AU"/>
        </w:rPr>
        <w:t>T</w:t>
      </w:r>
      <w:r w:rsidRPr="004C5271">
        <w:rPr>
          <w:rFonts w:asciiTheme="majorBidi" w:hAnsiTheme="majorBidi" w:cstheme="majorBidi"/>
          <w:lang w:val="en-AU"/>
        </w:rPr>
        <w:t>he matters are distinct with the question of whether notional estate legislation ought to be introduced being quite separate to the question of who ought to be able to make a claim.</w:t>
      </w:r>
      <w:r w:rsidR="001E2942" w:rsidRPr="004C5271">
        <w:rPr>
          <w:rStyle w:val="FootnoteReference"/>
          <w:rFonts w:asciiTheme="majorBidi" w:hAnsiTheme="majorBidi" w:cstheme="majorBidi"/>
          <w:lang w:val="en-AU"/>
        </w:rPr>
        <w:footnoteReference w:id="374"/>
      </w:r>
    </w:p>
    <w:p w14:paraId="2490871C" w14:textId="42BC6FC4" w:rsidR="00B41102" w:rsidRPr="004C5271" w:rsidRDefault="0070426A" w:rsidP="00BC735E">
      <w:pPr>
        <w:pStyle w:val="NormalNumberedTextTLRI"/>
        <w:rPr>
          <w:rFonts w:asciiTheme="majorBidi" w:hAnsiTheme="majorBidi" w:cstheme="majorBidi"/>
          <w:sz w:val="20"/>
          <w:lang w:val="en-AU"/>
        </w:rPr>
      </w:pPr>
      <w:r w:rsidRPr="004C5271">
        <w:rPr>
          <w:rFonts w:asciiTheme="majorBidi" w:hAnsiTheme="majorBidi" w:cstheme="majorBidi"/>
          <w:lang w:val="en-AU"/>
        </w:rPr>
        <w:t>Notional estate legislation equally benefits children</w:t>
      </w:r>
      <w:r w:rsidR="007D2222" w:rsidRPr="004C5271">
        <w:rPr>
          <w:rFonts w:asciiTheme="majorBidi" w:hAnsiTheme="majorBidi" w:cstheme="majorBidi"/>
          <w:lang w:val="en-AU"/>
        </w:rPr>
        <w:t xml:space="preserve"> who are minors</w:t>
      </w:r>
      <w:r w:rsidRPr="004C5271">
        <w:rPr>
          <w:rFonts w:asciiTheme="majorBidi" w:hAnsiTheme="majorBidi" w:cstheme="majorBidi"/>
          <w:lang w:val="en-AU"/>
        </w:rPr>
        <w:t xml:space="preserve">, financially dependent children or children with special needs. It also </w:t>
      </w:r>
      <w:r w:rsidR="001D1838" w:rsidRPr="004C5271">
        <w:rPr>
          <w:rFonts w:asciiTheme="majorBidi" w:hAnsiTheme="majorBidi" w:cstheme="majorBidi"/>
          <w:lang w:val="en-AU"/>
        </w:rPr>
        <w:t>benefits</w:t>
      </w:r>
      <w:r w:rsidRPr="004C5271">
        <w:rPr>
          <w:rFonts w:asciiTheme="majorBidi" w:hAnsiTheme="majorBidi" w:cstheme="majorBidi"/>
          <w:lang w:val="en-AU"/>
        </w:rPr>
        <w:t xml:space="preserve"> financially dependent or interdependent spouses. </w:t>
      </w:r>
      <w:r w:rsidR="00682CE3" w:rsidRPr="004C5271">
        <w:rPr>
          <w:rFonts w:asciiTheme="majorBidi" w:hAnsiTheme="majorBidi" w:cstheme="majorBidi"/>
          <w:lang w:val="en-AU"/>
        </w:rPr>
        <w:t>One submission</w:t>
      </w:r>
      <w:r w:rsidR="00682CE3" w:rsidRPr="004C5271">
        <w:rPr>
          <w:rStyle w:val="FootnoteReference"/>
          <w:rFonts w:asciiTheme="majorBidi" w:hAnsiTheme="majorBidi" w:cstheme="majorBidi"/>
          <w:lang w:val="en-AU"/>
        </w:rPr>
        <w:footnoteReference w:id="375"/>
      </w:r>
      <w:r w:rsidR="00682CE3" w:rsidRPr="004C5271">
        <w:rPr>
          <w:rFonts w:asciiTheme="majorBidi" w:hAnsiTheme="majorBidi" w:cstheme="majorBidi"/>
          <w:lang w:val="en-AU"/>
        </w:rPr>
        <w:t xml:space="preserve"> provided </w:t>
      </w:r>
      <w:r w:rsidR="00682CE3" w:rsidRPr="004C5271">
        <w:rPr>
          <w:rFonts w:asciiTheme="majorBidi" w:hAnsiTheme="majorBidi" w:cstheme="majorBidi"/>
          <w:lang w:val="en-AU"/>
        </w:rPr>
        <w:lastRenderedPageBreak/>
        <w:t xml:space="preserve">an example where notional estate legislation could have benefited minor children. </w:t>
      </w:r>
      <w:r w:rsidR="007C36A6" w:rsidRPr="004C5271">
        <w:rPr>
          <w:rFonts w:asciiTheme="majorBidi" w:hAnsiTheme="majorBidi" w:cstheme="majorBidi"/>
          <w:lang w:val="en-AU"/>
        </w:rPr>
        <w:t>Limiting discussion to</w:t>
      </w:r>
      <w:r w:rsidR="001D1838" w:rsidRPr="004C5271">
        <w:rPr>
          <w:rFonts w:asciiTheme="majorBidi" w:hAnsiTheme="majorBidi" w:cstheme="majorBidi"/>
          <w:lang w:val="en-AU"/>
        </w:rPr>
        <w:t xml:space="preserve"> adult children claimants fails to consider the broad range of applicants </w:t>
      </w:r>
      <w:r w:rsidR="007D2222" w:rsidRPr="004C5271">
        <w:rPr>
          <w:rFonts w:asciiTheme="majorBidi" w:hAnsiTheme="majorBidi" w:cstheme="majorBidi"/>
          <w:lang w:val="en-AU"/>
        </w:rPr>
        <w:t xml:space="preserve">to whom </w:t>
      </w:r>
      <w:r w:rsidR="001D1838" w:rsidRPr="004C5271">
        <w:rPr>
          <w:rFonts w:asciiTheme="majorBidi" w:hAnsiTheme="majorBidi" w:cstheme="majorBidi"/>
          <w:lang w:val="en-AU"/>
        </w:rPr>
        <w:t>notional estate provisions would extend.</w:t>
      </w:r>
      <w:r w:rsidR="00563E3A" w:rsidRPr="004C5271">
        <w:rPr>
          <w:rFonts w:asciiTheme="majorBidi" w:hAnsiTheme="majorBidi" w:cstheme="majorBidi"/>
          <w:lang w:val="en-AU"/>
        </w:rPr>
        <w:t xml:space="preserve"> </w:t>
      </w:r>
    </w:p>
    <w:p w14:paraId="1F6DBC81" w14:textId="278B5C34" w:rsidR="009F3D4D" w:rsidRPr="004C5271" w:rsidRDefault="009F3D4D" w:rsidP="00AE2B8C">
      <w:pPr>
        <w:pStyle w:val="Sub-HeadingTLRI"/>
      </w:pPr>
      <w:r w:rsidRPr="004C5271">
        <w:t>Undermining the intention of joint tenancy ownership</w:t>
      </w:r>
      <w:r w:rsidR="00244AFB" w:rsidRPr="004C5271">
        <w:t>s,</w:t>
      </w:r>
      <w:r w:rsidRPr="004C5271">
        <w:t xml:space="preserve"> binding death benefit nominations</w:t>
      </w:r>
      <w:r w:rsidR="00244AFB" w:rsidRPr="004C5271">
        <w:t xml:space="preserve"> and trusts</w:t>
      </w:r>
    </w:p>
    <w:p w14:paraId="4FE55743" w14:textId="71FFE4A4" w:rsidR="009F3D4D" w:rsidRPr="004C5271" w:rsidRDefault="009F3D4D" w:rsidP="009F3D4D">
      <w:pPr>
        <w:pStyle w:val="NormalNumberedTextTLRI"/>
        <w:rPr>
          <w:rFonts w:asciiTheme="majorBidi" w:hAnsiTheme="majorBidi" w:cstheme="majorBidi"/>
          <w:lang w:val="en-AU"/>
        </w:rPr>
      </w:pPr>
      <w:bookmarkStart w:id="170" w:name="_Ref13504565"/>
      <w:r w:rsidRPr="004C5271">
        <w:rPr>
          <w:rFonts w:asciiTheme="majorBidi" w:hAnsiTheme="majorBidi" w:cstheme="majorBidi"/>
          <w:lang w:val="en-AU"/>
        </w:rPr>
        <w:t xml:space="preserve">One of the fundamental features of joint tenancy is the doctrine of survivorship </w:t>
      </w:r>
      <w:r w:rsidR="006362D4" w:rsidRPr="004C5271">
        <w:rPr>
          <w:rFonts w:asciiTheme="majorBidi" w:hAnsiTheme="majorBidi" w:cstheme="majorBidi"/>
          <w:lang w:val="en-AU"/>
        </w:rPr>
        <w:t>—</w:t>
      </w:r>
      <w:r w:rsidRPr="004C5271">
        <w:rPr>
          <w:rFonts w:asciiTheme="majorBidi" w:hAnsiTheme="majorBidi" w:cstheme="majorBidi"/>
          <w:lang w:val="en-AU"/>
        </w:rPr>
        <w:t xml:space="preserve"> that a surviving co-owner automatically receives a </w:t>
      </w:r>
      <w:r w:rsidR="00637C95" w:rsidRPr="004C5271">
        <w:rPr>
          <w:rFonts w:asciiTheme="majorBidi" w:hAnsiTheme="majorBidi" w:cstheme="majorBidi"/>
          <w:lang w:val="en-AU"/>
        </w:rPr>
        <w:t xml:space="preserve">joint tenancy </w:t>
      </w:r>
      <w:r w:rsidRPr="004C5271">
        <w:rPr>
          <w:rFonts w:asciiTheme="majorBidi" w:hAnsiTheme="majorBidi" w:cstheme="majorBidi"/>
          <w:lang w:val="en-AU"/>
        </w:rPr>
        <w:t xml:space="preserve">property on the death of their co-owner. </w:t>
      </w:r>
      <w:r w:rsidR="008102CF" w:rsidRPr="004C5271">
        <w:rPr>
          <w:rFonts w:asciiTheme="majorBidi" w:hAnsiTheme="majorBidi" w:cstheme="majorBidi"/>
          <w:lang w:val="en-AU"/>
        </w:rPr>
        <w:t>This provides certainty for c</w:t>
      </w:r>
      <w:r w:rsidR="00637C95" w:rsidRPr="004C5271">
        <w:rPr>
          <w:rFonts w:asciiTheme="majorBidi" w:hAnsiTheme="majorBidi" w:cstheme="majorBidi"/>
          <w:lang w:val="en-AU"/>
        </w:rPr>
        <w:t xml:space="preserve">o-owners </w:t>
      </w:r>
      <w:r w:rsidRPr="004C5271">
        <w:rPr>
          <w:rFonts w:asciiTheme="majorBidi" w:hAnsiTheme="majorBidi" w:cstheme="majorBidi"/>
          <w:lang w:val="en-AU"/>
        </w:rPr>
        <w:t xml:space="preserve">that the survivor will inherit </w:t>
      </w:r>
      <w:r w:rsidR="008102CF" w:rsidRPr="004C5271">
        <w:rPr>
          <w:rFonts w:asciiTheme="majorBidi" w:hAnsiTheme="majorBidi" w:cstheme="majorBidi"/>
          <w:lang w:val="en-AU"/>
        </w:rPr>
        <w:t>a</w:t>
      </w:r>
      <w:r w:rsidRPr="004C5271">
        <w:rPr>
          <w:rFonts w:asciiTheme="majorBidi" w:hAnsiTheme="majorBidi" w:cstheme="majorBidi"/>
          <w:lang w:val="en-AU"/>
        </w:rPr>
        <w:t xml:space="preserve"> property, irrespective of the terms of </w:t>
      </w:r>
      <w:r w:rsidR="00637C95" w:rsidRPr="004C5271">
        <w:rPr>
          <w:rFonts w:asciiTheme="majorBidi" w:hAnsiTheme="majorBidi" w:cstheme="majorBidi"/>
          <w:lang w:val="en-AU"/>
        </w:rPr>
        <w:t>each other’s</w:t>
      </w:r>
      <w:r w:rsidRPr="004C5271">
        <w:rPr>
          <w:rFonts w:asciiTheme="majorBidi" w:hAnsiTheme="majorBidi" w:cstheme="majorBidi"/>
          <w:lang w:val="en-AU"/>
        </w:rPr>
        <w:t xml:space="preserve"> will</w:t>
      </w:r>
      <w:r w:rsidR="00637C95" w:rsidRPr="004C5271">
        <w:rPr>
          <w:rFonts w:asciiTheme="majorBidi" w:hAnsiTheme="majorBidi" w:cstheme="majorBidi"/>
          <w:lang w:val="en-AU"/>
        </w:rPr>
        <w:t>s</w:t>
      </w:r>
      <w:r w:rsidRPr="004C5271">
        <w:rPr>
          <w:rFonts w:asciiTheme="majorBidi" w:hAnsiTheme="majorBidi" w:cstheme="majorBidi"/>
          <w:lang w:val="en-AU"/>
        </w:rPr>
        <w:t xml:space="preserve">, and free from </w:t>
      </w:r>
      <w:r w:rsidR="00637C95" w:rsidRPr="004C5271">
        <w:rPr>
          <w:rFonts w:asciiTheme="majorBidi" w:hAnsiTheme="majorBidi" w:cstheme="majorBidi"/>
          <w:lang w:val="en-AU"/>
        </w:rPr>
        <w:t xml:space="preserve">the </w:t>
      </w:r>
      <w:r w:rsidRPr="004C5271">
        <w:rPr>
          <w:rFonts w:asciiTheme="majorBidi" w:hAnsiTheme="majorBidi" w:cstheme="majorBidi"/>
          <w:lang w:val="en-AU"/>
        </w:rPr>
        <w:t xml:space="preserve">risk of a family provision challenge. </w:t>
      </w:r>
      <w:r w:rsidR="00A44626" w:rsidRPr="004C5271">
        <w:rPr>
          <w:rFonts w:asciiTheme="majorBidi" w:hAnsiTheme="majorBidi" w:cstheme="majorBidi"/>
          <w:lang w:val="en-AU"/>
        </w:rPr>
        <w:t>One submission</w:t>
      </w:r>
      <w:r w:rsidR="00A44626" w:rsidRPr="004C5271">
        <w:rPr>
          <w:rStyle w:val="FootnoteReference"/>
          <w:rFonts w:asciiTheme="majorBidi" w:hAnsiTheme="majorBidi" w:cstheme="majorBidi"/>
          <w:lang w:val="en-AU"/>
        </w:rPr>
        <w:footnoteReference w:id="376"/>
      </w:r>
      <w:r w:rsidR="00A44626" w:rsidRPr="004C5271">
        <w:rPr>
          <w:rFonts w:asciiTheme="majorBidi" w:hAnsiTheme="majorBidi" w:cstheme="majorBidi"/>
          <w:lang w:val="en-AU"/>
        </w:rPr>
        <w:t xml:space="preserve"> </w:t>
      </w:r>
      <w:r w:rsidRPr="004C5271">
        <w:rPr>
          <w:rFonts w:asciiTheme="majorBidi" w:hAnsiTheme="majorBidi" w:cstheme="majorBidi"/>
          <w:lang w:val="en-AU"/>
        </w:rPr>
        <w:t>noted that introduction of notional estate legislation has the potential to defeat this arrangement</w:t>
      </w:r>
      <w:r w:rsidR="00B945F6" w:rsidRPr="004C5271">
        <w:rPr>
          <w:rFonts w:asciiTheme="majorBidi" w:hAnsiTheme="majorBidi" w:cstheme="majorBidi"/>
          <w:lang w:val="en-AU"/>
        </w:rPr>
        <w:t>:</w:t>
      </w:r>
      <w:bookmarkEnd w:id="170"/>
    </w:p>
    <w:p w14:paraId="03EB95C5" w14:textId="406EF00F" w:rsidR="00CB2FB1" w:rsidRPr="004C5271" w:rsidRDefault="00CB2FB1" w:rsidP="00716078">
      <w:pPr>
        <w:pStyle w:val="QuoteTLRI"/>
        <w:rPr>
          <w:rFonts w:asciiTheme="majorBidi" w:hAnsiTheme="majorBidi" w:cstheme="majorBidi"/>
        </w:rPr>
      </w:pPr>
      <w:r w:rsidRPr="004C5271">
        <w:rPr>
          <w:rFonts w:asciiTheme="majorBidi" w:hAnsiTheme="majorBidi" w:cstheme="majorBidi"/>
        </w:rPr>
        <w:t>The benefit of a joint tenancy is that a property owner need not be concerned about ownership of a property when they pass away. If these provisions were to be introduced, it is unclear what purpose joint tenancies would serve if they would be treated like a tenancy in common after death.</w:t>
      </w:r>
      <w:r w:rsidRPr="004C5271">
        <w:rPr>
          <w:rStyle w:val="FootnoteReference"/>
          <w:rFonts w:asciiTheme="majorBidi" w:hAnsiTheme="majorBidi" w:cstheme="majorBidi"/>
        </w:rPr>
        <w:footnoteReference w:id="377"/>
      </w:r>
    </w:p>
    <w:p w14:paraId="3ABA06DE" w14:textId="41E489D5" w:rsidR="0027317F" w:rsidRPr="004C5271" w:rsidRDefault="0027317F" w:rsidP="009F3D4D">
      <w:pPr>
        <w:pStyle w:val="NormalNumberedTextTLRI"/>
        <w:rPr>
          <w:rFonts w:asciiTheme="majorBidi" w:hAnsiTheme="majorBidi" w:cstheme="majorBidi"/>
          <w:lang w:val="en-AU"/>
        </w:rPr>
      </w:pPr>
      <w:r w:rsidRPr="004C5271">
        <w:rPr>
          <w:rFonts w:asciiTheme="majorBidi" w:hAnsiTheme="majorBidi" w:cstheme="majorBidi"/>
          <w:lang w:val="en-AU"/>
        </w:rPr>
        <w:t xml:space="preserve">This issue has also been considered by the </w:t>
      </w:r>
      <w:r w:rsidR="00716078" w:rsidRPr="004C5271">
        <w:rPr>
          <w:rFonts w:asciiTheme="majorBidi" w:hAnsiTheme="majorBidi" w:cstheme="majorBidi"/>
          <w:lang w:val="en-AU"/>
        </w:rPr>
        <w:t>WALRC</w:t>
      </w:r>
      <w:r w:rsidRPr="004C5271">
        <w:rPr>
          <w:rFonts w:asciiTheme="majorBidi" w:hAnsiTheme="majorBidi" w:cstheme="majorBidi"/>
          <w:lang w:val="en-AU"/>
        </w:rPr>
        <w:t xml:space="preserve"> </w:t>
      </w:r>
      <w:r w:rsidR="00716078" w:rsidRPr="004C5271">
        <w:rPr>
          <w:rFonts w:asciiTheme="majorBidi" w:hAnsiTheme="majorBidi" w:cstheme="majorBidi"/>
          <w:lang w:val="en-AU"/>
        </w:rPr>
        <w:t xml:space="preserve">which </w:t>
      </w:r>
      <w:r w:rsidRPr="004C5271">
        <w:rPr>
          <w:rFonts w:asciiTheme="majorBidi" w:hAnsiTheme="majorBidi" w:cstheme="majorBidi"/>
          <w:lang w:val="en-AU"/>
        </w:rPr>
        <w:t>commented upon the potential issues that could occur if joint tenancy property were able to be clawed back via notional estate legislation:</w:t>
      </w:r>
    </w:p>
    <w:p w14:paraId="7F7550E7" w14:textId="05A27B15" w:rsidR="0027317F" w:rsidRPr="004C5271" w:rsidRDefault="0027317F" w:rsidP="000A6C4D">
      <w:pPr>
        <w:pStyle w:val="QuoteTLRI"/>
        <w:rPr>
          <w:rFonts w:asciiTheme="majorBidi" w:hAnsiTheme="majorBidi" w:cstheme="majorBidi"/>
        </w:rPr>
      </w:pPr>
      <w:r w:rsidRPr="004C5271">
        <w:rPr>
          <w:rFonts w:asciiTheme="majorBidi" w:hAnsiTheme="majorBidi" w:cstheme="majorBidi"/>
        </w:rPr>
        <w:t>in many cases the other joint tenants will have acted in good faith in reliance upon the expectation that they could acquire the property by survivorship and that it may cause hardship to them if their vested rights are upset in order to make provision for the family of the deceased.</w:t>
      </w:r>
      <w:r w:rsidRPr="004C5271">
        <w:rPr>
          <w:rStyle w:val="FootnoteReference"/>
          <w:rFonts w:asciiTheme="majorBidi" w:hAnsiTheme="majorBidi" w:cstheme="majorBidi"/>
        </w:rPr>
        <w:footnoteReference w:id="378"/>
      </w:r>
    </w:p>
    <w:p w14:paraId="2C517A3C" w14:textId="29983C08" w:rsidR="009F3D4D" w:rsidRPr="004C5271" w:rsidRDefault="009F3D4D" w:rsidP="009F3D4D">
      <w:pPr>
        <w:pStyle w:val="NormalNumberedTextTLRI"/>
        <w:rPr>
          <w:rFonts w:asciiTheme="majorBidi" w:hAnsiTheme="majorBidi" w:cstheme="majorBidi"/>
          <w:lang w:val="en-AU"/>
        </w:rPr>
      </w:pPr>
      <w:bookmarkStart w:id="171" w:name="_Ref13493184"/>
      <w:r w:rsidRPr="004C5271">
        <w:rPr>
          <w:rFonts w:asciiTheme="majorBidi" w:hAnsiTheme="majorBidi" w:cstheme="majorBidi"/>
          <w:lang w:val="en-AU"/>
        </w:rPr>
        <w:t xml:space="preserve">A similar argument may also be made </w:t>
      </w:r>
      <w:r w:rsidR="00B945F6" w:rsidRPr="004C5271">
        <w:rPr>
          <w:rFonts w:asciiTheme="majorBidi" w:hAnsiTheme="majorBidi" w:cstheme="majorBidi"/>
          <w:lang w:val="en-AU"/>
        </w:rPr>
        <w:t>about</w:t>
      </w:r>
      <w:r w:rsidRPr="004C5271">
        <w:rPr>
          <w:rFonts w:asciiTheme="majorBidi" w:hAnsiTheme="majorBidi" w:cstheme="majorBidi"/>
          <w:lang w:val="en-AU"/>
        </w:rPr>
        <w:t xml:space="preserve"> the</w:t>
      </w:r>
      <w:r w:rsidR="007E6AD0" w:rsidRPr="004C5271">
        <w:rPr>
          <w:rFonts w:asciiTheme="majorBidi" w:hAnsiTheme="majorBidi" w:cstheme="majorBidi"/>
          <w:lang w:val="en-AU"/>
        </w:rPr>
        <w:t xml:space="preserve"> application of notional estate law to superannuation</w:t>
      </w:r>
      <w:r w:rsidRPr="004C5271">
        <w:rPr>
          <w:rFonts w:asciiTheme="majorBidi" w:hAnsiTheme="majorBidi" w:cstheme="majorBidi"/>
          <w:lang w:val="en-AU"/>
        </w:rPr>
        <w:t xml:space="preserve">. </w:t>
      </w:r>
      <w:r w:rsidR="00637C95" w:rsidRPr="004C5271">
        <w:rPr>
          <w:rFonts w:asciiTheme="majorBidi" w:hAnsiTheme="majorBidi" w:cstheme="majorBidi"/>
          <w:lang w:val="en-AU"/>
        </w:rPr>
        <w:t xml:space="preserve">Superannuation legislation enables members of </w:t>
      </w:r>
      <w:r w:rsidR="00637C95" w:rsidRPr="004C5271">
        <w:rPr>
          <w:rFonts w:asciiTheme="majorBidi" w:hAnsiTheme="majorBidi" w:cstheme="majorBidi"/>
          <w:lang w:val="en-AU"/>
        </w:rPr>
        <w:lastRenderedPageBreak/>
        <w:t xml:space="preserve">super funds to execute a </w:t>
      </w:r>
      <w:r w:rsidR="007E6AD0" w:rsidRPr="004C5271">
        <w:rPr>
          <w:rFonts w:asciiTheme="majorBidi" w:hAnsiTheme="majorBidi" w:cstheme="majorBidi"/>
          <w:lang w:val="en-AU"/>
        </w:rPr>
        <w:t>binding death benefit nomination (‘</w:t>
      </w:r>
      <w:r w:rsidR="00637C95" w:rsidRPr="004C5271">
        <w:rPr>
          <w:rFonts w:asciiTheme="majorBidi" w:hAnsiTheme="majorBidi" w:cstheme="majorBidi"/>
          <w:lang w:val="en-AU"/>
        </w:rPr>
        <w:t>BDBN</w:t>
      </w:r>
      <w:r w:rsidR="007E6AD0" w:rsidRPr="004C5271">
        <w:rPr>
          <w:rFonts w:asciiTheme="majorBidi" w:hAnsiTheme="majorBidi" w:cstheme="majorBidi"/>
          <w:lang w:val="en-AU"/>
        </w:rPr>
        <w:t>’)</w:t>
      </w:r>
      <w:r w:rsidR="00637C95" w:rsidRPr="004C5271">
        <w:rPr>
          <w:rFonts w:asciiTheme="majorBidi" w:hAnsiTheme="majorBidi" w:cstheme="majorBidi"/>
          <w:lang w:val="en-AU"/>
        </w:rPr>
        <w:t xml:space="preserve"> which directs the payment of their superannuation </w:t>
      </w:r>
      <w:r w:rsidR="00B945F6" w:rsidRPr="004C5271">
        <w:rPr>
          <w:rFonts w:asciiTheme="majorBidi" w:hAnsiTheme="majorBidi" w:cstheme="majorBidi"/>
          <w:lang w:val="en-AU"/>
        </w:rPr>
        <w:t xml:space="preserve">after </w:t>
      </w:r>
      <w:r w:rsidR="00637C95" w:rsidRPr="004C5271">
        <w:rPr>
          <w:rFonts w:asciiTheme="majorBidi" w:hAnsiTheme="majorBidi" w:cstheme="majorBidi"/>
          <w:lang w:val="en-AU"/>
        </w:rPr>
        <w:t>death.</w:t>
      </w:r>
      <w:r w:rsidR="00637C95" w:rsidRPr="004C5271">
        <w:rPr>
          <w:rStyle w:val="FootnoteReference"/>
          <w:rFonts w:asciiTheme="majorBidi" w:hAnsiTheme="majorBidi" w:cstheme="majorBidi"/>
          <w:lang w:val="en-AU"/>
        </w:rPr>
        <w:footnoteReference w:id="379"/>
      </w:r>
      <w:r w:rsidR="00637C95" w:rsidRPr="004C5271">
        <w:rPr>
          <w:rFonts w:asciiTheme="majorBidi" w:hAnsiTheme="majorBidi" w:cstheme="majorBidi"/>
          <w:lang w:val="en-AU"/>
        </w:rPr>
        <w:t xml:space="preserve"> If the rules of the fund permit use of a BDBN, and the nomination is completed in accordance with legislation and any particular rules of the fund, then the BDBN overrides any default discretion that the trustee might otherwise have to decide who receive</w:t>
      </w:r>
      <w:r w:rsidR="008102CF" w:rsidRPr="004C5271">
        <w:rPr>
          <w:rFonts w:asciiTheme="majorBidi" w:hAnsiTheme="majorBidi" w:cstheme="majorBidi"/>
          <w:lang w:val="en-AU"/>
        </w:rPr>
        <w:t>s</w:t>
      </w:r>
      <w:r w:rsidR="00637C95" w:rsidRPr="004C5271">
        <w:rPr>
          <w:rFonts w:asciiTheme="majorBidi" w:hAnsiTheme="majorBidi" w:cstheme="majorBidi"/>
          <w:lang w:val="en-AU"/>
        </w:rPr>
        <w:t xml:space="preserve"> a member’s benefits after their death. </w:t>
      </w:r>
      <w:r w:rsidR="008102CF" w:rsidRPr="004C5271">
        <w:rPr>
          <w:rFonts w:asciiTheme="majorBidi" w:hAnsiTheme="majorBidi" w:cstheme="majorBidi"/>
          <w:lang w:val="en-AU"/>
        </w:rPr>
        <w:t>The trustees are unable to override a valid</w:t>
      </w:r>
      <w:r w:rsidR="00637C95" w:rsidRPr="004C5271">
        <w:rPr>
          <w:rFonts w:asciiTheme="majorBidi" w:hAnsiTheme="majorBidi" w:cstheme="majorBidi"/>
          <w:lang w:val="en-AU"/>
        </w:rPr>
        <w:t xml:space="preserve"> BDBN and </w:t>
      </w:r>
      <w:r w:rsidR="008102CF" w:rsidRPr="004C5271">
        <w:rPr>
          <w:rFonts w:asciiTheme="majorBidi" w:hAnsiTheme="majorBidi" w:cstheme="majorBidi"/>
          <w:lang w:val="en-AU"/>
        </w:rPr>
        <w:t xml:space="preserve">it </w:t>
      </w:r>
      <w:r w:rsidR="00637C95" w:rsidRPr="004C5271">
        <w:rPr>
          <w:rFonts w:asciiTheme="majorBidi" w:hAnsiTheme="majorBidi" w:cstheme="majorBidi"/>
          <w:lang w:val="en-AU"/>
        </w:rPr>
        <w:t xml:space="preserve">may not </w:t>
      </w:r>
      <w:r w:rsidR="00B945F6" w:rsidRPr="004C5271">
        <w:rPr>
          <w:rFonts w:asciiTheme="majorBidi" w:hAnsiTheme="majorBidi" w:cstheme="majorBidi"/>
          <w:lang w:val="en-AU"/>
        </w:rPr>
        <w:t xml:space="preserve">be </w:t>
      </w:r>
      <w:r w:rsidR="00637C95" w:rsidRPr="004C5271">
        <w:rPr>
          <w:rFonts w:asciiTheme="majorBidi" w:hAnsiTheme="majorBidi" w:cstheme="majorBidi"/>
          <w:lang w:val="en-AU"/>
        </w:rPr>
        <w:t>challenged by family members. Notional estate legislation has the poten</w:t>
      </w:r>
      <w:r w:rsidR="003D67D0" w:rsidRPr="004C5271">
        <w:rPr>
          <w:rFonts w:asciiTheme="majorBidi" w:hAnsiTheme="majorBidi" w:cstheme="majorBidi"/>
          <w:lang w:val="en-AU"/>
        </w:rPr>
        <w:t xml:space="preserve">tial to alter this arrangement by effectively providing eligible claimants with the opportunity to challenge a person’s BDBN in order to seek provision from </w:t>
      </w:r>
      <w:r w:rsidR="00B945F6" w:rsidRPr="004C5271">
        <w:rPr>
          <w:rFonts w:asciiTheme="majorBidi" w:hAnsiTheme="majorBidi" w:cstheme="majorBidi"/>
          <w:lang w:val="en-AU"/>
        </w:rPr>
        <w:t>those funds</w:t>
      </w:r>
      <w:r w:rsidR="003D67D0" w:rsidRPr="004C5271">
        <w:rPr>
          <w:rFonts w:asciiTheme="majorBidi" w:hAnsiTheme="majorBidi" w:cstheme="majorBidi"/>
          <w:lang w:val="en-AU"/>
        </w:rPr>
        <w:t xml:space="preserve">. </w:t>
      </w:r>
      <w:r w:rsidR="00CC34E7" w:rsidRPr="004C5271">
        <w:rPr>
          <w:rFonts w:asciiTheme="majorBidi" w:hAnsiTheme="majorBidi" w:cstheme="majorBidi"/>
          <w:lang w:val="en-AU"/>
        </w:rPr>
        <w:t>Ann Hamilton commented</w:t>
      </w:r>
      <w:r w:rsidR="004906E3" w:rsidRPr="004C5271">
        <w:rPr>
          <w:rFonts w:asciiTheme="majorBidi" w:hAnsiTheme="majorBidi" w:cstheme="majorBidi"/>
          <w:lang w:val="en-AU"/>
        </w:rPr>
        <w:t xml:space="preserve"> upon </w:t>
      </w:r>
      <w:r w:rsidR="00B945F6" w:rsidRPr="004C5271">
        <w:rPr>
          <w:rFonts w:asciiTheme="majorBidi" w:hAnsiTheme="majorBidi" w:cstheme="majorBidi"/>
          <w:lang w:val="en-AU"/>
        </w:rPr>
        <w:t xml:space="preserve">the interaction between </w:t>
      </w:r>
      <w:r w:rsidR="000A6C4D" w:rsidRPr="004C5271">
        <w:rPr>
          <w:rFonts w:asciiTheme="majorBidi" w:hAnsiTheme="majorBidi" w:cstheme="majorBidi"/>
          <w:lang w:val="en-AU"/>
        </w:rPr>
        <w:t>s</w:t>
      </w:r>
      <w:r w:rsidR="00B945F6" w:rsidRPr="004C5271">
        <w:rPr>
          <w:rFonts w:asciiTheme="majorBidi" w:hAnsiTheme="majorBidi" w:cstheme="majorBidi"/>
          <w:lang w:val="en-AU"/>
        </w:rPr>
        <w:t xml:space="preserve">tate and federal laws </w:t>
      </w:r>
      <w:r w:rsidR="004906E3" w:rsidRPr="004C5271">
        <w:rPr>
          <w:rFonts w:asciiTheme="majorBidi" w:hAnsiTheme="majorBidi" w:cstheme="majorBidi"/>
          <w:lang w:val="en-AU"/>
        </w:rPr>
        <w:t>in her submission</w:t>
      </w:r>
      <w:r w:rsidR="00CC34E7" w:rsidRPr="004C5271">
        <w:rPr>
          <w:rFonts w:asciiTheme="majorBidi" w:hAnsiTheme="majorBidi" w:cstheme="majorBidi"/>
          <w:lang w:val="en-AU"/>
        </w:rPr>
        <w:t>:</w:t>
      </w:r>
      <w:bookmarkEnd w:id="171"/>
    </w:p>
    <w:p w14:paraId="23692F06" w14:textId="5043CA22" w:rsidR="00CC34E7" w:rsidRPr="004C5271" w:rsidRDefault="00CC34E7" w:rsidP="000A6C4D">
      <w:pPr>
        <w:pStyle w:val="QuoteTLRI"/>
        <w:rPr>
          <w:rFonts w:asciiTheme="majorBidi" w:hAnsiTheme="majorBidi" w:cstheme="majorBidi"/>
        </w:rPr>
      </w:pPr>
      <w:r w:rsidRPr="004C5271">
        <w:rPr>
          <w:rFonts w:asciiTheme="majorBidi" w:hAnsiTheme="majorBidi" w:cstheme="majorBidi"/>
        </w:rPr>
        <w:t>I am unclear how the legislation interacts with the provisions of the SIS Act and regulations concerning binding death benefit nominations</w:t>
      </w:r>
      <w:r w:rsidR="000A6C4D" w:rsidRPr="004C5271">
        <w:rPr>
          <w:rFonts w:asciiTheme="majorBidi" w:hAnsiTheme="majorBidi" w:cstheme="majorBidi"/>
        </w:rPr>
        <w:t xml:space="preserve"> </w:t>
      </w:r>
      <w:r w:rsidR="00B945F6" w:rsidRPr="004C5271">
        <w:rPr>
          <w:rFonts w:asciiTheme="majorBidi" w:hAnsiTheme="majorBidi" w:cstheme="majorBidi"/>
        </w:rPr>
        <w:t>..</w:t>
      </w:r>
      <w:r w:rsidRPr="004C5271">
        <w:rPr>
          <w:rFonts w:asciiTheme="majorBidi" w:hAnsiTheme="majorBidi" w:cstheme="majorBidi"/>
        </w:rPr>
        <w:t>. It seems a significant inroad into the decision making of a fund member for the death benefit (contrary to the nomination) to become part of a notional estate and so available to claimants the member did not wish to benefit.</w:t>
      </w:r>
    </w:p>
    <w:p w14:paraId="50465363" w14:textId="29E73DB5" w:rsidR="003D67D0" w:rsidRPr="004C5271" w:rsidRDefault="004906E3" w:rsidP="00E0080B">
      <w:pPr>
        <w:pStyle w:val="NormalNumberedTextTLRI"/>
        <w:rPr>
          <w:rFonts w:asciiTheme="majorBidi" w:hAnsiTheme="majorBidi" w:cstheme="majorBidi"/>
          <w:lang w:val="en-AU"/>
        </w:rPr>
      </w:pPr>
      <w:bookmarkStart w:id="172" w:name="_Ref13493438"/>
      <w:r w:rsidRPr="004C5271">
        <w:rPr>
          <w:rFonts w:asciiTheme="majorBidi" w:hAnsiTheme="majorBidi" w:cstheme="majorBidi"/>
          <w:lang w:val="en-AU"/>
        </w:rPr>
        <w:t xml:space="preserve">Ms Hamilton expressed similar concerns about the potential </w:t>
      </w:r>
      <w:r w:rsidR="00B945F6" w:rsidRPr="004C5271">
        <w:rPr>
          <w:rFonts w:asciiTheme="majorBidi" w:hAnsiTheme="majorBidi" w:cstheme="majorBidi"/>
          <w:lang w:val="en-AU"/>
        </w:rPr>
        <w:t xml:space="preserve">impact </w:t>
      </w:r>
      <w:r w:rsidRPr="004C5271">
        <w:rPr>
          <w:rFonts w:asciiTheme="majorBidi" w:hAnsiTheme="majorBidi" w:cstheme="majorBidi"/>
          <w:lang w:val="en-AU"/>
        </w:rPr>
        <w:t xml:space="preserve">upon trusts. She commented that notional estate provisions would pose </w:t>
      </w:r>
      <w:r w:rsidR="000A6C4D" w:rsidRPr="004C5271">
        <w:rPr>
          <w:rFonts w:asciiTheme="majorBidi" w:hAnsiTheme="majorBidi" w:cstheme="majorBidi"/>
          <w:lang w:val="en-AU"/>
        </w:rPr>
        <w:t>‘</w:t>
      </w:r>
      <w:r w:rsidR="00F97D83" w:rsidRPr="004C5271">
        <w:rPr>
          <w:rFonts w:asciiTheme="majorBidi" w:hAnsiTheme="majorBidi" w:cstheme="majorBidi"/>
          <w:lang w:val="en-AU"/>
        </w:rPr>
        <w:t>an unacceptable intrusion into a trust that was likely established for the benefit of a wide range of beneficiaries</w:t>
      </w:r>
      <w:r w:rsidR="000A6C4D" w:rsidRPr="004C5271">
        <w:rPr>
          <w:rFonts w:asciiTheme="majorBidi" w:hAnsiTheme="majorBidi" w:cstheme="majorBidi"/>
          <w:lang w:val="en-AU"/>
        </w:rPr>
        <w:t>’</w:t>
      </w:r>
      <w:r w:rsidR="00F97D83" w:rsidRPr="004C5271">
        <w:rPr>
          <w:rFonts w:asciiTheme="majorBidi" w:hAnsiTheme="majorBidi" w:cstheme="majorBidi"/>
          <w:lang w:val="en-AU"/>
        </w:rPr>
        <w:t xml:space="preserve"> and an </w:t>
      </w:r>
      <w:r w:rsidR="000A6C4D" w:rsidRPr="004C5271">
        <w:rPr>
          <w:rFonts w:asciiTheme="majorBidi" w:hAnsiTheme="majorBidi" w:cstheme="majorBidi"/>
          <w:lang w:val="en-AU"/>
        </w:rPr>
        <w:t>‘</w:t>
      </w:r>
      <w:r w:rsidR="00F97D83" w:rsidRPr="004C5271">
        <w:rPr>
          <w:rFonts w:asciiTheme="majorBidi" w:hAnsiTheme="majorBidi" w:cstheme="majorBidi"/>
          <w:lang w:val="en-AU"/>
        </w:rPr>
        <w:t>unacceptable intrusion into</w:t>
      </w:r>
      <w:r w:rsidR="000A6C4D" w:rsidRPr="004C5271">
        <w:rPr>
          <w:rFonts w:asciiTheme="majorBidi" w:hAnsiTheme="majorBidi" w:cstheme="majorBidi"/>
          <w:lang w:val="en-AU"/>
        </w:rPr>
        <w:t xml:space="preserve"> </w:t>
      </w:r>
      <w:r w:rsidR="00F97D83" w:rsidRPr="004C5271">
        <w:rPr>
          <w:rFonts w:asciiTheme="majorBidi" w:hAnsiTheme="majorBidi" w:cstheme="majorBidi"/>
          <w:lang w:val="en-AU"/>
        </w:rPr>
        <w:t>… the rights of beneficiaries.</w:t>
      </w:r>
      <w:r w:rsidR="000A6C4D" w:rsidRPr="004C5271">
        <w:rPr>
          <w:rFonts w:asciiTheme="majorBidi" w:hAnsiTheme="majorBidi" w:cstheme="majorBidi"/>
          <w:lang w:val="en-AU"/>
        </w:rPr>
        <w:t>’</w:t>
      </w:r>
      <w:r w:rsidRPr="004C5271">
        <w:rPr>
          <w:rFonts w:asciiTheme="majorBidi" w:hAnsiTheme="majorBidi" w:cstheme="majorBidi"/>
          <w:lang w:val="en-AU"/>
        </w:rPr>
        <w:t xml:space="preserve"> </w:t>
      </w:r>
      <w:r w:rsidR="00EF676A" w:rsidRPr="004C5271">
        <w:rPr>
          <w:rFonts w:asciiTheme="majorBidi" w:hAnsiTheme="majorBidi" w:cstheme="majorBidi"/>
          <w:lang w:val="en-AU"/>
        </w:rPr>
        <w:t>Four</w:t>
      </w:r>
      <w:r w:rsidR="00E0080B" w:rsidRPr="004C5271">
        <w:rPr>
          <w:rFonts w:asciiTheme="majorBidi" w:hAnsiTheme="majorBidi" w:cstheme="majorBidi"/>
          <w:lang w:val="en-AU"/>
        </w:rPr>
        <w:t xml:space="preserve"> other</w:t>
      </w:r>
      <w:r w:rsidRPr="004C5271">
        <w:rPr>
          <w:rFonts w:asciiTheme="majorBidi" w:hAnsiTheme="majorBidi" w:cstheme="majorBidi"/>
          <w:lang w:val="en-AU"/>
        </w:rPr>
        <w:t xml:space="preserve"> submission</w:t>
      </w:r>
      <w:r w:rsidR="00E0080B" w:rsidRPr="004C5271">
        <w:rPr>
          <w:rFonts w:asciiTheme="majorBidi" w:hAnsiTheme="majorBidi" w:cstheme="majorBidi"/>
          <w:lang w:val="en-AU"/>
        </w:rPr>
        <w:t>s</w:t>
      </w:r>
      <w:r w:rsidRPr="004C5271">
        <w:rPr>
          <w:rStyle w:val="FootnoteReference"/>
          <w:rFonts w:asciiTheme="majorBidi" w:hAnsiTheme="majorBidi" w:cstheme="majorBidi"/>
          <w:lang w:val="en-AU"/>
        </w:rPr>
        <w:footnoteReference w:id="380"/>
      </w:r>
      <w:r w:rsidR="009F3D4D" w:rsidRPr="004C5271">
        <w:rPr>
          <w:rFonts w:asciiTheme="majorBidi" w:hAnsiTheme="majorBidi" w:cstheme="majorBidi"/>
          <w:lang w:val="en-AU"/>
        </w:rPr>
        <w:t xml:space="preserve"> </w:t>
      </w:r>
      <w:r w:rsidRPr="004C5271">
        <w:rPr>
          <w:rFonts w:asciiTheme="majorBidi" w:hAnsiTheme="majorBidi" w:cstheme="majorBidi"/>
          <w:lang w:val="en-AU"/>
        </w:rPr>
        <w:t xml:space="preserve">also raised concerns about </w:t>
      </w:r>
      <w:r w:rsidR="007D2222" w:rsidRPr="004C5271">
        <w:rPr>
          <w:rFonts w:asciiTheme="majorBidi" w:hAnsiTheme="majorBidi" w:cstheme="majorBidi"/>
          <w:lang w:val="en-AU"/>
        </w:rPr>
        <w:t xml:space="preserve">the </w:t>
      </w:r>
      <w:r w:rsidRPr="004C5271">
        <w:rPr>
          <w:rFonts w:asciiTheme="majorBidi" w:hAnsiTheme="majorBidi" w:cstheme="majorBidi"/>
          <w:lang w:val="en-AU"/>
        </w:rPr>
        <w:t>application of notional estate provisions to trusts.</w:t>
      </w:r>
      <w:r w:rsidR="009F3D4D" w:rsidRPr="004C5271">
        <w:rPr>
          <w:rFonts w:asciiTheme="majorBidi" w:hAnsiTheme="majorBidi" w:cstheme="majorBidi"/>
          <w:lang w:val="en-AU"/>
        </w:rPr>
        <w:t xml:space="preserve"> </w:t>
      </w:r>
      <w:r w:rsidR="008E3B9B" w:rsidRPr="004C5271">
        <w:rPr>
          <w:rFonts w:asciiTheme="majorBidi" w:hAnsiTheme="majorBidi" w:cstheme="majorBidi"/>
          <w:lang w:val="en-AU"/>
        </w:rPr>
        <w:t xml:space="preserve">The Elder Law Committee </w:t>
      </w:r>
      <w:r w:rsidR="00110CC3" w:rsidRPr="004C5271">
        <w:rPr>
          <w:rFonts w:asciiTheme="majorBidi" w:hAnsiTheme="majorBidi" w:cstheme="majorBidi"/>
          <w:lang w:val="en-AU"/>
        </w:rPr>
        <w:t>illustrated their concern with</w:t>
      </w:r>
      <w:r w:rsidR="008E3B9B" w:rsidRPr="004C5271">
        <w:rPr>
          <w:rFonts w:asciiTheme="majorBidi" w:hAnsiTheme="majorBidi" w:cstheme="majorBidi"/>
          <w:lang w:val="en-AU"/>
        </w:rPr>
        <w:t xml:space="preserve"> the following example:</w:t>
      </w:r>
      <w:bookmarkEnd w:id="172"/>
    </w:p>
    <w:p w14:paraId="4FF3B99C" w14:textId="273713AF" w:rsidR="008E3B9B" w:rsidRPr="004C5271" w:rsidRDefault="008E3B9B" w:rsidP="000A6C4D">
      <w:pPr>
        <w:pStyle w:val="QuoteTLRI"/>
        <w:rPr>
          <w:rFonts w:asciiTheme="majorBidi" w:hAnsiTheme="majorBidi" w:cstheme="majorBidi"/>
        </w:rPr>
      </w:pPr>
      <w:r w:rsidRPr="004C5271">
        <w:rPr>
          <w:rFonts w:asciiTheme="majorBidi" w:hAnsiTheme="majorBidi" w:cstheme="majorBidi"/>
        </w:rPr>
        <w:t xml:space="preserve">A client has multiple family trusts. The family business is run through the trusts. One son operates the business so the parents transfer control of all of the trusts to the son. If notional estates existed then the court could change the control of the trusts and </w:t>
      </w:r>
      <w:r w:rsidRPr="004C5271">
        <w:rPr>
          <w:rFonts w:asciiTheme="majorBidi" w:hAnsiTheme="majorBidi" w:cstheme="majorBidi"/>
        </w:rPr>
        <w:lastRenderedPageBreak/>
        <w:t>then other siblings who know nothing about the business could have a say in its operation.</w:t>
      </w:r>
      <w:r w:rsidRPr="004C5271">
        <w:rPr>
          <w:rStyle w:val="FootnoteReference"/>
          <w:rFonts w:asciiTheme="majorBidi" w:hAnsiTheme="majorBidi" w:cstheme="majorBidi"/>
        </w:rPr>
        <w:footnoteReference w:id="381"/>
      </w:r>
    </w:p>
    <w:p w14:paraId="005DFA1F" w14:textId="3DFF2A21" w:rsidR="009F3D4D" w:rsidRPr="004C5271" w:rsidRDefault="00161BD6" w:rsidP="00AE2B8C">
      <w:pPr>
        <w:pStyle w:val="Sub-HeadingTLRI"/>
      </w:pPr>
      <w:r w:rsidRPr="004C5271">
        <w:t>Questions about the effectiveness of notional estate laws</w:t>
      </w:r>
    </w:p>
    <w:p w14:paraId="30511EE6" w14:textId="1683A2AB" w:rsidR="009F3D4D" w:rsidRPr="004C5271" w:rsidRDefault="00161BD6" w:rsidP="009F3D4D">
      <w:pPr>
        <w:pStyle w:val="NormalNumberedTextTLRI"/>
        <w:rPr>
          <w:rFonts w:asciiTheme="majorBidi" w:hAnsiTheme="majorBidi" w:cstheme="majorBidi"/>
          <w:lang w:val="en-AU"/>
        </w:rPr>
      </w:pPr>
      <w:bookmarkStart w:id="174" w:name="_Ref13504588"/>
      <w:r w:rsidRPr="004C5271">
        <w:rPr>
          <w:rFonts w:asciiTheme="majorBidi" w:hAnsiTheme="majorBidi" w:cstheme="majorBidi"/>
          <w:lang w:val="en-AU"/>
        </w:rPr>
        <w:t>Several respondents</w:t>
      </w:r>
      <w:r w:rsidRPr="004C5271">
        <w:rPr>
          <w:rStyle w:val="FootnoteReference"/>
          <w:rFonts w:asciiTheme="majorBidi" w:hAnsiTheme="majorBidi" w:cstheme="majorBidi"/>
          <w:lang w:val="en-AU"/>
        </w:rPr>
        <w:footnoteReference w:id="382"/>
      </w:r>
      <w:r w:rsidR="00F01570" w:rsidRPr="004C5271">
        <w:rPr>
          <w:rFonts w:asciiTheme="majorBidi" w:hAnsiTheme="majorBidi" w:cstheme="majorBidi"/>
          <w:lang w:val="en-AU"/>
        </w:rPr>
        <w:t xml:space="preserve"> </w:t>
      </w:r>
      <w:r w:rsidRPr="004C5271">
        <w:rPr>
          <w:rFonts w:asciiTheme="majorBidi" w:hAnsiTheme="majorBidi" w:cstheme="majorBidi"/>
          <w:lang w:val="en-AU"/>
        </w:rPr>
        <w:t xml:space="preserve">commented upon </w:t>
      </w:r>
      <w:r w:rsidR="00DA0BD3" w:rsidRPr="004C5271">
        <w:rPr>
          <w:rFonts w:asciiTheme="majorBidi" w:hAnsiTheme="majorBidi" w:cstheme="majorBidi"/>
          <w:lang w:val="en-AU"/>
        </w:rPr>
        <w:t xml:space="preserve">a perceived </w:t>
      </w:r>
      <w:r w:rsidRPr="004C5271">
        <w:rPr>
          <w:rFonts w:asciiTheme="majorBidi" w:hAnsiTheme="majorBidi" w:cstheme="majorBidi"/>
          <w:lang w:val="en-AU"/>
        </w:rPr>
        <w:t>lack of effectiveness of notional estate legislation. It was noted that, i</w:t>
      </w:r>
      <w:r w:rsidR="009F3D4D" w:rsidRPr="004C5271">
        <w:rPr>
          <w:rFonts w:asciiTheme="majorBidi" w:hAnsiTheme="majorBidi" w:cstheme="majorBidi"/>
          <w:lang w:val="en-AU"/>
        </w:rPr>
        <w:t>n the</w:t>
      </w:r>
      <w:r w:rsidR="00B479F3" w:rsidRPr="004C5271">
        <w:rPr>
          <w:rFonts w:asciiTheme="majorBidi" w:hAnsiTheme="majorBidi" w:cstheme="majorBidi"/>
          <w:lang w:val="en-AU"/>
        </w:rPr>
        <w:t xml:space="preserve"> same</w:t>
      </w:r>
      <w:r w:rsidR="009F3D4D" w:rsidRPr="004C5271">
        <w:rPr>
          <w:rFonts w:asciiTheme="majorBidi" w:hAnsiTheme="majorBidi" w:cstheme="majorBidi"/>
          <w:lang w:val="en-AU"/>
        </w:rPr>
        <w:t xml:space="preserve"> way that estate planning strategies can presently be employed to remove assets from </w:t>
      </w:r>
      <w:r w:rsidR="00110CC3" w:rsidRPr="004C5271">
        <w:rPr>
          <w:rFonts w:asciiTheme="majorBidi" w:hAnsiTheme="majorBidi" w:cstheme="majorBidi"/>
          <w:lang w:val="en-AU"/>
        </w:rPr>
        <w:t>risk</w:t>
      </w:r>
      <w:r w:rsidR="009F3D4D" w:rsidRPr="004C5271">
        <w:rPr>
          <w:rFonts w:asciiTheme="majorBidi" w:hAnsiTheme="majorBidi" w:cstheme="majorBidi"/>
          <w:lang w:val="en-AU"/>
        </w:rPr>
        <w:t xml:space="preserve">, strategies </w:t>
      </w:r>
      <w:r w:rsidR="00B44540" w:rsidRPr="004C5271">
        <w:rPr>
          <w:rFonts w:asciiTheme="majorBidi" w:hAnsiTheme="majorBidi" w:cstheme="majorBidi"/>
          <w:lang w:val="en-AU"/>
        </w:rPr>
        <w:t xml:space="preserve">would </w:t>
      </w:r>
      <w:r w:rsidR="009F3D4D" w:rsidRPr="004C5271">
        <w:rPr>
          <w:rFonts w:asciiTheme="majorBidi" w:hAnsiTheme="majorBidi" w:cstheme="majorBidi"/>
          <w:lang w:val="en-AU"/>
        </w:rPr>
        <w:t xml:space="preserve">equally </w:t>
      </w:r>
      <w:r w:rsidR="00B44540" w:rsidRPr="004C5271">
        <w:rPr>
          <w:rFonts w:asciiTheme="majorBidi" w:hAnsiTheme="majorBidi" w:cstheme="majorBidi"/>
          <w:lang w:val="en-AU"/>
        </w:rPr>
        <w:t>be used</w:t>
      </w:r>
      <w:r w:rsidR="009F3D4D" w:rsidRPr="004C5271">
        <w:rPr>
          <w:rFonts w:asciiTheme="majorBidi" w:hAnsiTheme="majorBidi" w:cstheme="majorBidi"/>
          <w:lang w:val="en-AU"/>
        </w:rPr>
        <w:t xml:space="preserve"> to avoid </w:t>
      </w:r>
      <w:r w:rsidR="007D2222" w:rsidRPr="004C5271">
        <w:rPr>
          <w:rFonts w:asciiTheme="majorBidi" w:hAnsiTheme="majorBidi" w:cstheme="majorBidi"/>
          <w:lang w:val="en-AU"/>
        </w:rPr>
        <w:t xml:space="preserve">the </w:t>
      </w:r>
      <w:r w:rsidR="009F3D4D" w:rsidRPr="004C5271">
        <w:rPr>
          <w:rFonts w:asciiTheme="majorBidi" w:hAnsiTheme="majorBidi" w:cstheme="majorBidi"/>
          <w:lang w:val="en-AU"/>
        </w:rPr>
        <w:t xml:space="preserve">operation of notional estate </w:t>
      </w:r>
      <w:r w:rsidR="00B44540" w:rsidRPr="004C5271">
        <w:rPr>
          <w:rFonts w:asciiTheme="majorBidi" w:hAnsiTheme="majorBidi" w:cstheme="majorBidi"/>
          <w:lang w:val="en-AU"/>
        </w:rPr>
        <w:t>provisions</w:t>
      </w:r>
      <w:r w:rsidR="009F3D4D" w:rsidRPr="004C5271">
        <w:rPr>
          <w:rFonts w:asciiTheme="majorBidi" w:hAnsiTheme="majorBidi" w:cstheme="majorBidi"/>
          <w:lang w:val="en-AU"/>
        </w:rPr>
        <w:t xml:space="preserve">. </w:t>
      </w:r>
      <w:r w:rsidR="00953AB7" w:rsidRPr="004C5271">
        <w:rPr>
          <w:rFonts w:asciiTheme="majorBidi" w:hAnsiTheme="majorBidi" w:cstheme="majorBidi"/>
          <w:lang w:val="en-AU"/>
        </w:rPr>
        <w:t xml:space="preserve">Lawyer, </w:t>
      </w:r>
      <w:r w:rsidR="00AC3E60" w:rsidRPr="004C5271">
        <w:rPr>
          <w:rFonts w:asciiTheme="majorBidi" w:hAnsiTheme="majorBidi" w:cstheme="majorBidi"/>
          <w:lang w:val="en-AU"/>
        </w:rPr>
        <w:t>Alice Grubb commented:</w:t>
      </w:r>
      <w:bookmarkEnd w:id="174"/>
    </w:p>
    <w:p w14:paraId="3FAB7983" w14:textId="0AFC526F" w:rsidR="00AC3E60" w:rsidRPr="004C5271" w:rsidRDefault="00AC3E60" w:rsidP="000A6C4D">
      <w:pPr>
        <w:pStyle w:val="QuoteTLRI"/>
        <w:rPr>
          <w:rFonts w:asciiTheme="majorBidi" w:hAnsiTheme="majorBidi" w:cstheme="majorBidi"/>
        </w:rPr>
      </w:pPr>
      <w:r w:rsidRPr="004C5271">
        <w:rPr>
          <w:rFonts w:asciiTheme="majorBidi" w:hAnsiTheme="majorBidi" w:cstheme="majorBidi"/>
        </w:rPr>
        <w:t>Those who insist on avoiding any obligation they may have under the TFM Act will not be stopped by this legislation.</w:t>
      </w:r>
    </w:p>
    <w:p w14:paraId="09026B45" w14:textId="36738746" w:rsidR="00766412" w:rsidRPr="004C5271" w:rsidRDefault="00B44540" w:rsidP="00F83D47">
      <w:pPr>
        <w:pStyle w:val="NormalNumberedTextTLRI"/>
        <w:rPr>
          <w:rFonts w:asciiTheme="majorBidi" w:hAnsiTheme="majorBidi" w:cstheme="majorBidi"/>
          <w:lang w:val="en-AU"/>
        </w:rPr>
      </w:pPr>
      <w:r w:rsidRPr="004C5271">
        <w:rPr>
          <w:rFonts w:asciiTheme="majorBidi" w:hAnsiTheme="majorBidi" w:cstheme="majorBidi"/>
          <w:lang w:val="en-AU"/>
        </w:rPr>
        <w:t xml:space="preserve">Similar observations were made when the Law Commission </w:t>
      </w:r>
      <w:r w:rsidR="00EE7905" w:rsidRPr="004C5271">
        <w:rPr>
          <w:rFonts w:asciiTheme="majorBidi" w:hAnsiTheme="majorBidi" w:cstheme="majorBidi"/>
          <w:lang w:val="en-AU"/>
        </w:rPr>
        <w:t>(</w:t>
      </w:r>
      <w:r w:rsidRPr="004C5271">
        <w:rPr>
          <w:rFonts w:asciiTheme="majorBidi" w:hAnsiTheme="majorBidi" w:cstheme="majorBidi"/>
          <w:lang w:val="en-AU"/>
        </w:rPr>
        <w:t>England</w:t>
      </w:r>
      <w:r w:rsidR="00EE7905" w:rsidRPr="004C5271">
        <w:rPr>
          <w:rFonts w:asciiTheme="majorBidi" w:hAnsiTheme="majorBidi" w:cstheme="majorBidi"/>
          <w:lang w:val="en-AU"/>
        </w:rPr>
        <w:t xml:space="preserve"> &amp; Wales)</w:t>
      </w:r>
      <w:r w:rsidRPr="004C5271">
        <w:rPr>
          <w:rFonts w:asciiTheme="majorBidi" w:hAnsiTheme="majorBidi" w:cstheme="majorBidi"/>
          <w:lang w:val="en-AU"/>
        </w:rPr>
        <w:t xml:space="preserve"> reviewed this issue, with respondents stating that </w:t>
      </w:r>
      <w:r w:rsidR="000A6C4D" w:rsidRPr="004C5271">
        <w:rPr>
          <w:rFonts w:asciiTheme="majorBidi" w:hAnsiTheme="majorBidi" w:cstheme="majorBidi"/>
          <w:lang w:val="en-AU"/>
        </w:rPr>
        <w:t>‘</w:t>
      </w:r>
      <w:r w:rsidRPr="004C5271">
        <w:rPr>
          <w:rFonts w:asciiTheme="majorBidi" w:hAnsiTheme="majorBidi" w:cstheme="majorBidi"/>
          <w:lang w:val="en-AU"/>
        </w:rPr>
        <w:t>attempts to prevent evasion would lead to great complication.</w:t>
      </w:r>
      <w:r w:rsidR="000A6C4D" w:rsidRPr="004C5271">
        <w:rPr>
          <w:rFonts w:asciiTheme="majorBidi" w:hAnsiTheme="majorBidi" w:cstheme="majorBidi"/>
          <w:lang w:val="en-AU"/>
        </w:rPr>
        <w:t>’</w:t>
      </w:r>
      <w:r w:rsidRPr="004C5271">
        <w:rPr>
          <w:rFonts w:asciiTheme="majorBidi" w:hAnsiTheme="majorBidi" w:cstheme="majorBidi"/>
          <w:sz w:val="20"/>
          <w:vertAlign w:val="superscript"/>
          <w:lang w:val="en-AU"/>
        </w:rPr>
        <w:footnoteReference w:id="383"/>
      </w:r>
      <w:r w:rsidRPr="004C5271">
        <w:rPr>
          <w:rFonts w:asciiTheme="majorBidi" w:hAnsiTheme="majorBidi" w:cstheme="majorBidi"/>
          <w:lang w:val="en-AU"/>
        </w:rPr>
        <w:t xml:space="preserve"> </w:t>
      </w:r>
      <w:r w:rsidR="00766412" w:rsidRPr="004C5271">
        <w:rPr>
          <w:rFonts w:asciiTheme="majorBidi" w:hAnsiTheme="majorBidi" w:cstheme="majorBidi"/>
          <w:lang w:val="en-AU"/>
        </w:rPr>
        <w:t xml:space="preserve">The Elder Law Committee </w:t>
      </w:r>
      <w:r w:rsidRPr="004C5271">
        <w:rPr>
          <w:rFonts w:asciiTheme="majorBidi" w:hAnsiTheme="majorBidi" w:cstheme="majorBidi"/>
          <w:lang w:val="en-AU"/>
        </w:rPr>
        <w:t>stated</w:t>
      </w:r>
      <w:r w:rsidR="00766412" w:rsidRPr="004C5271">
        <w:rPr>
          <w:rFonts w:asciiTheme="majorBidi" w:hAnsiTheme="majorBidi" w:cstheme="majorBidi"/>
          <w:lang w:val="en-AU"/>
        </w:rPr>
        <w:t xml:space="preserve"> that </w:t>
      </w:r>
      <w:r w:rsidRPr="004C5271">
        <w:rPr>
          <w:rFonts w:asciiTheme="majorBidi" w:hAnsiTheme="majorBidi" w:cstheme="majorBidi"/>
          <w:lang w:val="en-AU"/>
        </w:rPr>
        <w:t>introduction of notional estate provisions</w:t>
      </w:r>
      <w:r w:rsidR="00766412" w:rsidRPr="004C5271">
        <w:rPr>
          <w:rFonts w:asciiTheme="majorBidi" w:hAnsiTheme="majorBidi" w:cstheme="majorBidi"/>
          <w:lang w:val="en-AU"/>
        </w:rPr>
        <w:t xml:space="preserve"> would increase the costs of estate planning advice due to the need to provide more complex advice.</w:t>
      </w:r>
    </w:p>
    <w:p w14:paraId="03532A2F" w14:textId="3DA78F41" w:rsidR="00EA17E8" w:rsidRPr="004C5271" w:rsidRDefault="00793ABE" w:rsidP="00EA17E8">
      <w:pPr>
        <w:pStyle w:val="NormalNumberedTextTLRI"/>
        <w:rPr>
          <w:rFonts w:asciiTheme="majorBidi" w:hAnsiTheme="majorBidi" w:cstheme="majorBidi"/>
          <w:lang w:val="en-AU"/>
        </w:rPr>
      </w:pPr>
      <w:r w:rsidRPr="004C5271">
        <w:rPr>
          <w:rFonts w:asciiTheme="majorBidi" w:hAnsiTheme="majorBidi" w:cstheme="majorBidi"/>
          <w:lang w:val="en-AU"/>
        </w:rPr>
        <w:t>One</w:t>
      </w:r>
      <w:r w:rsidR="009F3D4D" w:rsidRPr="004C5271">
        <w:rPr>
          <w:rFonts w:asciiTheme="majorBidi" w:hAnsiTheme="majorBidi" w:cstheme="majorBidi"/>
          <w:lang w:val="en-AU"/>
        </w:rPr>
        <w:t xml:space="preserve"> strategy</w:t>
      </w:r>
      <w:r w:rsidR="00F83D47" w:rsidRPr="004C5271">
        <w:rPr>
          <w:rFonts w:asciiTheme="majorBidi" w:hAnsiTheme="majorBidi" w:cstheme="majorBidi"/>
          <w:lang w:val="en-AU"/>
        </w:rPr>
        <w:t xml:space="preserve"> </w:t>
      </w:r>
      <w:r w:rsidR="009F3D4D" w:rsidRPr="004C5271">
        <w:rPr>
          <w:rFonts w:asciiTheme="majorBidi" w:hAnsiTheme="majorBidi" w:cstheme="majorBidi"/>
          <w:lang w:val="en-AU"/>
        </w:rPr>
        <w:t>referred to was</w:t>
      </w:r>
      <w:r w:rsidR="00F83D47" w:rsidRPr="004C5271">
        <w:rPr>
          <w:rFonts w:asciiTheme="majorBidi" w:hAnsiTheme="majorBidi" w:cstheme="majorBidi"/>
          <w:lang w:val="en-AU"/>
        </w:rPr>
        <w:t xml:space="preserve"> the</w:t>
      </w:r>
      <w:r w:rsidR="009F3D4D" w:rsidRPr="004C5271">
        <w:rPr>
          <w:rFonts w:asciiTheme="majorBidi" w:hAnsiTheme="majorBidi" w:cstheme="majorBidi"/>
          <w:lang w:val="en-AU"/>
        </w:rPr>
        <w:t xml:space="preserve"> transfer </w:t>
      </w:r>
      <w:r w:rsidR="00F83D47" w:rsidRPr="004C5271">
        <w:rPr>
          <w:rFonts w:asciiTheme="majorBidi" w:hAnsiTheme="majorBidi" w:cstheme="majorBidi"/>
          <w:lang w:val="en-AU"/>
        </w:rPr>
        <w:t xml:space="preserve">of </w:t>
      </w:r>
      <w:r w:rsidR="009F3D4D" w:rsidRPr="004C5271">
        <w:rPr>
          <w:rFonts w:asciiTheme="majorBidi" w:hAnsiTheme="majorBidi" w:cstheme="majorBidi"/>
          <w:lang w:val="en-AU"/>
        </w:rPr>
        <w:t xml:space="preserve">assets </w:t>
      </w:r>
      <w:r w:rsidR="00F83D47" w:rsidRPr="004C5271">
        <w:rPr>
          <w:rFonts w:asciiTheme="majorBidi" w:hAnsiTheme="majorBidi" w:cstheme="majorBidi"/>
          <w:lang w:val="en-AU"/>
        </w:rPr>
        <w:t>early</w:t>
      </w:r>
      <w:r w:rsidR="009F3D4D" w:rsidRPr="004C5271">
        <w:rPr>
          <w:rFonts w:asciiTheme="majorBidi" w:hAnsiTheme="majorBidi" w:cstheme="majorBidi"/>
          <w:lang w:val="en-AU"/>
        </w:rPr>
        <w:t xml:space="preserve"> so that any ‘relevant property transaction’ occurs outside the three-year period covered in New South Wales.</w:t>
      </w:r>
      <w:r w:rsidRPr="004C5271">
        <w:rPr>
          <w:rStyle w:val="FootnoteReference"/>
          <w:rFonts w:asciiTheme="majorBidi" w:hAnsiTheme="majorBidi" w:cstheme="majorBidi"/>
          <w:lang w:val="en-AU"/>
        </w:rPr>
        <w:footnoteReference w:id="384"/>
      </w:r>
      <w:r w:rsidR="009F3D4D" w:rsidRPr="004C5271">
        <w:rPr>
          <w:rFonts w:asciiTheme="majorBidi" w:hAnsiTheme="majorBidi" w:cstheme="majorBidi"/>
          <w:lang w:val="en-AU"/>
        </w:rPr>
        <w:t xml:space="preserve"> This could </w:t>
      </w:r>
      <w:r w:rsidR="00F83D47" w:rsidRPr="004C5271">
        <w:rPr>
          <w:rFonts w:asciiTheme="majorBidi" w:hAnsiTheme="majorBidi" w:cstheme="majorBidi"/>
          <w:lang w:val="en-AU"/>
        </w:rPr>
        <w:t>involve</w:t>
      </w:r>
      <w:r w:rsidR="009F3D4D" w:rsidRPr="004C5271">
        <w:rPr>
          <w:rFonts w:asciiTheme="majorBidi" w:hAnsiTheme="majorBidi" w:cstheme="majorBidi"/>
          <w:lang w:val="en-AU"/>
        </w:rPr>
        <w:t xml:space="preserve"> parent</w:t>
      </w:r>
      <w:r w:rsidR="007D2222" w:rsidRPr="004C5271">
        <w:rPr>
          <w:rFonts w:asciiTheme="majorBidi" w:hAnsiTheme="majorBidi" w:cstheme="majorBidi"/>
          <w:lang w:val="en-AU"/>
        </w:rPr>
        <w:t>s</w:t>
      </w:r>
      <w:r w:rsidR="009F3D4D" w:rsidRPr="004C5271">
        <w:rPr>
          <w:rFonts w:asciiTheme="majorBidi" w:hAnsiTheme="majorBidi" w:cstheme="majorBidi"/>
          <w:lang w:val="en-AU"/>
        </w:rPr>
        <w:t xml:space="preserve"> transfer</w:t>
      </w:r>
      <w:r w:rsidR="00F83D47" w:rsidRPr="004C5271">
        <w:rPr>
          <w:rFonts w:asciiTheme="majorBidi" w:hAnsiTheme="majorBidi" w:cstheme="majorBidi"/>
          <w:lang w:val="en-AU"/>
        </w:rPr>
        <w:t>ring</w:t>
      </w:r>
      <w:r w:rsidR="009F3D4D" w:rsidRPr="004C5271">
        <w:rPr>
          <w:rFonts w:asciiTheme="majorBidi" w:hAnsiTheme="majorBidi" w:cstheme="majorBidi"/>
          <w:lang w:val="en-AU"/>
        </w:rPr>
        <w:t xml:space="preserve"> ownership of assets (for example, the family home) to one or more of their children </w:t>
      </w:r>
      <w:r w:rsidR="00F83D47" w:rsidRPr="004C5271">
        <w:rPr>
          <w:rFonts w:asciiTheme="majorBidi" w:hAnsiTheme="majorBidi" w:cstheme="majorBidi"/>
          <w:lang w:val="en-AU"/>
        </w:rPr>
        <w:t xml:space="preserve">whilst they are well, in the hope that they remain alive </w:t>
      </w:r>
      <w:r w:rsidR="00B945F6" w:rsidRPr="004C5271">
        <w:rPr>
          <w:rFonts w:asciiTheme="majorBidi" w:hAnsiTheme="majorBidi" w:cstheme="majorBidi"/>
          <w:lang w:val="en-AU"/>
        </w:rPr>
        <w:t>past</w:t>
      </w:r>
      <w:r w:rsidR="00F83D47" w:rsidRPr="004C5271">
        <w:rPr>
          <w:rFonts w:asciiTheme="majorBidi" w:hAnsiTheme="majorBidi" w:cstheme="majorBidi"/>
          <w:lang w:val="en-AU"/>
        </w:rPr>
        <w:t xml:space="preserve"> three years so that the asset is then</w:t>
      </w:r>
      <w:r w:rsidR="009F3D4D" w:rsidRPr="004C5271">
        <w:rPr>
          <w:rFonts w:asciiTheme="majorBidi" w:hAnsiTheme="majorBidi" w:cstheme="majorBidi"/>
          <w:lang w:val="en-AU"/>
        </w:rPr>
        <w:t xml:space="preserve"> </w:t>
      </w:r>
      <w:r w:rsidR="00F83D47" w:rsidRPr="004C5271">
        <w:rPr>
          <w:rFonts w:asciiTheme="majorBidi" w:hAnsiTheme="majorBidi" w:cstheme="majorBidi"/>
          <w:lang w:val="en-AU"/>
        </w:rPr>
        <w:t xml:space="preserve">outside </w:t>
      </w:r>
      <w:r w:rsidRPr="004C5271">
        <w:rPr>
          <w:rFonts w:asciiTheme="majorBidi" w:hAnsiTheme="majorBidi" w:cstheme="majorBidi"/>
          <w:lang w:val="en-AU"/>
        </w:rPr>
        <w:t xml:space="preserve">the </w:t>
      </w:r>
      <w:r w:rsidR="00F83D47" w:rsidRPr="004C5271">
        <w:rPr>
          <w:rFonts w:asciiTheme="majorBidi" w:hAnsiTheme="majorBidi" w:cstheme="majorBidi"/>
          <w:lang w:val="en-AU"/>
        </w:rPr>
        <w:t>notional estate clawback provisions</w:t>
      </w:r>
      <w:r w:rsidR="009F3D4D" w:rsidRPr="004C5271">
        <w:rPr>
          <w:rFonts w:asciiTheme="majorBidi" w:hAnsiTheme="majorBidi" w:cstheme="majorBidi"/>
          <w:lang w:val="en-AU"/>
        </w:rPr>
        <w:t>.</w:t>
      </w:r>
      <w:r w:rsidR="00F83D47" w:rsidRPr="004C5271">
        <w:rPr>
          <w:rFonts w:asciiTheme="majorBidi" w:hAnsiTheme="majorBidi" w:cstheme="majorBidi"/>
          <w:lang w:val="en-AU"/>
        </w:rPr>
        <w:t xml:space="preserve"> </w:t>
      </w:r>
      <w:r w:rsidR="00B44540" w:rsidRPr="004C5271">
        <w:rPr>
          <w:rFonts w:asciiTheme="majorBidi" w:hAnsiTheme="majorBidi" w:cstheme="majorBidi"/>
          <w:lang w:val="en-AU"/>
        </w:rPr>
        <w:t>U</w:t>
      </w:r>
      <w:r w:rsidR="009F3D4D" w:rsidRPr="004C5271">
        <w:rPr>
          <w:rFonts w:asciiTheme="majorBidi" w:hAnsiTheme="majorBidi" w:cstheme="majorBidi"/>
          <w:lang w:val="en-AU"/>
        </w:rPr>
        <w:t xml:space="preserve">nless appropriate arrangements are put in place to secure the </w:t>
      </w:r>
      <w:r w:rsidR="00F83D47" w:rsidRPr="004C5271">
        <w:rPr>
          <w:rFonts w:asciiTheme="majorBidi" w:hAnsiTheme="majorBidi" w:cstheme="majorBidi"/>
          <w:lang w:val="en-AU"/>
        </w:rPr>
        <w:t>parents</w:t>
      </w:r>
      <w:r w:rsidR="007D2222" w:rsidRPr="004C5271">
        <w:rPr>
          <w:rFonts w:asciiTheme="majorBidi" w:hAnsiTheme="majorBidi" w:cstheme="majorBidi"/>
          <w:lang w:val="en-AU"/>
        </w:rPr>
        <w:t>’</w:t>
      </w:r>
      <w:r w:rsidR="009F3D4D" w:rsidRPr="004C5271">
        <w:rPr>
          <w:rFonts w:asciiTheme="majorBidi" w:hAnsiTheme="majorBidi" w:cstheme="majorBidi"/>
          <w:lang w:val="en-AU"/>
        </w:rPr>
        <w:t xml:space="preserve"> rights, </w:t>
      </w:r>
      <w:r w:rsidRPr="004C5271">
        <w:rPr>
          <w:rFonts w:asciiTheme="majorBidi" w:hAnsiTheme="majorBidi" w:cstheme="majorBidi"/>
          <w:lang w:val="en-AU"/>
        </w:rPr>
        <w:t xml:space="preserve">there is a risk that if relationships breakdown, </w:t>
      </w:r>
      <w:r w:rsidR="00B945F6" w:rsidRPr="004C5271">
        <w:rPr>
          <w:rFonts w:asciiTheme="majorBidi" w:hAnsiTheme="majorBidi" w:cstheme="majorBidi"/>
          <w:lang w:val="en-AU"/>
        </w:rPr>
        <w:t xml:space="preserve">they </w:t>
      </w:r>
      <w:r w:rsidR="009F3D4D" w:rsidRPr="004C5271">
        <w:rPr>
          <w:rFonts w:asciiTheme="majorBidi" w:hAnsiTheme="majorBidi" w:cstheme="majorBidi"/>
          <w:lang w:val="en-AU"/>
        </w:rPr>
        <w:t xml:space="preserve">may lose their right to use and </w:t>
      </w:r>
      <w:r w:rsidR="009F3D4D" w:rsidRPr="004C5271">
        <w:rPr>
          <w:rFonts w:asciiTheme="majorBidi" w:hAnsiTheme="majorBidi" w:cstheme="majorBidi"/>
          <w:lang w:val="en-AU"/>
        </w:rPr>
        <w:lastRenderedPageBreak/>
        <w:t xml:space="preserve">enjoy that asset. Particularly where </w:t>
      </w:r>
      <w:r w:rsidRPr="004C5271">
        <w:rPr>
          <w:rFonts w:asciiTheme="majorBidi" w:hAnsiTheme="majorBidi" w:cstheme="majorBidi"/>
          <w:lang w:val="en-AU"/>
        </w:rPr>
        <w:t>that</w:t>
      </w:r>
      <w:r w:rsidR="00F83D47" w:rsidRPr="004C5271">
        <w:rPr>
          <w:rFonts w:asciiTheme="majorBidi" w:hAnsiTheme="majorBidi" w:cstheme="majorBidi"/>
          <w:lang w:val="en-AU"/>
        </w:rPr>
        <w:t xml:space="preserve"> </w:t>
      </w:r>
      <w:r w:rsidR="009F3D4D" w:rsidRPr="004C5271">
        <w:rPr>
          <w:rFonts w:asciiTheme="majorBidi" w:hAnsiTheme="majorBidi" w:cstheme="majorBidi"/>
          <w:lang w:val="en-AU"/>
        </w:rPr>
        <w:t>asset is a family home, this loss of control can create dependency and thus vulnerability.</w:t>
      </w:r>
      <w:r w:rsidR="00B44540" w:rsidRPr="004C5271">
        <w:rPr>
          <w:rFonts w:asciiTheme="majorBidi" w:hAnsiTheme="majorBidi" w:cstheme="majorBidi"/>
          <w:lang w:val="en-AU"/>
        </w:rPr>
        <w:t xml:space="preserve"> One respondent</w:t>
      </w:r>
      <w:r w:rsidR="00B44540" w:rsidRPr="004C5271">
        <w:rPr>
          <w:rStyle w:val="FootnoteReference"/>
          <w:rFonts w:asciiTheme="majorBidi" w:hAnsiTheme="majorBidi" w:cstheme="majorBidi"/>
          <w:lang w:val="en-AU"/>
        </w:rPr>
        <w:footnoteReference w:id="385"/>
      </w:r>
      <w:r w:rsidR="00B44540" w:rsidRPr="004C5271">
        <w:rPr>
          <w:rFonts w:asciiTheme="majorBidi" w:hAnsiTheme="majorBidi" w:cstheme="majorBidi"/>
          <w:lang w:val="en-AU"/>
        </w:rPr>
        <w:t xml:space="preserve"> raised concerns about the potential for notional estate provisions to lead to an increased risk of elder abuse.</w:t>
      </w:r>
      <w:r w:rsidR="00EA17E8" w:rsidRPr="004C5271">
        <w:rPr>
          <w:rFonts w:asciiTheme="majorBidi" w:hAnsiTheme="majorBidi" w:cstheme="majorBidi"/>
          <w:lang w:val="en-AU"/>
        </w:rPr>
        <w:t xml:space="preserve"> </w:t>
      </w:r>
    </w:p>
    <w:p w14:paraId="3FFC206D" w14:textId="3EEF7473" w:rsidR="009F3D4D" w:rsidRPr="004C5271" w:rsidRDefault="00C15A11" w:rsidP="005C723B">
      <w:pPr>
        <w:pStyle w:val="furhtersub-heading2"/>
      </w:pPr>
      <w:r w:rsidRPr="004C5271">
        <w:t>Removal of assets</w:t>
      </w:r>
      <w:r w:rsidR="009F3D4D" w:rsidRPr="004C5271">
        <w:t xml:space="preserve"> </w:t>
      </w:r>
      <w:r w:rsidR="009F3D4D" w:rsidRPr="005C723B">
        <w:t>from</w:t>
      </w:r>
      <w:r w:rsidR="009F3D4D" w:rsidRPr="004C5271">
        <w:t xml:space="preserve"> the jurisdiction </w:t>
      </w:r>
    </w:p>
    <w:p w14:paraId="1BBB4204" w14:textId="48309AA5" w:rsidR="00EF676A" w:rsidRPr="004C5271" w:rsidRDefault="00EF676A" w:rsidP="00AD1541">
      <w:pPr>
        <w:pStyle w:val="NormalNumberedTextTLRI"/>
        <w:spacing w:before="120"/>
        <w:rPr>
          <w:rFonts w:asciiTheme="majorBidi" w:hAnsiTheme="majorBidi" w:cstheme="majorBidi"/>
          <w:lang w:val="en-AU"/>
        </w:rPr>
      </w:pPr>
      <w:bookmarkStart w:id="176" w:name="_Ref13504625"/>
      <w:r w:rsidRPr="004C5271">
        <w:rPr>
          <w:rFonts w:asciiTheme="majorBidi" w:hAnsiTheme="majorBidi" w:cstheme="majorBidi"/>
          <w:lang w:val="en-AU"/>
        </w:rPr>
        <w:t>Four</w:t>
      </w:r>
      <w:r w:rsidR="005C7F1B" w:rsidRPr="004C5271">
        <w:rPr>
          <w:rFonts w:asciiTheme="majorBidi" w:hAnsiTheme="majorBidi" w:cstheme="majorBidi"/>
          <w:lang w:val="en-AU"/>
        </w:rPr>
        <w:t xml:space="preserve"> submissions</w:t>
      </w:r>
      <w:r w:rsidRPr="004C5271">
        <w:rPr>
          <w:rStyle w:val="FootnoteReference"/>
          <w:rFonts w:asciiTheme="majorBidi" w:hAnsiTheme="majorBidi" w:cstheme="majorBidi"/>
          <w:lang w:val="en-AU"/>
        </w:rPr>
        <w:footnoteReference w:id="386"/>
      </w:r>
      <w:r w:rsidR="005C7F1B" w:rsidRPr="004C5271">
        <w:rPr>
          <w:rFonts w:asciiTheme="majorBidi" w:hAnsiTheme="majorBidi" w:cstheme="majorBidi"/>
          <w:lang w:val="en-AU"/>
        </w:rPr>
        <w:t xml:space="preserve"> referred to </w:t>
      </w:r>
      <w:r w:rsidR="009F3D4D" w:rsidRPr="004C5271">
        <w:rPr>
          <w:rFonts w:asciiTheme="majorBidi" w:hAnsiTheme="majorBidi" w:cstheme="majorBidi"/>
          <w:lang w:val="en-AU"/>
        </w:rPr>
        <w:t xml:space="preserve">the potential for introduction of notional estate legislation to </w:t>
      </w:r>
      <w:r w:rsidR="007D2222" w:rsidRPr="004C5271">
        <w:rPr>
          <w:rFonts w:asciiTheme="majorBidi" w:hAnsiTheme="majorBidi" w:cstheme="majorBidi"/>
          <w:lang w:val="en-AU"/>
        </w:rPr>
        <w:t>have a negative</w:t>
      </w:r>
      <w:r w:rsidR="009F3D4D" w:rsidRPr="004C5271">
        <w:rPr>
          <w:rFonts w:asciiTheme="majorBidi" w:hAnsiTheme="majorBidi" w:cstheme="majorBidi"/>
          <w:lang w:val="en-AU"/>
        </w:rPr>
        <w:t xml:space="preserve"> impact investment in Tasmania. It was observed that individuals may choose to own assets in a jurisdiction that does not have notional estate </w:t>
      </w:r>
      <w:r w:rsidR="00D6776E" w:rsidRPr="004C5271">
        <w:rPr>
          <w:rFonts w:asciiTheme="majorBidi" w:hAnsiTheme="majorBidi" w:cstheme="majorBidi"/>
          <w:lang w:val="en-AU"/>
        </w:rPr>
        <w:t>laws</w:t>
      </w:r>
      <w:r w:rsidR="009F3D4D" w:rsidRPr="004C5271">
        <w:rPr>
          <w:rFonts w:asciiTheme="majorBidi" w:hAnsiTheme="majorBidi" w:cstheme="majorBidi"/>
          <w:lang w:val="en-AU"/>
        </w:rPr>
        <w:t xml:space="preserve"> in order to remove that asset from risk. One lawyer</w:t>
      </w:r>
      <w:r w:rsidR="009F3D4D" w:rsidRPr="004C5271">
        <w:rPr>
          <w:rStyle w:val="FootnoteReference"/>
          <w:rFonts w:asciiTheme="majorBidi" w:hAnsiTheme="majorBidi" w:cstheme="majorBidi"/>
          <w:lang w:val="en-AU"/>
        </w:rPr>
        <w:footnoteReference w:id="387"/>
      </w:r>
      <w:r w:rsidR="009F3D4D" w:rsidRPr="004C5271">
        <w:rPr>
          <w:rFonts w:asciiTheme="majorBidi" w:hAnsiTheme="majorBidi" w:cstheme="majorBidi"/>
          <w:lang w:val="en-AU"/>
        </w:rPr>
        <w:t xml:space="preserve"> noted that </w:t>
      </w:r>
      <w:r w:rsidR="007D2222" w:rsidRPr="004C5271">
        <w:rPr>
          <w:rFonts w:asciiTheme="majorBidi" w:hAnsiTheme="majorBidi" w:cstheme="majorBidi"/>
          <w:lang w:val="en-AU"/>
        </w:rPr>
        <w:t xml:space="preserve">one </w:t>
      </w:r>
      <w:r w:rsidR="009F3D4D" w:rsidRPr="004C5271">
        <w:rPr>
          <w:rFonts w:asciiTheme="majorBidi" w:hAnsiTheme="majorBidi" w:cstheme="majorBidi"/>
          <w:lang w:val="en-AU"/>
        </w:rPr>
        <w:t>strategy advocated in continuing legal education forums where there is a risk of a family provision challenge to a client’s estate is the removal of assets from New South Wales</w:t>
      </w:r>
      <w:r w:rsidR="00C21A57" w:rsidRPr="004C5271">
        <w:rPr>
          <w:rFonts w:asciiTheme="majorBidi" w:hAnsiTheme="majorBidi" w:cstheme="majorBidi"/>
          <w:lang w:val="en-AU"/>
        </w:rPr>
        <w:t xml:space="preserve"> (as the only jurisdiction with notional estate</w:t>
      </w:r>
      <w:r w:rsidR="00D6776E" w:rsidRPr="004C5271">
        <w:rPr>
          <w:rFonts w:asciiTheme="majorBidi" w:hAnsiTheme="majorBidi" w:cstheme="majorBidi"/>
          <w:lang w:val="en-AU"/>
        </w:rPr>
        <w:t>s</w:t>
      </w:r>
      <w:r w:rsidR="00C21A57" w:rsidRPr="004C5271">
        <w:rPr>
          <w:rFonts w:asciiTheme="majorBidi" w:hAnsiTheme="majorBidi" w:cstheme="majorBidi"/>
          <w:lang w:val="en-AU"/>
        </w:rPr>
        <w:t>)</w:t>
      </w:r>
      <w:r w:rsidR="009F3D4D" w:rsidRPr="004C5271">
        <w:rPr>
          <w:rFonts w:asciiTheme="majorBidi" w:hAnsiTheme="majorBidi" w:cstheme="majorBidi"/>
          <w:lang w:val="en-AU"/>
        </w:rPr>
        <w:t xml:space="preserve">. In a similar vein, if Tasmania were to introduce notional estate legislation then it was submitted that it was likely that lawyers and other </w:t>
      </w:r>
      <w:r w:rsidR="00EA763E" w:rsidRPr="004C5271">
        <w:rPr>
          <w:rFonts w:asciiTheme="majorBidi" w:hAnsiTheme="majorBidi" w:cstheme="majorBidi"/>
          <w:lang w:val="en-AU"/>
        </w:rPr>
        <w:t xml:space="preserve">professional </w:t>
      </w:r>
      <w:r w:rsidR="009F3D4D" w:rsidRPr="004C5271">
        <w:rPr>
          <w:rFonts w:asciiTheme="majorBidi" w:hAnsiTheme="majorBidi" w:cstheme="majorBidi"/>
          <w:lang w:val="en-AU"/>
        </w:rPr>
        <w:t>advisors would advi</w:t>
      </w:r>
      <w:r w:rsidR="00C21A57" w:rsidRPr="004C5271">
        <w:rPr>
          <w:rFonts w:asciiTheme="majorBidi" w:hAnsiTheme="majorBidi" w:cstheme="majorBidi"/>
          <w:lang w:val="en-AU"/>
        </w:rPr>
        <w:t>s</w:t>
      </w:r>
      <w:r w:rsidR="009F3D4D" w:rsidRPr="004C5271">
        <w:rPr>
          <w:rFonts w:asciiTheme="majorBidi" w:hAnsiTheme="majorBidi" w:cstheme="majorBidi"/>
          <w:lang w:val="en-AU"/>
        </w:rPr>
        <w:t xml:space="preserve">e clients </w:t>
      </w:r>
      <w:r w:rsidR="00C21A57" w:rsidRPr="004C5271">
        <w:rPr>
          <w:rFonts w:asciiTheme="majorBidi" w:hAnsiTheme="majorBidi" w:cstheme="majorBidi"/>
          <w:lang w:val="en-AU"/>
        </w:rPr>
        <w:t>to consider</w:t>
      </w:r>
      <w:r w:rsidR="009F3D4D" w:rsidRPr="004C5271">
        <w:rPr>
          <w:rFonts w:asciiTheme="majorBidi" w:hAnsiTheme="majorBidi" w:cstheme="majorBidi"/>
          <w:lang w:val="en-AU"/>
        </w:rPr>
        <w:t xml:space="preserve"> </w:t>
      </w:r>
      <w:r w:rsidR="000A7EF8" w:rsidRPr="004C5271">
        <w:rPr>
          <w:rFonts w:asciiTheme="majorBidi" w:hAnsiTheme="majorBidi" w:cstheme="majorBidi"/>
          <w:lang w:val="en-AU"/>
        </w:rPr>
        <w:t>holding their</w:t>
      </w:r>
      <w:r w:rsidR="009F3D4D" w:rsidRPr="004C5271">
        <w:rPr>
          <w:rFonts w:asciiTheme="majorBidi" w:hAnsiTheme="majorBidi" w:cstheme="majorBidi"/>
          <w:lang w:val="en-AU"/>
        </w:rPr>
        <w:t xml:space="preserve"> assets </w:t>
      </w:r>
      <w:r w:rsidR="000A7EF8" w:rsidRPr="004C5271">
        <w:rPr>
          <w:rFonts w:asciiTheme="majorBidi" w:hAnsiTheme="majorBidi" w:cstheme="majorBidi"/>
          <w:lang w:val="en-AU"/>
        </w:rPr>
        <w:t xml:space="preserve">outside </w:t>
      </w:r>
      <w:r w:rsidR="009F3D4D" w:rsidRPr="004C5271">
        <w:rPr>
          <w:rFonts w:asciiTheme="majorBidi" w:hAnsiTheme="majorBidi" w:cstheme="majorBidi"/>
          <w:lang w:val="en-AU"/>
        </w:rPr>
        <w:t>Tasmania.</w:t>
      </w:r>
      <w:r w:rsidRPr="004C5271">
        <w:rPr>
          <w:rStyle w:val="FootnoteReference"/>
          <w:rFonts w:asciiTheme="majorBidi" w:hAnsiTheme="majorBidi" w:cstheme="majorBidi"/>
          <w:lang w:val="en-AU"/>
        </w:rPr>
        <w:footnoteReference w:id="388"/>
      </w:r>
      <w:r w:rsidR="009F3D4D" w:rsidRPr="004C5271">
        <w:rPr>
          <w:rFonts w:asciiTheme="majorBidi" w:hAnsiTheme="majorBidi" w:cstheme="majorBidi"/>
          <w:lang w:val="en-AU"/>
        </w:rPr>
        <w:t xml:space="preserve"> </w:t>
      </w:r>
      <w:r w:rsidRPr="004C5271">
        <w:rPr>
          <w:rFonts w:asciiTheme="majorBidi" w:hAnsiTheme="majorBidi" w:cstheme="majorBidi"/>
          <w:lang w:val="en-AU"/>
        </w:rPr>
        <w:t xml:space="preserve">James Walker observed that, when Queensland abolished death duties, </w:t>
      </w:r>
      <w:r w:rsidR="00602FC8" w:rsidRPr="004C5271">
        <w:rPr>
          <w:rFonts w:asciiTheme="majorBidi" w:hAnsiTheme="majorBidi" w:cstheme="majorBidi"/>
          <w:lang w:val="en-AU"/>
        </w:rPr>
        <w:t xml:space="preserve">there was </w:t>
      </w:r>
      <w:r w:rsidRPr="004C5271">
        <w:rPr>
          <w:rFonts w:asciiTheme="majorBidi" w:hAnsiTheme="majorBidi" w:cstheme="majorBidi"/>
          <w:lang w:val="en-AU"/>
        </w:rPr>
        <w:t>anecdotal</w:t>
      </w:r>
      <w:r w:rsidR="00602FC8" w:rsidRPr="004C5271">
        <w:rPr>
          <w:rFonts w:asciiTheme="majorBidi" w:hAnsiTheme="majorBidi" w:cstheme="majorBidi"/>
          <w:lang w:val="en-AU"/>
        </w:rPr>
        <w:t xml:space="preserve"> evidence</w:t>
      </w:r>
      <w:r w:rsidRPr="004C5271">
        <w:rPr>
          <w:rFonts w:asciiTheme="majorBidi" w:hAnsiTheme="majorBidi" w:cstheme="majorBidi"/>
          <w:lang w:val="en-AU"/>
        </w:rPr>
        <w:t xml:space="preserve"> </w:t>
      </w:r>
      <w:r w:rsidR="00602FC8" w:rsidRPr="004C5271">
        <w:rPr>
          <w:rFonts w:asciiTheme="majorBidi" w:hAnsiTheme="majorBidi" w:cstheme="majorBidi"/>
          <w:lang w:val="en-AU"/>
        </w:rPr>
        <w:t>that</w:t>
      </w:r>
      <w:r w:rsidRPr="004C5271">
        <w:rPr>
          <w:rFonts w:asciiTheme="majorBidi" w:hAnsiTheme="majorBidi" w:cstheme="majorBidi"/>
          <w:lang w:val="en-AU"/>
        </w:rPr>
        <w:t xml:space="preserve"> a significant number of individuals moved their investment assets to Queensland to avoid death duties</w:t>
      </w:r>
      <w:r w:rsidR="00602FC8" w:rsidRPr="004C5271">
        <w:rPr>
          <w:rFonts w:asciiTheme="majorBidi" w:hAnsiTheme="majorBidi" w:cstheme="majorBidi"/>
          <w:lang w:val="en-AU"/>
        </w:rPr>
        <w:t>.</w:t>
      </w:r>
      <w:r w:rsidR="00B1631C" w:rsidRPr="004C5271">
        <w:rPr>
          <w:rStyle w:val="FootnoteReference"/>
          <w:rFonts w:asciiTheme="majorBidi" w:hAnsiTheme="majorBidi" w:cstheme="majorBidi"/>
          <w:lang w:val="en-AU"/>
        </w:rPr>
        <w:footnoteReference w:id="389"/>
      </w:r>
      <w:r w:rsidRPr="004C5271">
        <w:rPr>
          <w:rFonts w:asciiTheme="majorBidi" w:hAnsiTheme="majorBidi" w:cstheme="majorBidi"/>
          <w:lang w:val="en-AU"/>
        </w:rPr>
        <w:t xml:space="preserve"> </w:t>
      </w:r>
      <w:r w:rsidR="00602FC8" w:rsidRPr="004C5271">
        <w:rPr>
          <w:rFonts w:asciiTheme="majorBidi" w:hAnsiTheme="majorBidi" w:cstheme="majorBidi"/>
          <w:lang w:val="en-AU"/>
        </w:rPr>
        <w:t>Accordingly, it is</w:t>
      </w:r>
      <w:r w:rsidR="00D6776E" w:rsidRPr="004C5271">
        <w:rPr>
          <w:rFonts w:asciiTheme="majorBidi" w:hAnsiTheme="majorBidi" w:cstheme="majorBidi"/>
          <w:lang w:val="en-AU"/>
        </w:rPr>
        <w:t xml:space="preserve"> </w:t>
      </w:r>
      <w:r w:rsidRPr="004C5271">
        <w:rPr>
          <w:rFonts w:asciiTheme="majorBidi" w:hAnsiTheme="majorBidi" w:cstheme="majorBidi"/>
          <w:lang w:val="en-AU"/>
        </w:rPr>
        <w:t xml:space="preserve">foreseeable that similar </w:t>
      </w:r>
      <w:r w:rsidR="00602FC8" w:rsidRPr="004C5271">
        <w:rPr>
          <w:rFonts w:asciiTheme="majorBidi" w:hAnsiTheme="majorBidi" w:cstheme="majorBidi"/>
          <w:lang w:val="en-AU"/>
        </w:rPr>
        <w:t xml:space="preserve">conduct </w:t>
      </w:r>
      <w:r w:rsidRPr="004C5271">
        <w:rPr>
          <w:rFonts w:asciiTheme="majorBidi" w:hAnsiTheme="majorBidi" w:cstheme="majorBidi"/>
          <w:lang w:val="en-AU"/>
        </w:rPr>
        <w:t xml:space="preserve">could </w:t>
      </w:r>
      <w:r w:rsidR="00602FC8" w:rsidRPr="004C5271">
        <w:rPr>
          <w:rFonts w:asciiTheme="majorBidi" w:hAnsiTheme="majorBidi" w:cstheme="majorBidi"/>
          <w:lang w:val="en-AU"/>
        </w:rPr>
        <w:t xml:space="preserve">follow the </w:t>
      </w:r>
      <w:r w:rsidRPr="004C5271">
        <w:rPr>
          <w:rFonts w:asciiTheme="majorBidi" w:hAnsiTheme="majorBidi" w:cstheme="majorBidi"/>
          <w:lang w:val="en-AU"/>
        </w:rPr>
        <w:t>introduction of notional estates laws.</w:t>
      </w:r>
      <w:bookmarkEnd w:id="176"/>
    </w:p>
    <w:p w14:paraId="79CBDE87" w14:textId="3C230DD4" w:rsidR="00363F2D" w:rsidRPr="004C5271" w:rsidRDefault="00611C21" w:rsidP="003A60D1">
      <w:pPr>
        <w:pStyle w:val="NormalNumberedTextTLRI"/>
        <w:rPr>
          <w:rFonts w:asciiTheme="majorBidi" w:hAnsiTheme="majorBidi" w:cstheme="majorBidi"/>
          <w:lang w:val="en-AU"/>
        </w:rPr>
      </w:pPr>
      <w:r w:rsidRPr="004C5271">
        <w:rPr>
          <w:rFonts w:asciiTheme="majorBidi" w:hAnsiTheme="majorBidi" w:cstheme="majorBidi"/>
          <w:lang w:val="en-AU"/>
        </w:rPr>
        <w:t>Three</w:t>
      </w:r>
      <w:r w:rsidR="00363F2D" w:rsidRPr="004C5271">
        <w:rPr>
          <w:rFonts w:asciiTheme="majorBidi" w:hAnsiTheme="majorBidi" w:cstheme="majorBidi"/>
          <w:lang w:val="en-AU"/>
        </w:rPr>
        <w:t xml:space="preserve"> respondent</w:t>
      </w:r>
      <w:r w:rsidR="00910740" w:rsidRPr="004C5271">
        <w:rPr>
          <w:rFonts w:asciiTheme="majorBidi" w:hAnsiTheme="majorBidi" w:cstheme="majorBidi"/>
          <w:lang w:val="en-AU"/>
        </w:rPr>
        <w:t>s</w:t>
      </w:r>
      <w:r w:rsidR="00363F2D" w:rsidRPr="004C5271">
        <w:rPr>
          <w:rFonts w:asciiTheme="majorBidi" w:hAnsiTheme="majorBidi" w:cstheme="majorBidi"/>
          <w:lang w:val="en-AU"/>
        </w:rPr>
        <w:t xml:space="preserve"> </w:t>
      </w:r>
      <w:r w:rsidR="00910740" w:rsidRPr="004C5271">
        <w:rPr>
          <w:rFonts w:asciiTheme="majorBidi" w:hAnsiTheme="majorBidi" w:cstheme="majorBidi"/>
          <w:lang w:val="en-AU"/>
        </w:rPr>
        <w:t>noted</w:t>
      </w:r>
      <w:r w:rsidR="00363F2D" w:rsidRPr="004C5271">
        <w:rPr>
          <w:rFonts w:asciiTheme="majorBidi" w:hAnsiTheme="majorBidi" w:cstheme="majorBidi"/>
          <w:lang w:val="en-AU"/>
        </w:rPr>
        <w:t xml:space="preserve"> that </w:t>
      </w:r>
      <w:r w:rsidR="005C7F1B" w:rsidRPr="004C5271">
        <w:rPr>
          <w:rFonts w:asciiTheme="majorBidi" w:hAnsiTheme="majorBidi" w:cstheme="majorBidi"/>
          <w:lang w:val="en-AU"/>
        </w:rPr>
        <w:t>only one Australian jurisdiction has</w:t>
      </w:r>
      <w:r w:rsidR="00363F2D" w:rsidRPr="004C5271">
        <w:rPr>
          <w:rFonts w:asciiTheme="majorBidi" w:hAnsiTheme="majorBidi" w:cstheme="majorBidi"/>
          <w:lang w:val="en-AU"/>
        </w:rPr>
        <w:t xml:space="preserve"> notional estate legislation and </w:t>
      </w:r>
      <w:r w:rsidR="005C7F1B" w:rsidRPr="004C5271">
        <w:rPr>
          <w:rFonts w:asciiTheme="majorBidi" w:hAnsiTheme="majorBidi" w:cstheme="majorBidi"/>
          <w:lang w:val="en-AU"/>
        </w:rPr>
        <w:t xml:space="preserve">that </w:t>
      </w:r>
      <w:r w:rsidR="00363F2D" w:rsidRPr="004C5271">
        <w:rPr>
          <w:rFonts w:asciiTheme="majorBidi" w:hAnsiTheme="majorBidi" w:cstheme="majorBidi"/>
          <w:lang w:val="en-AU"/>
        </w:rPr>
        <w:t>we should adopt a</w:t>
      </w:r>
      <w:r w:rsidR="00910740" w:rsidRPr="004C5271">
        <w:rPr>
          <w:rFonts w:asciiTheme="majorBidi" w:hAnsiTheme="majorBidi" w:cstheme="majorBidi"/>
          <w:lang w:val="en-AU"/>
        </w:rPr>
        <w:t xml:space="preserve">n </w:t>
      </w:r>
      <w:r w:rsidR="00363F2D" w:rsidRPr="004C5271">
        <w:rPr>
          <w:rFonts w:asciiTheme="majorBidi" w:hAnsiTheme="majorBidi" w:cstheme="majorBidi"/>
          <w:lang w:val="en-AU"/>
        </w:rPr>
        <w:t>approach</w:t>
      </w:r>
      <w:r w:rsidR="00910740" w:rsidRPr="004C5271">
        <w:rPr>
          <w:rFonts w:asciiTheme="majorBidi" w:hAnsiTheme="majorBidi" w:cstheme="majorBidi"/>
          <w:lang w:val="en-AU"/>
        </w:rPr>
        <w:t xml:space="preserve"> consistent with </w:t>
      </w:r>
      <w:r w:rsidR="00363F2D" w:rsidRPr="004C5271">
        <w:rPr>
          <w:rFonts w:asciiTheme="majorBidi" w:hAnsiTheme="majorBidi" w:cstheme="majorBidi"/>
          <w:lang w:val="en-AU"/>
        </w:rPr>
        <w:t>the majority.</w:t>
      </w:r>
      <w:r w:rsidR="00363F2D" w:rsidRPr="004C5271">
        <w:rPr>
          <w:rStyle w:val="FootnoteReference"/>
          <w:rFonts w:asciiTheme="majorBidi" w:hAnsiTheme="majorBidi" w:cstheme="majorBidi"/>
          <w:lang w:val="en-AU"/>
        </w:rPr>
        <w:footnoteReference w:id="390"/>
      </w:r>
      <w:r w:rsidR="004E6A59" w:rsidRPr="004C5271">
        <w:rPr>
          <w:rFonts w:asciiTheme="majorBidi" w:hAnsiTheme="majorBidi" w:cstheme="majorBidi"/>
          <w:lang w:val="en-AU"/>
        </w:rPr>
        <w:t xml:space="preserve"> </w:t>
      </w:r>
    </w:p>
    <w:p w14:paraId="27D65F93" w14:textId="55AFF595" w:rsidR="00CC0BA6" w:rsidRPr="004C5271" w:rsidRDefault="00CC0BA6" w:rsidP="000E0A3E">
      <w:pPr>
        <w:pStyle w:val="NormalNumberedTextTLRI"/>
        <w:rPr>
          <w:rFonts w:asciiTheme="majorBidi" w:hAnsiTheme="majorBidi" w:cstheme="majorBidi"/>
          <w:lang w:val="en-AU"/>
        </w:rPr>
      </w:pPr>
      <w:r w:rsidRPr="004C5271">
        <w:rPr>
          <w:rFonts w:asciiTheme="majorBidi" w:hAnsiTheme="majorBidi" w:cstheme="majorBidi"/>
          <w:lang w:val="en-AU"/>
        </w:rPr>
        <w:t xml:space="preserve">As noted elsewhere in this </w:t>
      </w:r>
      <w:r w:rsidR="008F1E45" w:rsidRPr="004C5271">
        <w:rPr>
          <w:rFonts w:asciiTheme="majorBidi" w:hAnsiTheme="majorBidi" w:cstheme="majorBidi"/>
          <w:lang w:val="en-AU"/>
        </w:rPr>
        <w:t>r</w:t>
      </w:r>
      <w:r w:rsidRPr="004C5271">
        <w:rPr>
          <w:rFonts w:asciiTheme="majorBidi" w:hAnsiTheme="majorBidi" w:cstheme="majorBidi"/>
          <w:lang w:val="en-AU"/>
        </w:rPr>
        <w:t>eport,</w:t>
      </w:r>
      <w:r w:rsidRPr="004C5271">
        <w:rPr>
          <w:rStyle w:val="FootnoteReference"/>
          <w:rFonts w:asciiTheme="majorBidi" w:hAnsiTheme="majorBidi" w:cstheme="majorBidi"/>
          <w:lang w:val="en-AU"/>
        </w:rPr>
        <w:footnoteReference w:id="391"/>
      </w:r>
      <w:r w:rsidRPr="004C5271">
        <w:rPr>
          <w:rFonts w:asciiTheme="majorBidi" w:hAnsiTheme="majorBidi" w:cstheme="majorBidi"/>
          <w:lang w:val="en-AU"/>
        </w:rPr>
        <w:t xml:space="preserve"> one of the key drivers for the enactment of notional estate legislation in New South Wales was </w:t>
      </w:r>
      <w:r w:rsidR="001367EE" w:rsidRPr="004C5271">
        <w:rPr>
          <w:rFonts w:asciiTheme="majorBidi" w:hAnsiTheme="majorBidi" w:cstheme="majorBidi"/>
          <w:lang w:val="en-AU"/>
        </w:rPr>
        <w:t xml:space="preserve">the desire </w:t>
      </w:r>
      <w:r w:rsidRPr="004C5271">
        <w:rPr>
          <w:rFonts w:asciiTheme="majorBidi" w:hAnsiTheme="majorBidi" w:cstheme="majorBidi"/>
          <w:lang w:val="en-AU"/>
        </w:rPr>
        <w:t xml:space="preserve">to further the objectives of family provision legislation. The absence of </w:t>
      </w:r>
      <w:r w:rsidRPr="004C5271">
        <w:rPr>
          <w:rFonts w:asciiTheme="majorBidi" w:hAnsiTheme="majorBidi" w:cstheme="majorBidi"/>
          <w:lang w:val="en-AU"/>
        </w:rPr>
        <w:lastRenderedPageBreak/>
        <w:t>nationally uniform family provision legislation operates as a significant barrier to notional estate legislation achieving this purpose. This matter is discussed further at [</w:t>
      </w:r>
      <w:r w:rsidR="0095151F" w:rsidRPr="004C5271">
        <w:rPr>
          <w:rFonts w:asciiTheme="majorBidi" w:hAnsiTheme="majorBidi" w:cstheme="majorBidi"/>
          <w:lang w:val="en-AU"/>
        </w:rPr>
        <w:fldChar w:fldCharType="begin"/>
      </w:r>
      <w:r w:rsidR="0095151F" w:rsidRPr="004C5271">
        <w:rPr>
          <w:rFonts w:asciiTheme="majorBidi" w:hAnsiTheme="majorBidi" w:cstheme="majorBidi"/>
          <w:lang w:val="en-AU"/>
        </w:rPr>
        <w:instrText xml:space="preserve"> REF _Ref13420249 \w \h </w:instrText>
      </w:r>
      <w:r w:rsidR="004C5271">
        <w:rPr>
          <w:rFonts w:asciiTheme="majorBidi" w:hAnsiTheme="majorBidi" w:cstheme="majorBidi"/>
          <w:lang w:val="en-AU"/>
        </w:rPr>
        <w:instrText xml:space="preserve"> \* MERGEFORMAT </w:instrText>
      </w:r>
      <w:r w:rsidR="0095151F" w:rsidRPr="004C5271">
        <w:rPr>
          <w:rFonts w:asciiTheme="majorBidi" w:hAnsiTheme="majorBidi" w:cstheme="majorBidi"/>
          <w:lang w:val="en-AU"/>
        </w:rPr>
      </w:r>
      <w:r w:rsidR="0095151F"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5.9.10</w:t>
      </w:r>
      <w:r w:rsidR="0095151F" w:rsidRPr="004C5271">
        <w:rPr>
          <w:rFonts w:asciiTheme="majorBidi" w:hAnsiTheme="majorBidi" w:cstheme="majorBidi"/>
          <w:lang w:val="en-AU"/>
        </w:rPr>
        <w:fldChar w:fldCharType="end"/>
      </w:r>
      <w:r w:rsidRPr="004C5271">
        <w:rPr>
          <w:rFonts w:asciiTheme="majorBidi" w:hAnsiTheme="majorBidi" w:cstheme="majorBidi"/>
          <w:lang w:val="en-AU"/>
        </w:rPr>
        <w:t xml:space="preserve">] to support the Institute’s conclusion that notional estate legislation </w:t>
      </w:r>
      <w:r w:rsidR="00D005DB" w:rsidRPr="004C5271">
        <w:rPr>
          <w:rFonts w:asciiTheme="majorBidi" w:hAnsiTheme="majorBidi" w:cstheme="majorBidi"/>
          <w:lang w:val="en-AU"/>
        </w:rPr>
        <w:t>should</w:t>
      </w:r>
      <w:r w:rsidRPr="004C5271">
        <w:rPr>
          <w:rFonts w:asciiTheme="majorBidi" w:hAnsiTheme="majorBidi" w:cstheme="majorBidi"/>
          <w:lang w:val="en-AU"/>
        </w:rPr>
        <w:t xml:space="preserve"> not </w:t>
      </w:r>
      <w:r w:rsidR="00D005DB" w:rsidRPr="004C5271">
        <w:rPr>
          <w:rFonts w:asciiTheme="majorBidi" w:hAnsiTheme="majorBidi" w:cstheme="majorBidi"/>
          <w:lang w:val="en-AU"/>
        </w:rPr>
        <w:t xml:space="preserve">be </w:t>
      </w:r>
      <w:r w:rsidRPr="004C5271">
        <w:rPr>
          <w:rFonts w:asciiTheme="majorBidi" w:hAnsiTheme="majorBidi" w:cstheme="majorBidi"/>
          <w:lang w:val="en-AU"/>
        </w:rPr>
        <w:t>introduced in Tasmania in the absence of national uniformity.</w:t>
      </w:r>
    </w:p>
    <w:p w14:paraId="7BCA4951" w14:textId="2C59F828" w:rsidR="009F3D4D" w:rsidRPr="004C5271" w:rsidRDefault="009F3D4D" w:rsidP="00AE2B8C">
      <w:pPr>
        <w:pStyle w:val="Sub-HeadingTLRI"/>
      </w:pPr>
      <w:r w:rsidRPr="004C5271">
        <w:t>Existing alternative claims to estate and non-estate assets: Equitable claims</w:t>
      </w:r>
      <w:r w:rsidR="008758F0" w:rsidRPr="004C5271">
        <w:rPr>
          <w:rStyle w:val="FootnoteReference"/>
          <w:rFonts w:asciiTheme="majorBidi" w:hAnsiTheme="majorBidi"/>
          <w:b w:val="0"/>
          <w:bCs/>
          <w:i w:val="0"/>
          <w:iCs/>
        </w:rPr>
        <w:footnoteReference w:id="392"/>
      </w:r>
    </w:p>
    <w:p w14:paraId="1A6BB358" w14:textId="7A79D458" w:rsidR="009F3D4D" w:rsidRPr="004C5271" w:rsidRDefault="009F3D4D" w:rsidP="00AD1541">
      <w:pPr>
        <w:pStyle w:val="NormalNumberedTextTLRI"/>
        <w:spacing w:before="120" w:after="120"/>
        <w:rPr>
          <w:rFonts w:asciiTheme="majorBidi" w:hAnsiTheme="majorBidi" w:cstheme="majorBidi"/>
          <w:lang w:val="en-AU"/>
        </w:rPr>
      </w:pPr>
      <w:bookmarkStart w:id="178" w:name="_Ref13504189"/>
      <w:r w:rsidRPr="004C5271">
        <w:rPr>
          <w:rFonts w:asciiTheme="majorBidi" w:hAnsiTheme="majorBidi" w:cstheme="majorBidi"/>
          <w:lang w:val="en-AU"/>
        </w:rPr>
        <w:t xml:space="preserve">A </w:t>
      </w:r>
      <w:r w:rsidR="00C53A41" w:rsidRPr="004C5271">
        <w:rPr>
          <w:rFonts w:asciiTheme="majorBidi" w:hAnsiTheme="majorBidi" w:cstheme="majorBidi"/>
          <w:lang w:val="en-AU"/>
        </w:rPr>
        <w:t>relevant</w:t>
      </w:r>
      <w:r w:rsidRPr="004C5271">
        <w:rPr>
          <w:rFonts w:asciiTheme="majorBidi" w:hAnsiTheme="majorBidi" w:cstheme="majorBidi"/>
          <w:lang w:val="en-AU"/>
        </w:rPr>
        <w:t xml:space="preserve"> </w:t>
      </w:r>
      <w:r w:rsidR="0069625C" w:rsidRPr="004C5271">
        <w:rPr>
          <w:rFonts w:asciiTheme="majorBidi" w:hAnsiTheme="majorBidi" w:cstheme="majorBidi"/>
          <w:lang w:val="en-AU"/>
        </w:rPr>
        <w:t>factor to consider</w:t>
      </w:r>
      <w:r w:rsidRPr="004C5271">
        <w:rPr>
          <w:rFonts w:asciiTheme="majorBidi" w:hAnsiTheme="majorBidi" w:cstheme="majorBidi"/>
          <w:lang w:val="en-AU"/>
        </w:rPr>
        <w:t xml:space="preserve"> is the extent to which individuals can pursue </w:t>
      </w:r>
      <w:r w:rsidR="0013376C" w:rsidRPr="004C5271">
        <w:rPr>
          <w:rFonts w:asciiTheme="majorBidi" w:hAnsiTheme="majorBidi" w:cstheme="majorBidi"/>
          <w:lang w:val="en-AU"/>
        </w:rPr>
        <w:t>a claim to</w:t>
      </w:r>
      <w:r w:rsidRPr="004C5271">
        <w:rPr>
          <w:rFonts w:asciiTheme="majorBidi" w:hAnsiTheme="majorBidi" w:cstheme="majorBidi"/>
          <w:lang w:val="en-AU"/>
        </w:rPr>
        <w:t xml:space="preserve"> non-estate assets without notional estate </w:t>
      </w:r>
      <w:r w:rsidR="0069625C" w:rsidRPr="004C5271">
        <w:rPr>
          <w:rFonts w:asciiTheme="majorBidi" w:hAnsiTheme="majorBidi" w:cstheme="majorBidi"/>
          <w:lang w:val="en-AU"/>
        </w:rPr>
        <w:t>legislation</w:t>
      </w:r>
      <w:r w:rsidRPr="004C5271">
        <w:rPr>
          <w:rFonts w:asciiTheme="majorBidi" w:hAnsiTheme="majorBidi" w:cstheme="majorBidi"/>
          <w:lang w:val="en-AU"/>
        </w:rPr>
        <w:t xml:space="preserve">. </w:t>
      </w:r>
      <w:r w:rsidR="009E59C7" w:rsidRPr="004C5271">
        <w:rPr>
          <w:rFonts w:asciiTheme="majorBidi" w:hAnsiTheme="majorBidi" w:cstheme="majorBidi"/>
          <w:lang w:val="en-AU"/>
        </w:rPr>
        <w:t>One</w:t>
      </w:r>
      <w:r w:rsidRPr="004C5271">
        <w:rPr>
          <w:rFonts w:asciiTheme="majorBidi" w:hAnsiTheme="majorBidi" w:cstheme="majorBidi"/>
          <w:lang w:val="en-AU"/>
        </w:rPr>
        <w:t xml:space="preserve"> submission raised this issue.</w:t>
      </w:r>
      <w:r w:rsidR="00AE3AF6" w:rsidRPr="004C5271">
        <w:rPr>
          <w:rStyle w:val="FootnoteReference"/>
          <w:rFonts w:asciiTheme="majorBidi" w:hAnsiTheme="majorBidi" w:cstheme="majorBidi"/>
          <w:lang w:val="en-AU"/>
        </w:rPr>
        <w:footnoteReference w:id="393"/>
      </w:r>
      <w:bookmarkEnd w:id="178"/>
    </w:p>
    <w:p w14:paraId="3A086477" w14:textId="158C9801" w:rsidR="00E54666" w:rsidRPr="004C5271" w:rsidRDefault="00E54307" w:rsidP="00E54666">
      <w:pPr>
        <w:pStyle w:val="NormalNumberedTextTLRI"/>
        <w:rPr>
          <w:rFonts w:asciiTheme="majorBidi" w:hAnsiTheme="majorBidi" w:cstheme="majorBidi"/>
          <w:lang w:val="en-AU"/>
        </w:rPr>
      </w:pPr>
      <w:r w:rsidRPr="004C5271">
        <w:rPr>
          <w:rFonts w:asciiTheme="majorBidi" w:hAnsiTheme="majorBidi" w:cstheme="majorBidi"/>
          <w:lang w:val="en-AU"/>
        </w:rPr>
        <w:t>I</w:t>
      </w:r>
      <w:r w:rsidR="00E54666" w:rsidRPr="004C5271">
        <w:rPr>
          <w:rFonts w:asciiTheme="majorBidi" w:hAnsiTheme="majorBidi" w:cstheme="majorBidi"/>
          <w:lang w:val="en-AU"/>
        </w:rPr>
        <w:t>n certain circumstances, individuals may have claims to non-estate assets</w:t>
      </w:r>
      <w:r w:rsidR="0013376C" w:rsidRPr="004C5271">
        <w:rPr>
          <w:rFonts w:asciiTheme="majorBidi" w:hAnsiTheme="majorBidi" w:cstheme="majorBidi"/>
          <w:lang w:val="en-AU"/>
        </w:rPr>
        <w:t xml:space="preserve"> without resort to family provision legislation</w:t>
      </w:r>
      <w:r w:rsidR="00E54666" w:rsidRPr="004C5271">
        <w:rPr>
          <w:rFonts w:asciiTheme="majorBidi" w:hAnsiTheme="majorBidi" w:cstheme="majorBidi"/>
          <w:lang w:val="en-AU"/>
        </w:rPr>
        <w:t xml:space="preserve">. </w:t>
      </w:r>
      <w:r w:rsidR="0013376C" w:rsidRPr="004C5271">
        <w:rPr>
          <w:rFonts w:asciiTheme="majorBidi" w:hAnsiTheme="majorBidi" w:cstheme="majorBidi"/>
          <w:lang w:val="en-AU"/>
        </w:rPr>
        <w:t>I</w:t>
      </w:r>
      <w:r w:rsidR="00E54666" w:rsidRPr="004C5271">
        <w:rPr>
          <w:rFonts w:asciiTheme="majorBidi" w:hAnsiTheme="majorBidi" w:cstheme="majorBidi"/>
          <w:lang w:val="en-AU"/>
        </w:rPr>
        <w:t>n Part 1,</w:t>
      </w:r>
      <w:r w:rsidR="0013376C" w:rsidRPr="004C5271">
        <w:rPr>
          <w:rStyle w:val="FootnoteReference"/>
          <w:rFonts w:asciiTheme="majorBidi" w:hAnsiTheme="majorBidi" w:cstheme="majorBidi"/>
          <w:lang w:val="en-AU"/>
        </w:rPr>
        <w:footnoteReference w:id="394"/>
      </w:r>
      <w:r w:rsidR="0013376C" w:rsidRPr="004C5271">
        <w:rPr>
          <w:rFonts w:asciiTheme="majorBidi" w:hAnsiTheme="majorBidi" w:cstheme="majorBidi"/>
          <w:lang w:val="en-AU"/>
        </w:rPr>
        <w:t xml:space="preserve"> it was explained that </w:t>
      </w:r>
      <w:r w:rsidR="00E54666" w:rsidRPr="004C5271">
        <w:rPr>
          <w:rFonts w:asciiTheme="majorBidi" w:hAnsiTheme="majorBidi" w:cstheme="majorBidi"/>
          <w:lang w:val="en-AU"/>
        </w:rPr>
        <w:t xml:space="preserve">where assets </w:t>
      </w:r>
      <w:r w:rsidR="0013376C" w:rsidRPr="004C5271">
        <w:rPr>
          <w:rFonts w:asciiTheme="majorBidi" w:hAnsiTheme="majorBidi" w:cstheme="majorBidi"/>
          <w:lang w:val="en-AU"/>
        </w:rPr>
        <w:t>are</w:t>
      </w:r>
      <w:r w:rsidR="00E54666" w:rsidRPr="004C5271">
        <w:rPr>
          <w:rFonts w:asciiTheme="majorBidi" w:hAnsiTheme="majorBidi" w:cstheme="majorBidi"/>
          <w:lang w:val="en-AU"/>
        </w:rPr>
        <w:t xml:space="preserve"> transferred at a time when </w:t>
      </w:r>
      <w:r w:rsidR="0013376C" w:rsidRPr="004C5271">
        <w:rPr>
          <w:rFonts w:asciiTheme="majorBidi" w:hAnsiTheme="majorBidi" w:cstheme="majorBidi"/>
          <w:lang w:val="en-AU"/>
        </w:rPr>
        <w:t>the person</w:t>
      </w:r>
      <w:r w:rsidR="00E54666" w:rsidRPr="004C5271">
        <w:rPr>
          <w:rFonts w:asciiTheme="majorBidi" w:hAnsiTheme="majorBidi" w:cstheme="majorBidi"/>
          <w:lang w:val="en-AU"/>
        </w:rPr>
        <w:t xml:space="preserve"> did not </w:t>
      </w:r>
      <w:r w:rsidR="00602FC8" w:rsidRPr="004C5271">
        <w:rPr>
          <w:rFonts w:asciiTheme="majorBidi" w:hAnsiTheme="majorBidi" w:cstheme="majorBidi"/>
          <w:lang w:val="en-AU"/>
        </w:rPr>
        <w:t xml:space="preserve">have </w:t>
      </w:r>
      <w:r w:rsidR="00E54666" w:rsidRPr="004C5271">
        <w:rPr>
          <w:rFonts w:asciiTheme="majorBidi" w:hAnsiTheme="majorBidi" w:cstheme="majorBidi"/>
          <w:lang w:val="en-AU"/>
        </w:rPr>
        <w:t>the necessary capacity to understand the transaction, or were subject to undue influence or fraud, the transaction may be set aside. Similarly, transfers that an attorney or administrator undertook without authority may also be rendered void. The effect is to restore the asset</w:t>
      </w:r>
      <w:r w:rsidR="00602FC8" w:rsidRPr="004C5271">
        <w:rPr>
          <w:rFonts w:asciiTheme="majorBidi" w:hAnsiTheme="majorBidi" w:cstheme="majorBidi"/>
          <w:lang w:val="en-AU"/>
        </w:rPr>
        <w:t>s</w:t>
      </w:r>
      <w:r w:rsidR="00E54666" w:rsidRPr="004C5271">
        <w:rPr>
          <w:rFonts w:asciiTheme="majorBidi" w:hAnsiTheme="majorBidi" w:cstheme="majorBidi"/>
          <w:lang w:val="en-AU"/>
        </w:rPr>
        <w:t xml:space="preserve"> to the deceased’s estate. </w:t>
      </w:r>
    </w:p>
    <w:p w14:paraId="30CC07D1" w14:textId="6A122A60" w:rsidR="009F3D4D" w:rsidRPr="004C5271" w:rsidRDefault="00E54666" w:rsidP="00E54666">
      <w:pPr>
        <w:pStyle w:val="NormalNumberedTextTLRI"/>
        <w:rPr>
          <w:rFonts w:asciiTheme="majorBidi" w:hAnsiTheme="majorBidi" w:cstheme="majorBidi"/>
          <w:lang w:val="en-AU"/>
        </w:rPr>
      </w:pPr>
      <w:bookmarkStart w:id="180" w:name="_Ref13485174"/>
      <w:r w:rsidRPr="004C5271">
        <w:rPr>
          <w:rFonts w:asciiTheme="majorBidi" w:hAnsiTheme="majorBidi" w:cstheme="majorBidi"/>
          <w:lang w:val="en-AU"/>
        </w:rPr>
        <w:t xml:space="preserve">Separately, individuals may pursue a claim in equity to property that a deceased person owned. This includes assets falling outside </w:t>
      </w:r>
      <w:r w:rsidR="0013376C" w:rsidRPr="004C5271">
        <w:rPr>
          <w:rFonts w:asciiTheme="majorBidi" w:hAnsiTheme="majorBidi" w:cstheme="majorBidi"/>
          <w:lang w:val="en-AU"/>
        </w:rPr>
        <w:t>a person’s</w:t>
      </w:r>
      <w:r w:rsidRPr="004C5271">
        <w:rPr>
          <w:rFonts w:asciiTheme="majorBidi" w:hAnsiTheme="majorBidi" w:cstheme="majorBidi"/>
          <w:lang w:val="en-AU"/>
        </w:rPr>
        <w:t xml:space="preserve"> estate. </w:t>
      </w:r>
      <w:r w:rsidR="009F3D4D" w:rsidRPr="004C5271">
        <w:rPr>
          <w:rFonts w:asciiTheme="majorBidi" w:hAnsiTheme="majorBidi" w:cstheme="majorBidi"/>
          <w:lang w:val="en-AU"/>
        </w:rPr>
        <w:t xml:space="preserve">The doctrine of equitable estoppel, for example, enables applicants to </w:t>
      </w:r>
      <w:r w:rsidR="009F3D4D" w:rsidRPr="004C5271">
        <w:rPr>
          <w:rFonts w:asciiTheme="majorBidi" w:hAnsiTheme="majorBidi" w:cstheme="majorBidi"/>
          <w:lang w:val="en-AU"/>
        </w:rPr>
        <w:lastRenderedPageBreak/>
        <w:t>claim relief where a deceased has, during their lifetime, made representations or promises to them that they have then relied upon to their detriment such that it would be unconscionable for the deceased to depart from the expectation they had created.</w:t>
      </w:r>
      <w:r w:rsidR="009F3D4D" w:rsidRPr="004C5271">
        <w:rPr>
          <w:rStyle w:val="FootnoteReference"/>
          <w:rFonts w:asciiTheme="majorBidi" w:hAnsiTheme="majorBidi" w:cstheme="majorBidi"/>
          <w:lang w:val="en-AU"/>
        </w:rPr>
        <w:footnoteReference w:id="395"/>
      </w:r>
      <w:bookmarkEnd w:id="180"/>
      <w:r w:rsidR="009F3D4D" w:rsidRPr="004C5271">
        <w:rPr>
          <w:rFonts w:asciiTheme="majorBidi" w:hAnsiTheme="majorBidi" w:cstheme="majorBidi"/>
          <w:lang w:val="en-AU"/>
        </w:rPr>
        <w:t xml:space="preserve"> </w:t>
      </w:r>
    </w:p>
    <w:p w14:paraId="1E54B664" w14:textId="71674BF2" w:rsidR="009F3D4D" w:rsidRPr="004C5271" w:rsidRDefault="009F3D4D" w:rsidP="009F3D4D">
      <w:pPr>
        <w:pStyle w:val="NormalNumberedTextTLRI"/>
        <w:rPr>
          <w:rFonts w:asciiTheme="majorBidi" w:hAnsiTheme="majorBidi" w:cstheme="majorBidi"/>
          <w:lang w:val="en-AU"/>
        </w:rPr>
      </w:pPr>
      <w:r w:rsidRPr="004C5271">
        <w:rPr>
          <w:rFonts w:asciiTheme="majorBidi" w:hAnsiTheme="majorBidi" w:cstheme="majorBidi"/>
          <w:lang w:val="en-AU"/>
        </w:rPr>
        <w:t xml:space="preserve">An example </w:t>
      </w:r>
      <w:r w:rsidR="0013376C" w:rsidRPr="004C5271">
        <w:rPr>
          <w:rFonts w:asciiTheme="majorBidi" w:hAnsiTheme="majorBidi" w:cstheme="majorBidi"/>
          <w:lang w:val="en-AU"/>
        </w:rPr>
        <w:t>is</w:t>
      </w:r>
      <w:r w:rsidRPr="004C5271">
        <w:rPr>
          <w:rFonts w:asciiTheme="majorBidi" w:hAnsiTheme="majorBidi" w:cstheme="majorBidi"/>
          <w:lang w:val="en-AU"/>
        </w:rPr>
        <w:t xml:space="preserve"> </w:t>
      </w:r>
      <w:r w:rsidRPr="004C5271">
        <w:rPr>
          <w:rFonts w:asciiTheme="majorBidi" w:hAnsiTheme="majorBidi" w:cstheme="majorBidi"/>
          <w:i/>
          <w:iCs/>
          <w:lang w:val="en-AU"/>
        </w:rPr>
        <w:t>Ryan v Ryan</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396"/>
      </w:r>
      <w:r w:rsidRPr="004C5271">
        <w:rPr>
          <w:rFonts w:asciiTheme="majorBidi" w:hAnsiTheme="majorBidi" w:cstheme="majorBidi"/>
          <w:lang w:val="en-AU"/>
        </w:rPr>
        <w:t xml:space="preserve"> In that case, a deceased’s son applied to the court, claiming that his father had made certain promises to the effect that a property the father built at Berridale was </w:t>
      </w:r>
      <w:r w:rsidR="00A20502" w:rsidRPr="004C5271">
        <w:rPr>
          <w:rFonts w:asciiTheme="majorBidi" w:hAnsiTheme="majorBidi" w:cstheme="majorBidi"/>
          <w:lang w:val="en-AU"/>
        </w:rPr>
        <w:t>‘</w:t>
      </w:r>
      <w:r w:rsidRPr="004C5271">
        <w:rPr>
          <w:rFonts w:asciiTheme="majorBidi" w:hAnsiTheme="majorBidi" w:cstheme="majorBidi"/>
          <w:lang w:val="en-AU"/>
        </w:rPr>
        <w:t>going to be his and his sisters one day.</w:t>
      </w:r>
      <w:r w:rsidR="00A20502"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397"/>
      </w:r>
      <w:r w:rsidRPr="004C5271">
        <w:rPr>
          <w:rFonts w:asciiTheme="majorBidi" w:hAnsiTheme="majorBidi" w:cstheme="majorBidi"/>
          <w:lang w:val="en-AU"/>
        </w:rPr>
        <w:t xml:space="preserve"> The son asserted that, as a result of </w:t>
      </w:r>
      <w:r w:rsidR="0013376C" w:rsidRPr="004C5271">
        <w:rPr>
          <w:rFonts w:asciiTheme="majorBidi" w:hAnsiTheme="majorBidi" w:cstheme="majorBidi"/>
          <w:lang w:val="en-AU"/>
        </w:rPr>
        <w:t>his father’s</w:t>
      </w:r>
      <w:r w:rsidRPr="004C5271">
        <w:rPr>
          <w:rFonts w:asciiTheme="majorBidi" w:hAnsiTheme="majorBidi" w:cstheme="majorBidi"/>
          <w:lang w:val="en-AU"/>
        </w:rPr>
        <w:t xml:space="preserve"> representations, he had assisted </w:t>
      </w:r>
      <w:r w:rsidR="0013376C" w:rsidRPr="004C5271">
        <w:rPr>
          <w:rFonts w:asciiTheme="majorBidi" w:hAnsiTheme="majorBidi" w:cstheme="majorBidi"/>
          <w:lang w:val="en-AU"/>
        </w:rPr>
        <w:t>him</w:t>
      </w:r>
      <w:r w:rsidRPr="004C5271">
        <w:rPr>
          <w:rFonts w:asciiTheme="majorBidi" w:hAnsiTheme="majorBidi" w:cstheme="majorBidi"/>
          <w:lang w:val="en-AU"/>
        </w:rPr>
        <w:t xml:space="preserve"> with the construction of the </w:t>
      </w:r>
      <w:r w:rsidR="0013376C" w:rsidRPr="004C5271">
        <w:rPr>
          <w:rFonts w:asciiTheme="majorBidi" w:hAnsiTheme="majorBidi" w:cstheme="majorBidi"/>
          <w:lang w:val="en-AU"/>
        </w:rPr>
        <w:t>home</w:t>
      </w:r>
      <w:r w:rsidRPr="004C5271">
        <w:rPr>
          <w:rFonts w:asciiTheme="majorBidi" w:hAnsiTheme="majorBidi" w:cstheme="majorBidi"/>
          <w:lang w:val="en-AU"/>
        </w:rPr>
        <w:t xml:space="preserve">, including providing advice, assisting with the purchase of materials and supplying labour free of charge, to his detriment. The land </w:t>
      </w:r>
      <w:r w:rsidR="0013376C" w:rsidRPr="004C5271">
        <w:rPr>
          <w:rFonts w:asciiTheme="majorBidi" w:hAnsiTheme="majorBidi" w:cstheme="majorBidi"/>
          <w:lang w:val="en-AU"/>
        </w:rPr>
        <w:t>was</w:t>
      </w:r>
      <w:r w:rsidRPr="004C5271">
        <w:rPr>
          <w:rFonts w:asciiTheme="majorBidi" w:hAnsiTheme="majorBidi" w:cstheme="majorBidi"/>
          <w:lang w:val="en-AU"/>
        </w:rPr>
        <w:t xml:space="preserve"> purchased in the deceased’s sole name, however was later transferred to a joint tenancy with his partner </w:t>
      </w:r>
      <w:r w:rsidR="0013376C" w:rsidRPr="004C5271">
        <w:rPr>
          <w:rFonts w:asciiTheme="majorBidi" w:hAnsiTheme="majorBidi" w:cstheme="majorBidi"/>
          <w:lang w:val="en-AU"/>
        </w:rPr>
        <w:t>for</w:t>
      </w:r>
      <w:r w:rsidRPr="004C5271">
        <w:rPr>
          <w:rFonts w:asciiTheme="majorBidi" w:hAnsiTheme="majorBidi" w:cstheme="majorBidi"/>
          <w:lang w:val="en-AU"/>
        </w:rPr>
        <w:t xml:space="preserve"> </w:t>
      </w:r>
      <w:r w:rsidR="00A20502" w:rsidRPr="004C5271">
        <w:rPr>
          <w:rFonts w:asciiTheme="majorBidi" w:hAnsiTheme="majorBidi" w:cstheme="majorBidi"/>
          <w:lang w:val="en-AU"/>
        </w:rPr>
        <w:t>‘</w:t>
      </w:r>
      <w:r w:rsidRPr="004C5271">
        <w:rPr>
          <w:rFonts w:asciiTheme="majorBidi" w:hAnsiTheme="majorBidi" w:cstheme="majorBidi"/>
          <w:lang w:val="en-AU"/>
        </w:rPr>
        <w:t>natural love and affection</w:t>
      </w:r>
      <w:r w:rsidR="00A20502" w:rsidRPr="004C5271">
        <w:rPr>
          <w:rFonts w:asciiTheme="majorBidi" w:hAnsiTheme="majorBidi" w:cstheme="majorBidi"/>
          <w:lang w:val="en-AU"/>
        </w:rPr>
        <w:t>’</w:t>
      </w:r>
      <w:r w:rsidRPr="004C5271">
        <w:rPr>
          <w:rFonts w:asciiTheme="majorBidi" w:hAnsiTheme="majorBidi" w:cstheme="majorBidi"/>
          <w:lang w:val="en-AU"/>
        </w:rPr>
        <w:t xml:space="preserve">. The effect was that, upon the father’s death, the property vested in </w:t>
      </w:r>
      <w:r w:rsidR="0013376C" w:rsidRPr="004C5271">
        <w:rPr>
          <w:rFonts w:asciiTheme="majorBidi" w:hAnsiTheme="majorBidi" w:cstheme="majorBidi"/>
          <w:lang w:val="en-AU"/>
        </w:rPr>
        <w:t>his</w:t>
      </w:r>
      <w:r w:rsidRPr="004C5271">
        <w:rPr>
          <w:rFonts w:asciiTheme="majorBidi" w:hAnsiTheme="majorBidi" w:cstheme="majorBidi"/>
          <w:lang w:val="en-AU"/>
        </w:rPr>
        <w:t xml:space="preserve"> surviving partner and did not form part of </w:t>
      </w:r>
      <w:r w:rsidR="0013376C" w:rsidRPr="004C5271">
        <w:rPr>
          <w:rFonts w:asciiTheme="majorBidi" w:hAnsiTheme="majorBidi" w:cstheme="majorBidi"/>
          <w:lang w:val="en-AU"/>
        </w:rPr>
        <w:t>his</w:t>
      </w:r>
      <w:r w:rsidRPr="004C5271">
        <w:rPr>
          <w:rFonts w:asciiTheme="majorBidi" w:hAnsiTheme="majorBidi" w:cstheme="majorBidi"/>
          <w:lang w:val="en-AU"/>
        </w:rPr>
        <w:t xml:space="preserve"> estate. </w:t>
      </w:r>
      <w:r w:rsidR="0013376C" w:rsidRPr="004C5271">
        <w:rPr>
          <w:rFonts w:asciiTheme="majorBidi" w:hAnsiTheme="majorBidi" w:cstheme="majorBidi"/>
          <w:lang w:val="en-AU"/>
        </w:rPr>
        <w:t>As a result</w:t>
      </w:r>
      <w:r w:rsidRPr="004C5271">
        <w:rPr>
          <w:rFonts w:asciiTheme="majorBidi" w:hAnsiTheme="majorBidi" w:cstheme="majorBidi"/>
          <w:lang w:val="en-AU"/>
        </w:rPr>
        <w:t>, it could not be claimed via a family provision claim.</w:t>
      </w:r>
    </w:p>
    <w:p w14:paraId="32E5EF86" w14:textId="4E63D0B9" w:rsidR="009F3D4D" w:rsidRPr="004C5271" w:rsidRDefault="009F3D4D" w:rsidP="009F3D4D">
      <w:pPr>
        <w:pStyle w:val="NormalNumberedTextTLRI"/>
        <w:rPr>
          <w:rFonts w:asciiTheme="majorBidi" w:hAnsiTheme="majorBidi" w:cstheme="majorBidi"/>
          <w:lang w:val="en-AU"/>
        </w:rPr>
      </w:pPr>
      <w:r w:rsidRPr="004C5271">
        <w:rPr>
          <w:rFonts w:asciiTheme="majorBidi" w:hAnsiTheme="majorBidi" w:cstheme="majorBidi"/>
          <w:lang w:val="en-AU"/>
        </w:rPr>
        <w:t>Justice Es</w:t>
      </w:r>
      <w:r w:rsidR="00645B1B" w:rsidRPr="004C5271">
        <w:rPr>
          <w:rFonts w:asciiTheme="majorBidi" w:hAnsiTheme="majorBidi" w:cstheme="majorBidi"/>
          <w:lang w:val="en-AU"/>
        </w:rPr>
        <w:t>t</w:t>
      </w:r>
      <w:r w:rsidRPr="004C5271">
        <w:rPr>
          <w:rFonts w:asciiTheme="majorBidi" w:hAnsiTheme="majorBidi" w:cstheme="majorBidi"/>
          <w:lang w:val="en-AU"/>
        </w:rPr>
        <w:t xml:space="preserve">court held that the elements of an equitable estoppel had been established. His Honour did not, however, consider that the facts supported the declaration of a constructive trust over the property. Instead, his Honour ordered that the deceased’s </w:t>
      </w:r>
      <w:r w:rsidR="00BB6787" w:rsidRPr="004C5271">
        <w:rPr>
          <w:rFonts w:asciiTheme="majorBidi" w:hAnsiTheme="majorBidi" w:cstheme="majorBidi"/>
          <w:lang w:val="en-AU"/>
        </w:rPr>
        <w:t>partner</w:t>
      </w:r>
      <w:r w:rsidRPr="004C5271">
        <w:rPr>
          <w:rFonts w:asciiTheme="majorBidi" w:hAnsiTheme="majorBidi" w:cstheme="majorBidi"/>
          <w:lang w:val="en-AU"/>
        </w:rPr>
        <w:t xml:space="preserve"> pay equitable compensation for the amount </w:t>
      </w:r>
      <w:r w:rsidR="0013376C" w:rsidRPr="004C5271">
        <w:rPr>
          <w:rFonts w:asciiTheme="majorBidi" w:hAnsiTheme="majorBidi" w:cstheme="majorBidi"/>
          <w:lang w:val="en-AU"/>
        </w:rPr>
        <w:t xml:space="preserve">the son </w:t>
      </w:r>
      <w:r w:rsidRPr="004C5271">
        <w:rPr>
          <w:rFonts w:asciiTheme="majorBidi" w:hAnsiTheme="majorBidi" w:cstheme="majorBidi"/>
          <w:lang w:val="en-AU"/>
        </w:rPr>
        <w:t>lost in not having charged his father for materials and labour.</w:t>
      </w:r>
      <w:r w:rsidRPr="004C5271">
        <w:rPr>
          <w:rStyle w:val="FootnoteReference"/>
          <w:rFonts w:asciiTheme="majorBidi" w:hAnsiTheme="majorBidi" w:cstheme="majorBidi"/>
          <w:lang w:val="en-AU"/>
        </w:rPr>
        <w:footnoteReference w:id="398"/>
      </w:r>
    </w:p>
    <w:p w14:paraId="3A22AF50" w14:textId="615FFEBC" w:rsidR="009F3D4D" w:rsidRPr="004C5271" w:rsidRDefault="009F3D4D" w:rsidP="009F3D4D">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In </w:t>
      </w:r>
      <w:r w:rsidRPr="004C5271">
        <w:rPr>
          <w:rFonts w:asciiTheme="majorBidi" w:hAnsiTheme="majorBidi" w:cstheme="majorBidi"/>
          <w:i/>
          <w:iCs/>
          <w:lang w:val="en-AU"/>
        </w:rPr>
        <w:t>Evans v Public Trustee</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399"/>
      </w:r>
      <w:r w:rsidRPr="004C5271">
        <w:rPr>
          <w:rFonts w:asciiTheme="majorBidi" w:hAnsiTheme="majorBidi" w:cstheme="majorBidi"/>
          <w:lang w:val="en-AU"/>
        </w:rPr>
        <w:t xml:space="preserve"> Chief Justice Cox considered a surviving spouse’s equitable claim to the assets of her late partner’s estate, including their family home, a property at Bothwell, a car and trailer. She sought a declaration that she and the deceased held the assets as joint tenants in equity, or in default that they were owned by them as tenants in common pursuant to an express, implied or constructive trust. </w:t>
      </w:r>
      <w:r w:rsidR="004C555C" w:rsidRPr="004C5271">
        <w:rPr>
          <w:rFonts w:asciiTheme="majorBidi" w:hAnsiTheme="majorBidi" w:cstheme="majorBidi"/>
          <w:lang w:val="en-AU"/>
        </w:rPr>
        <w:t>U</w:t>
      </w:r>
      <w:r w:rsidRPr="004C5271">
        <w:rPr>
          <w:rFonts w:asciiTheme="majorBidi" w:hAnsiTheme="majorBidi" w:cstheme="majorBidi"/>
          <w:lang w:val="en-AU"/>
        </w:rPr>
        <w:t>nder</w:t>
      </w:r>
      <w:r w:rsidR="0013376C" w:rsidRPr="004C5271">
        <w:rPr>
          <w:rFonts w:asciiTheme="majorBidi" w:hAnsiTheme="majorBidi" w:cstheme="majorBidi"/>
          <w:lang w:val="en-AU"/>
        </w:rPr>
        <w:t xml:space="preserve"> </w:t>
      </w:r>
      <w:r w:rsidRPr="004C5271">
        <w:rPr>
          <w:rFonts w:asciiTheme="majorBidi" w:hAnsiTheme="majorBidi" w:cstheme="majorBidi"/>
          <w:lang w:val="en-AU"/>
        </w:rPr>
        <w:t>intestacy</w:t>
      </w:r>
      <w:r w:rsidR="0013376C" w:rsidRPr="004C5271">
        <w:rPr>
          <w:rFonts w:asciiTheme="majorBidi" w:hAnsiTheme="majorBidi" w:cstheme="majorBidi"/>
          <w:lang w:val="en-AU"/>
        </w:rPr>
        <w:t>,</w:t>
      </w:r>
      <w:r w:rsidR="004C555C" w:rsidRPr="004C5271">
        <w:rPr>
          <w:rFonts w:asciiTheme="majorBidi" w:hAnsiTheme="majorBidi" w:cstheme="majorBidi"/>
          <w:lang w:val="en-AU"/>
        </w:rPr>
        <w:t xml:space="preserve"> his estate was to be divided between</w:t>
      </w:r>
      <w:r w:rsidR="0013376C" w:rsidRPr="004C5271">
        <w:rPr>
          <w:rFonts w:asciiTheme="majorBidi" w:hAnsiTheme="majorBidi" w:cstheme="majorBidi"/>
          <w:lang w:val="en-AU"/>
        </w:rPr>
        <w:t xml:space="preserve"> the partner</w:t>
      </w:r>
      <w:r w:rsidR="004C555C" w:rsidRPr="004C5271">
        <w:rPr>
          <w:rFonts w:asciiTheme="majorBidi" w:hAnsiTheme="majorBidi" w:cstheme="majorBidi"/>
          <w:lang w:val="en-AU"/>
        </w:rPr>
        <w:t xml:space="preserve"> (the applicant), </w:t>
      </w:r>
      <w:r w:rsidRPr="004C5271">
        <w:rPr>
          <w:rFonts w:asciiTheme="majorBidi" w:hAnsiTheme="majorBidi" w:cstheme="majorBidi"/>
          <w:lang w:val="en-AU"/>
        </w:rPr>
        <w:t>their daughter and the deceased’s three children from a prior relationship.</w:t>
      </w:r>
    </w:p>
    <w:p w14:paraId="5FAC5C6A" w14:textId="55F08E73" w:rsidR="009F3D4D" w:rsidRPr="004C5271" w:rsidRDefault="009F3D4D" w:rsidP="009F3D4D">
      <w:pPr>
        <w:pStyle w:val="NormalNumberedTextTLRI"/>
        <w:rPr>
          <w:rFonts w:asciiTheme="majorBidi" w:hAnsiTheme="majorBidi" w:cstheme="majorBidi"/>
          <w:lang w:val="en-AU"/>
        </w:rPr>
      </w:pPr>
      <w:r w:rsidRPr="004C5271">
        <w:rPr>
          <w:rFonts w:asciiTheme="majorBidi" w:hAnsiTheme="majorBidi" w:cstheme="majorBidi"/>
          <w:lang w:val="en-AU"/>
        </w:rPr>
        <w:t xml:space="preserve">His Honour was satisfied that the applicant had contributed both financially and non-financially (through the performance of household duties) to the family home. His Honour declared that the family home and its contents </w:t>
      </w:r>
      <w:r w:rsidR="00602FC8" w:rsidRPr="004C5271">
        <w:rPr>
          <w:rFonts w:asciiTheme="majorBidi" w:hAnsiTheme="majorBidi" w:cstheme="majorBidi"/>
          <w:lang w:val="en-AU"/>
        </w:rPr>
        <w:t xml:space="preserve">were </w:t>
      </w:r>
      <w:r w:rsidRPr="004C5271">
        <w:rPr>
          <w:rFonts w:asciiTheme="majorBidi" w:hAnsiTheme="majorBidi" w:cstheme="majorBidi"/>
          <w:lang w:val="en-AU"/>
        </w:rPr>
        <w:t xml:space="preserve">impressed with a constructive trust in favour of the deceased and the applicant as tenants in common in equal shares. The effect was to remove one half of the value of the family home and its contents from the partner’s estate, </w:t>
      </w:r>
      <w:r w:rsidR="004C555C" w:rsidRPr="004C5271">
        <w:rPr>
          <w:rFonts w:asciiTheme="majorBidi" w:hAnsiTheme="majorBidi" w:cstheme="majorBidi"/>
          <w:lang w:val="en-AU"/>
        </w:rPr>
        <w:t>with the applicant entitled to those assets</w:t>
      </w:r>
      <w:r w:rsidRPr="004C5271">
        <w:rPr>
          <w:rFonts w:asciiTheme="majorBidi" w:hAnsiTheme="majorBidi" w:cstheme="majorBidi"/>
          <w:lang w:val="en-AU"/>
        </w:rPr>
        <w:t xml:space="preserve">. </w:t>
      </w:r>
    </w:p>
    <w:p w14:paraId="72622BDE" w14:textId="260B9905" w:rsidR="009F3D4D" w:rsidRPr="004C5271" w:rsidRDefault="009F3D4D" w:rsidP="009F3D4D">
      <w:pPr>
        <w:pStyle w:val="NormalNumberedTextTLRI"/>
        <w:rPr>
          <w:rFonts w:asciiTheme="majorBidi" w:eastAsia="Times New Roman" w:hAnsiTheme="majorBidi" w:cstheme="majorBidi"/>
          <w:lang w:val="en-AU"/>
        </w:rPr>
      </w:pPr>
      <w:r w:rsidRPr="004C5271">
        <w:rPr>
          <w:rFonts w:asciiTheme="majorBidi" w:hAnsiTheme="majorBidi" w:cstheme="majorBidi"/>
          <w:i/>
          <w:iCs/>
          <w:lang w:val="en-AU"/>
        </w:rPr>
        <w:t>Leaman v Public Trustee</w:t>
      </w:r>
      <w:r w:rsidRPr="004C5271">
        <w:rPr>
          <w:rStyle w:val="FootnoteReference"/>
          <w:rFonts w:asciiTheme="majorBidi" w:hAnsiTheme="majorBidi" w:cstheme="majorBidi"/>
        </w:rPr>
        <w:footnoteReference w:id="400"/>
      </w:r>
      <w:r w:rsidRPr="004C5271">
        <w:rPr>
          <w:rFonts w:asciiTheme="majorBidi" w:hAnsiTheme="majorBidi" w:cstheme="majorBidi"/>
          <w:lang w:val="en-AU"/>
        </w:rPr>
        <w:t xml:space="preserve"> provides a further example. In that case, </w:t>
      </w:r>
      <w:r w:rsidR="004C555C" w:rsidRPr="004C5271">
        <w:rPr>
          <w:rFonts w:asciiTheme="majorBidi" w:hAnsiTheme="majorBidi" w:cstheme="majorBidi"/>
          <w:lang w:val="en-AU"/>
        </w:rPr>
        <w:t>a surviving partner applied to the court seeking a declaration that property registered in his late partner’s name was held pursuant to a resulting trust in his favour. Whilst the</w:t>
      </w:r>
      <w:r w:rsidRPr="004C5271">
        <w:rPr>
          <w:rFonts w:asciiTheme="majorBidi" w:hAnsiTheme="majorBidi" w:cstheme="majorBidi"/>
          <w:lang w:val="en-AU"/>
        </w:rPr>
        <w:t xml:space="preserve"> property had been purchased using the applicant’s funds, </w:t>
      </w:r>
      <w:r w:rsidR="004C555C" w:rsidRPr="004C5271">
        <w:rPr>
          <w:rFonts w:asciiTheme="majorBidi" w:hAnsiTheme="majorBidi" w:cstheme="majorBidi"/>
          <w:lang w:val="en-AU"/>
        </w:rPr>
        <w:t>it</w:t>
      </w:r>
      <w:r w:rsidRPr="004C5271">
        <w:rPr>
          <w:rFonts w:asciiTheme="majorBidi" w:hAnsiTheme="majorBidi" w:cstheme="majorBidi"/>
          <w:lang w:val="en-AU"/>
        </w:rPr>
        <w:t xml:space="preserve"> was registered in </w:t>
      </w:r>
      <w:r w:rsidR="004C555C" w:rsidRPr="004C5271">
        <w:rPr>
          <w:rFonts w:asciiTheme="majorBidi" w:hAnsiTheme="majorBidi" w:cstheme="majorBidi"/>
          <w:lang w:val="en-AU"/>
        </w:rPr>
        <w:t>his</w:t>
      </w:r>
      <w:r w:rsidRPr="004C5271">
        <w:rPr>
          <w:rFonts w:asciiTheme="majorBidi" w:hAnsiTheme="majorBidi" w:cstheme="majorBidi"/>
          <w:lang w:val="en-AU"/>
        </w:rPr>
        <w:t xml:space="preserve"> </w:t>
      </w:r>
      <w:r w:rsidR="004C555C" w:rsidRPr="004C5271">
        <w:rPr>
          <w:rFonts w:asciiTheme="majorBidi" w:hAnsiTheme="majorBidi" w:cstheme="majorBidi"/>
          <w:lang w:val="en-AU"/>
        </w:rPr>
        <w:t>partner’s</w:t>
      </w:r>
      <w:r w:rsidRPr="004C5271">
        <w:rPr>
          <w:rFonts w:asciiTheme="majorBidi" w:hAnsiTheme="majorBidi" w:cstheme="majorBidi"/>
          <w:lang w:val="en-AU"/>
        </w:rPr>
        <w:t xml:space="preserve"> sole name. The Court was satisfied that the reasons for this were partly asset protection purposes, and partly due to the applicant’s poor English and his embarrassment at the difficult spelling of his surname. The applicant predominantly paid the loan repayments and also completed maintenance </w:t>
      </w:r>
      <w:r w:rsidR="00602FC8" w:rsidRPr="004C5271">
        <w:rPr>
          <w:rFonts w:asciiTheme="majorBidi" w:hAnsiTheme="majorBidi" w:cstheme="majorBidi"/>
          <w:lang w:val="en-AU"/>
        </w:rPr>
        <w:t xml:space="preserve">on </w:t>
      </w:r>
      <w:r w:rsidRPr="004C5271">
        <w:rPr>
          <w:rFonts w:asciiTheme="majorBidi" w:hAnsiTheme="majorBidi" w:cstheme="majorBidi"/>
          <w:lang w:val="en-AU"/>
        </w:rPr>
        <w:t xml:space="preserve">and improvements to the property. The applicant gave evidence that, despite the property being registered in the </w:t>
      </w:r>
      <w:r w:rsidRPr="004C5271">
        <w:rPr>
          <w:rFonts w:asciiTheme="majorBidi" w:hAnsiTheme="majorBidi" w:cstheme="majorBidi"/>
          <w:lang w:val="en-AU"/>
        </w:rPr>
        <w:lastRenderedPageBreak/>
        <w:t xml:space="preserve">deceased’s sole name, it was intended that </w:t>
      </w:r>
      <w:r w:rsidR="00DB7DC2" w:rsidRPr="004C5271">
        <w:rPr>
          <w:rFonts w:asciiTheme="majorBidi" w:hAnsiTheme="majorBidi" w:cstheme="majorBidi"/>
          <w:lang w:val="en-AU"/>
        </w:rPr>
        <w:t>‘</w:t>
      </w:r>
      <w:r w:rsidRPr="004C5271">
        <w:rPr>
          <w:rFonts w:asciiTheme="majorBidi" w:hAnsiTheme="majorBidi" w:cstheme="majorBidi"/>
          <w:lang w:val="en-AU"/>
        </w:rPr>
        <w:t>naturally whoever died first, the other would take over</w:t>
      </w:r>
      <w:r w:rsidR="00DB7DC2" w:rsidRPr="004C5271">
        <w:rPr>
          <w:rFonts w:asciiTheme="majorBidi" w:hAnsiTheme="majorBidi" w:cstheme="majorBidi"/>
          <w:lang w:val="en-AU"/>
        </w:rPr>
        <w:t>’</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401"/>
      </w:r>
      <w:r w:rsidRPr="004C5271">
        <w:rPr>
          <w:rFonts w:asciiTheme="majorBidi" w:hAnsiTheme="majorBidi" w:cstheme="majorBidi"/>
          <w:lang w:val="en-AU"/>
        </w:rPr>
        <w:t xml:space="preserve"> </w:t>
      </w:r>
    </w:p>
    <w:p w14:paraId="49FE26BD" w14:textId="441A5E07" w:rsidR="009F3D4D" w:rsidRPr="004C5271" w:rsidRDefault="009F3D4D" w:rsidP="009F3D4D">
      <w:pPr>
        <w:pStyle w:val="NormalNumberedTextTLRI"/>
        <w:rPr>
          <w:rFonts w:asciiTheme="majorBidi" w:hAnsiTheme="majorBidi" w:cstheme="majorBidi"/>
          <w:lang w:val="en-AU"/>
        </w:rPr>
      </w:pPr>
      <w:r w:rsidRPr="004C5271">
        <w:rPr>
          <w:rFonts w:asciiTheme="majorBidi" w:hAnsiTheme="majorBidi" w:cstheme="majorBidi"/>
          <w:lang w:val="en-AU"/>
        </w:rPr>
        <w:t>Justice Cox was satisfied that it was the mutual intention of the parties that the property be held for their joint use and benefit during their lifetimes and would then pass to the survivor on the death of the first of them. His Honour therefore made orders declaring that the applicant was the beneficial owner of the property</w:t>
      </w:r>
      <w:r w:rsidR="004C555C" w:rsidRPr="004C5271">
        <w:rPr>
          <w:rFonts w:asciiTheme="majorBidi" w:hAnsiTheme="majorBidi" w:cstheme="majorBidi"/>
          <w:lang w:val="en-AU"/>
        </w:rPr>
        <w:t xml:space="preserve">, with the effect </w:t>
      </w:r>
      <w:r w:rsidRPr="004C5271">
        <w:rPr>
          <w:rFonts w:asciiTheme="majorBidi" w:hAnsiTheme="majorBidi" w:cstheme="majorBidi"/>
          <w:lang w:val="en-AU"/>
        </w:rPr>
        <w:t xml:space="preserve">that it did not form part of </w:t>
      </w:r>
      <w:r w:rsidR="004C555C" w:rsidRPr="004C5271">
        <w:rPr>
          <w:rFonts w:asciiTheme="majorBidi" w:hAnsiTheme="majorBidi" w:cstheme="majorBidi"/>
          <w:lang w:val="en-AU"/>
        </w:rPr>
        <w:t>his late</w:t>
      </w:r>
      <w:r w:rsidRPr="004C5271">
        <w:rPr>
          <w:rFonts w:asciiTheme="majorBidi" w:hAnsiTheme="majorBidi" w:cstheme="majorBidi"/>
          <w:lang w:val="en-AU"/>
        </w:rPr>
        <w:t xml:space="preserve"> partner’s estate. </w:t>
      </w:r>
    </w:p>
    <w:p w14:paraId="36210298" w14:textId="632A5490" w:rsidR="009F3D4D" w:rsidRPr="004C5271" w:rsidRDefault="009F3D4D" w:rsidP="009F3D4D">
      <w:pPr>
        <w:pStyle w:val="NormalNumberedTextTLRI"/>
        <w:rPr>
          <w:rFonts w:asciiTheme="majorBidi" w:hAnsiTheme="majorBidi" w:cstheme="majorBidi"/>
          <w:lang w:val="en-AU"/>
        </w:rPr>
      </w:pPr>
      <w:r w:rsidRPr="004C5271">
        <w:rPr>
          <w:rFonts w:asciiTheme="majorBidi" w:hAnsiTheme="majorBidi" w:cstheme="majorBidi"/>
          <w:lang w:val="en-AU"/>
        </w:rPr>
        <w:t>As these cases demonstrate, equitable doctrines already enable family members</w:t>
      </w:r>
      <w:r w:rsidRPr="004C5271">
        <w:rPr>
          <w:rStyle w:val="FootnoteReference"/>
          <w:rFonts w:asciiTheme="majorBidi" w:hAnsiTheme="majorBidi" w:cstheme="majorBidi"/>
          <w:lang w:val="en-AU"/>
        </w:rPr>
        <w:footnoteReference w:id="402"/>
      </w:r>
      <w:r w:rsidRPr="004C5271">
        <w:rPr>
          <w:rFonts w:asciiTheme="majorBidi" w:hAnsiTheme="majorBidi" w:cstheme="majorBidi"/>
          <w:lang w:val="en-AU"/>
        </w:rPr>
        <w:t xml:space="preserve"> to seek the Court’s intervention where, for example, they have contributed to estate assets, or have acted to their detriment in reliance upon a deceased’s promise that they would inherit certain assets. These claims can be resolved outside the family provision environment and do not require enactment of notional estate legislation to clawback assets.</w:t>
      </w:r>
      <w:r w:rsidR="00E54307" w:rsidRPr="004C5271">
        <w:rPr>
          <w:rFonts w:asciiTheme="majorBidi" w:hAnsiTheme="majorBidi" w:cstheme="majorBidi"/>
          <w:lang w:val="en-AU"/>
        </w:rPr>
        <w:t xml:space="preserve"> On the other hand, examples that some respondents </w:t>
      </w:r>
      <w:r w:rsidR="00D6776E" w:rsidRPr="004C5271">
        <w:rPr>
          <w:rFonts w:asciiTheme="majorBidi" w:hAnsiTheme="majorBidi" w:cstheme="majorBidi"/>
          <w:lang w:val="en-AU"/>
        </w:rPr>
        <w:t xml:space="preserve">shared with the Institute </w:t>
      </w:r>
      <w:r w:rsidR="00E54307" w:rsidRPr="004C5271">
        <w:rPr>
          <w:rFonts w:asciiTheme="majorBidi" w:hAnsiTheme="majorBidi" w:cstheme="majorBidi"/>
          <w:lang w:val="en-AU"/>
        </w:rPr>
        <w:t>confirm that existing remedies may not resolve all instances that notional estate provisions could.</w:t>
      </w:r>
    </w:p>
    <w:p w14:paraId="32BB3153" w14:textId="1A570FB8" w:rsidR="004E6A59" w:rsidRPr="004C5271" w:rsidRDefault="00CC0BA6" w:rsidP="00EA17E8">
      <w:pPr>
        <w:pStyle w:val="NormalNumberedTextTLRI"/>
        <w:rPr>
          <w:rFonts w:asciiTheme="majorBidi" w:hAnsiTheme="majorBidi" w:cstheme="majorBidi"/>
          <w:lang w:val="en-AU"/>
        </w:rPr>
      </w:pPr>
      <w:r w:rsidRPr="004C5271">
        <w:rPr>
          <w:rFonts w:asciiTheme="majorBidi" w:hAnsiTheme="majorBidi" w:cstheme="majorBidi"/>
          <w:lang w:val="en-AU"/>
        </w:rPr>
        <w:t>Equitable doctrines focus upon preventing unjust or inequitable outcomes where a person has suffered detriment, for example by not being compensated for their contributions to a deceased’s assets. Their availability thus</w:t>
      </w:r>
      <w:r w:rsidR="004C3463" w:rsidRPr="004C5271">
        <w:rPr>
          <w:rFonts w:asciiTheme="majorBidi" w:hAnsiTheme="majorBidi" w:cstheme="majorBidi"/>
          <w:lang w:val="en-AU"/>
        </w:rPr>
        <w:t xml:space="preserve"> addresses criticisms that some respondents and commentators have made</w:t>
      </w:r>
      <w:r w:rsidRPr="004C5271">
        <w:rPr>
          <w:rStyle w:val="FootnoteReference"/>
          <w:rFonts w:asciiTheme="majorBidi" w:hAnsiTheme="majorBidi" w:cstheme="majorBidi"/>
          <w:lang w:val="en-AU"/>
        </w:rPr>
        <w:footnoteReference w:id="403"/>
      </w:r>
      <w:r w:rsidRPr="004C5271">
        <w:rPr>
          <w:rFonts w:asciiTheme="majorBidi" w:hAnsiTheme="majorBidi" w:cstheme="majorBidi"/>
          <w:lang w:val="en-AU"/>
        </w:rPr>
        <w:t xml:space="preserve"> </w:t>
      </w:r>
      <w:r w:rsidR="004C3463" w:rsidRPr="004C5271">
        <w:rPr>
          <w:rFonts w:asciiTheme="majorBidi" w:hAnsiTheme="majorBidi" w:cstheme="majorBidi"/>
          <w:lang w:val="en-AU"/>
        </w:rPr>
        <w:t>about the application of family provision legislation to financially independent children without financial need</w:t>
      </w:r>
      <w:r w:rsidRPr="004C5271">
        <w:rPr>
          <w:rFonts w:asciiTheme="majorBidi" w:hAnsiTheme="majorBidi" w:cstheme="majorBidi"/>
          <w:lang w:val="en-AU"/>
        </w:rPr>
        <w:t xml:space="preserve"> because the focus is upon recognising their equitable interests in property.</w:t>
      </w:r>
    </w:p>
    <w:p w14:paraId="040FCB5B" w14:textId="0E6C274D" w:rsidR="00BB58ED" w:rsidRPr="004C5271" w:rsidRDefault="00657D94" w:rsidP="00AE2B8C">
      <w:pPr>
        <w:pStyle w:val="Sub-HeadingTLRI"/>
      </w:pPr>
      <w:r w:rsidRPr="004C5271">
        <w:t>Other matters</w:t>
      </w:r>
    </w:p>
    <w:p w14:paraId="58893112" w14:textId="26E65C4D" w:rsidR="00BB58ED" w:rsidRPr="004C5271" w:rsidRDefault="00952072" w:rsidP="003C56CE">
      <w:pPr>
        <w:pStyle w:val="NormalNumberedTextTLRI"/>
        <w:rPr>
          <w:rFonts w:asciiTheme="majorBidi" w:hAnsiTheme="majorBidi" w:cstheme="majorBidi"/>
          <w:lang w:val="en-AU"/>
        </w:rPr>
      </w:pPr>
      <w:bookmarkStart w:id="185" w:name="_Ref13504678"/>
      <w:r w:rsidRPr="004C5271">
        <w:rPr>
          <w:rFonts w:asciiTheme="majorBidi" w:hAnsiTheme="majorBidi" w:cstheme="majorBidi"/>
          <w:lang w:val="en-AU"/>
        </w:rPr>
        <w:t>The Elder Law Committee’s submission</w:t>
      </w:r>
      <w:r w:rsidR="000A79F1" w:rsidRPr="004C5271">
        <w:rPr>
          <w:rFonts w:asciiTheme="majorBidi" w:hAnsiTheme="majorBidi" w:cstheme="majorBidi"/>
          <w:lang w:val="en-AU"/>
        </w:rPr>
        <w:t xml:space="preserve"> raised </w:t>
      </w:r>
      <w:r w:rsidRPr="004C5271">
        <w:rPr>
          <w:rFonts w:asciiTheme="majorBidi" w:hAnsiTheme="majorBidi" w:cstheme="majorBidi"/>
          <w:lang w:val="en-AU"/>
        </w:rPr>
        <w:t xml:space="preserve">two </w:t>
      </w:r>
      <w:r w:rsidR="000A79F1" w:rsidRPr="004C5271">
        <w:rPr>
          <w:rFonts w:asciiTheme="majorBidi" w:hAnsiTheme="majorBidi" w:cstheme="majorBidi"/>
          <w:lang w:val="en-AU"/>
        </w:rPr>
        <w:t xml:space="preserve">other issues in support of their objection to notional estate legislation. </w:t>
      </w:r>
      <w:r w:rsidR="00072E6F" w:rsidRPr="004C5271">
        <w:rPr>
          <w:rFonts w:asciiTheme="majorBidi" w:hAnsiTheme="majorBidi" w:cstheme="majorBidi"/>
          <w:lang w:val="en-AU"/>
        </w:rPr>
        <w:t>First, it</w:t>
      </w:r>
      <w:r w:rsidR="00582D32" w:rsidRPr="004C5271">
        <w:rPr>
          <w:rFonts w:asciiTheme="majorBidi" w:hAnsiTheme="majorBidi" w:cstheme="majorBidi"/>
          <w:lang w:val="en-AU"/>
        </w:rPr>
        <w:t xml:space="preserve"> raised concerns </w:t>
      </w:r>
      <w:r w:rsidR="00582D32" w:rsidRPr="004C5271">
        <w:rPr>
          <w:rFonts w:asciiTheme="majorBidi" w:hAnsiTheme="majorBidi" w:cstheme="majorBidi"/>
          <w:lang w:val="en-AU"/>
        </w:rPr>
        <w:lastRenderedPageBreak/>
        <w:t>about the potential impact that notional estate provisions would have upon charitable giving and bequests:</w:t>
      </w:r>
      <w:bookmarkEnd w:id="185"/>
      <w:r w:rsidR="00582D32" w:rsidRPr="004C5271">
        <w:rPr>
          <w:rFonts w:asciiTheme="majorBidi" w:hAnsiTheme="majorBidi" w:cstheme="majorBidi"/>
          <w:lang w:val="en-AU"/>
        </w:rPr>
        <w:t xml:space="preserve"> </w:t>
      </w:r>
    </w:p>
    <w:p w14:paraId="60D73508" w14:textId="30C23D77" w:rsidR="00BB58ED" w:rsidRPr="004C5271" w:rsidRDefault="00BB58ED" w:rsidP="00B43EBB">
      <w:pPr>
        <w:pStyle w:val="QuoteTLRI"/>
        <w:rPr>
          <w:rFonts w:asciiTheme="majorBidi" w:hAnsiTheme="majorBidi" w:cstheme="majorBidi"/>
        </w:rPr>
      </w:pPr>
      <w:r w:rsidRPr="004C5271">
        <w:rPr>
          <w:rFonts w:asciiTheme="majorBidi" w:hAnsiTheme="majorBidi" w:cstheme="majorBidi"/>
        </w:rPr>
        <w:t xml:space="preserve">Some wealthy clients wish to leave their estates to charities rather than their children. In some cases their children are all financially independent and do not need their wealth. The majority of charities include in their annual budget an item for </w:t>
      </w:r>
      <w:r w:rsidR="00B43EBB" w:rsidRPr="004C5271">
        <w:rPr>
          <w:rFonts w:asciiTheme="majorBidi" w:hAnsiTheme="majorBidi" w:cstheme="majorBidi"/>
        </w:rPr>
        <w:t>‘</w:t>
      </w:r>
      <w:r w:rsidRPr="004C5271">
        <w:rPr>
          <w:rFonts w:asciiTheme="majorBidi" w:hAnsiTheme="majorBidi" w:cstheme="majorBidi"/>
        </w:rPr>
        <w:t>bequests</w:t>
      </w:r>
      <w:r w:rsidR="00B43EBB" w:rsidRPr="004C5271">
        <w:rPr>
          <w:rFonts w:asciiTheme="majorBidi" w:hAnsiTheme="majorBidi" w:cstheme="majorBidi"/>
        </w:rPr>
        <w:t>’</w:t>
      </w:r>
      <w:r w:rsidRPr="004C5271">
        <w:rPr>
          <w:rFonts w:asciiTheme="majorBidi" w:hAnsiTheme="majorBidi" w:cstheme="majorBidi"/>
        </w:rPr>
        <w:t>. Although they do not know how many bequests they will receive in any given year they have a fair idea based on previous years. The introduction of notional estates could significantly reduce bequests to charities due to claims by children which could impact on the work that the charities are able to undertake. If clients are aware of notional estates then this may also impact on how much they leave to charities and overall it may reduce people being benevolent.</w:t>
      </w:r>
      <w:r w:rsidR="00582D32" w:rsidRPr="004C5271">
        <w:rPr>
          <w:rStyle w:val="FootnoteReference"/>
          <w:rFonts w:asciiTheme="majorBidi" w:hAnsiTheme="majorBidi" w:cstheme="majorBidi"/>
        </w:rPr>
        <w:footnoteReference w:id="404"/>
      </w:r>
    </w:p>
    <w:p w14:paraId="3B82D088" w14:textId="14D3EC40" w:rsidR="00DD2B63" w:rsidRPr="004C5271" w:rsidRDefault="00657D94" w:rsidP="00582D32">
      <w:pPr>
        <w:pStyle w:val="NormalNumberedTextTLRI"/>
        <w:rPr>
          <w:rFonts w:asciiTheme="majorBidi" w:hAnsiTheme="majorBidi" w:cstheme="majorBidi"/>
          <w:lang w:val="en-AU"/>
        </w:rPr>
      </w:pPr>
      <w:bookmarkStart w:id="187" w:name="_Ref13504449"/>
      <w:r w:rsidRPr="004C5271">
        <w:rPr>
          <w:rFonts w:asciiTheme="majorBidi" w:hAnsiTheme="majorBidi" w:cstheme="majorBidi"/>
          <w:lang w:val="en-AU"/>
        </w:rPr>
        <w:t>The Committee</w:t>
      </w:r>
      <w:r w:rsidR="00DD2B63" w:rsidRPr="004C5271">
        <w:rPr>
          <w:rFonts w:asciiTheme="majorBidi" w:hAnsiTheme="majorBidi" w:cstheme="majorBidi"/>
          <w:lang w:val="en-AU"/>
        </w:rPr>
        <w:t xml:space="preserve"> also expressed concerns about the impact that notional estate provisions would have for professionals advising clients about their estate planning:</w:t>
      </w:r>
      <w:bookmarkEnd w:id="187"/>
    </w:p>
    <w:p w14:paraId="7D132FD8" w14:textId="478F9432" w:rsidR="00582D32" w:rsidRPr="004C5271" w:rsidRDefault="00582D32" w:rsidP="00881332">
      <w:pPr>
        <w:pStyle w:val="QuoteTLRI"/>
        <w:rPr>
          <w:rFonts w:asciiTheme="majorBidi" w:hAnsiTheme="majorBidi" w:cstheme="majorBidi"/>
        </w:rPr>
      </w:pPr>
      <w:r w:rsidRPr="004C5271">
        <w:rPr>
          <w:rFonts w:asciiTheme="majorBidi" w:hAnsiTheme="majorBidi" w:cstheme="majorBidi"/>
        </w:rPr>
        <w:t xml:space="preserve">We have already seen an increase in the number of clients who say </w:t>
      </w:r>
      <w:r w:rsidR="00881332" w:rsidRPr="004C5271">
        <w:rPr>
          <w:rFonts w:asciiTheme="majorBidi" w:hAnsiTheme="majorBidi" w:cstheme="majorBidi"/>
        </w:rPr>
        <w:t>‘</w:t>
      </w:r>
      <w:r w:rsidRPr="004C5271">
        <w:rPr>
          <w:rFonts w:asciiTheme="majorBidi" w:hAnsiTheme="majorBidi" w:cstheme="majorBidi"/>
        </w:rPr>
        <w:t>What</w:t>
      </w:r>
      <w:r w:rsidR="00881332" w:rsidRPr="004C5271">
        <w:rPr>
          <w:rFonts w:asciiTheme="majorBidi" w:hAnsiTheme="majorBidi" w:cstheme="majorBidi"/>
        </w:rPr>
        <w:t>’</w:t>
      </w:r>
      <w:r w:rsidRPr="004C5271">
        <w:rPr>
          <w:rFonts w:asciiTheme="majorBidi" w:hAnsiTheme="majorBidi" w:cstheme="majorBidi"/>
        </w:rPr>
        <w:t>s the point of making a Will? The court can just decide who gets what anyway</w:t>
      </w:r>
      <w:r w:rsidR="00881332" w:rsidRPr="004C5271">
        <w:rPr>
          <w:rFonts w:asciiTheme="majorBidi" w:hAnsiTheme="majorBidi" w:cstheme="majorBidi"/>
        </w:rPr>
        <w:t>’</w:t>
      </w:r>
      <w:r w:rsidRPr="004C5271">
        <w:rPr>
          <w:rFonts w:asciiTheme="majorBidi" w:hAnsiTheme="majorBidi" w:cstheme="majorBidi"/>
        </w:rPr>
        <w:t>. Notional estates may actually reduce the number of people who come to solicitors to get their wills drawn. It may also encourage people to complete more will kits instead of spending money to see lawyers to get a will drafted because in their mind what is the point in spending all that money when their wishes are not going to be listened to anyway.</w:t>
      </w:r>
    </w:p>
    <w:p w14:paraId="4CDE7D32" w14:textId="0AC9922E" w:rsidR="009F3D4D" w:rsidRPr="004C5271" w:rsidRDefault="009F3D4D" w:rsidP="009F3D4D">
      <w:pPr>
        <w:pStyle w:val="NumberedHeadingTLRI"/>
        <w:rPr>
          <w:rFonts w:asciiTheme="majorBidi" w:hAnsiTheme="majorBidi" w:cstheme="majorBidi"/>
          <w:lang w:val="en-AU"/>
        </w:rPr>
      </w:pPr>
      <w:bookmarkStart w:id="188" w:name="_Toc12268969"/>
      <w:r w:rsidRPr="004C5271">
        <w:rPr>
          <w:rFonts w:asciiTheme="majorBidi" w:hAnsiTheme="majorBidi" w:cstheme="majorBidi"/>
          <w:lang w:val="en-AU"/>
        </w:rPr>
        <w:lastRenderedPageBreak/>
        <w:t>Arguments in support of notional estate provisions</w:t>
      </w:r>
      <w:bookmarkEnd w:id="188"/>
    </w:p>
    <w:p w14:paraId="13CDDA92" w14:textId="1951F107" w:rsidR="000027E1" w:rsidRPr="004C5271" w:rsidRDefault="00035C7C" w:rsidP="000027E1">
      <w:pPr>
        <w:pStyle w:val="NormalNumberedTextTLRI"/>
        <w:rPr>
          <w:rFonts w:asciiTheme="majorBidi" w:hAnsiTheme="majorBidi" w:cstheme="majorBidi"/>
          <w:lang w:val="en-AU"/>
        </w:rPr>
      </w:pPr>
      <w:r w:rsidRPr="004C5271">
        <w:rPr>
          <w:rFonts w:asciiTheme="majorBidi" w:hAnsiTheme="majorBidi" w:cstheme="majorBidi"/>
          <w:lang w:val="en-AU"/>
        </w:rPr>
        <w:t xml:space="preserve">Ten </w:t>
      </w:r>
      <w:r w:rsidR="000A79F1" w:rsidRPr="004C5271">
        <w:rPr>
          <w:rFonts w:asciiTheme="majorBidi" w:hAnsiTheme="majorBidi" w:cstheme="majorBidi"/>
          <w:lang w:val="en-AU"/>
        </w:rPr>
        <w:t>submissions</w:t>
      </w:r>
      <w:r w:rsidR="000A79F1" w:rsidRPr="004C5271">
        <w:rPr>
          <w:rStyle w:val="FootnoteReference"/>
          <w:rFonts w:asciiTheme="majorBidi" w:hAnsiTheme="majorBidi" w:cstheme="majorBidi"/>
          <w:lang w:val="en-AU"/>
        </w:rPr>
        <w:footnoteReference w:id="405"/>
      </w:r>
      <w:r w:rsidR="000A79F1" w:rsidRPr="004C5271">
        <w:rPr>
          <w:rFonts w:asciiTheme="majorBidi" w:hAnsiTheme="majorBidi" w:cstheme="majorBidi"/>
          <w:lang w:val="en-AU"/>
        </w:rPr>
        <w:t xml:space="preserve"> </w:t>
      </w:r>
      <w:r w:rsidR="009F3D4D" w:rsidRPr="004C5271">
        <w:rPr>
          <w:rFonts w:asciiTheme="majorBidi" w:hAnsiTheme="majorBidi" w:cstheme="majorBidi"/>
          <w:lang w:val="en-AU"/>
        </w:rPr>
        <w:t xml:space="preserve">endorsed inclusion of notional estate provisions within the </w:t>
      </w:r>
      <w:r w:rsidR="009F3D4D" w:rsidRPr="004C5271">
        <w:rPr>
          <w:rFonts w:asciiTheme="majorBidi" w:hAnsiTheme="majorBidi" w:cstheme="majorBidi"/>
          <w:i/>
          <w:iCs/>
          <w:lang w:val="en-AU"/>
        </w:rPr>
        <w:t>TFM Act</w:t>
      </w:r>
      <w:r w:rsidR="009F3D4D" w:rsidRPr="004C5271">
        <w:rPr>
          <w:rFonts w:asciiTheme="majorBidi" w:hAnsiTheme="majorBidi" w:cstheme="majorBidi"/>
          <w:lang w:val="en-AU"/>
        </w:rPr>
        <w:t>. Reasons</w:t>
      </w:r>
      <w:r w:rsidR="00CD705F" w:rsidRPr="004C5271">
        <w:rPr>
          <w:rFonts w:asciiTheme="majorBidi" w:hAnsiTheme="majorBidi" w:cstheme="majorBidi"/>
          <w:lang w:val="en-AU"/>
        </w:rPr>
        <w:t xml:space="preserve"> </w:t>
      </w:r>
      <w:r w:rsidR="007866EC" w:rsidRPr="004C5271">
        <w:rPr>
          <w:rFonts w:asciiTheme="majorBidi" w:hAnsiTheme="majorBidi" w:cstheme="majorBidi"/>
          <w:lang w:val="en-AU"/>
        </w:rPr>
        <w:t>given</w:t>
      </w:r>
      <w:r w:rsidR="00CD705F" w:rsidRPr="004C5271">
        <w:rPr>
          <w:rFonts w:asciiTheme="majorBidi" w:hAnsiTheme="majorBidi" w:cstheme="majorBidi"/>
          <w:lang w:val="en-AU"/>
        </w:rPr>
        <w:t xml:space="preserve"> in support </w:t>
      </w:r>
      <w:r w:rsidR="009F3D4D" w:rsidRPr="004C5271">
        <w:rPr>
          <w:rFonts w:asciiTheme="majorBidi" w:hAnsiTheme="majorBidi" w:cstheme="majorBidi"/>
          <w:lang w:val="en-AU"/>
        </w:rPr>
        <w:t xml:space="preserve">are outlined </w:t>
      </w:r>
      <w:r w:rsidR="0051682E">
        <w:rPr>
          <w:rFonts w:asciiTheme="majorBidi" w:hAnsiTheme="majorBidi" w:cstheme="majorBidi"/>
          <w:lang w:val="en-AU"/>
        </w:rPr>
        <w:t>below</w:t>
      </w:r>
      <w:r w:rsidR="009F3D4D" w:rsidRPr="004C5271">
        <w:rPr>
          <w:rFonts w:asciiTheme="majorBidi" w:hAnsiTheme="majorBidi" w:cstheme="majorBidi"/>
          <w:lang w:val="en-AU"/>
        </w:rPr>
        <w:t xml:space="preserve">. </w:t>
      </w:r>
    </w:p>
    <w:p w14:paraId="502CDEF6" w14:textId="0C3F5C38" w:rsidR="000027E1" w:rsidRPr="004C5271" w:rsidRDefault="000027E1" w:rsidP="00AE2B8C">
      <w:pPr>
        <w:pStyle w:val="Sub-HeadingTLRI"/>
      </w:pPr>
      <w:r w:rsidRPr="004C5271">
        <w:t xml:space="preserve">That notional estate legislation promotes the purpose and effectiveness of the </w:t>
      </w:r>
      <w:r w:rsidR="00446ACA" w:rsidRPr="004C5271">
        <w:t xml:space="preserve">TFM </w:t>
      </w:r>
      <w:r w:rsidRPr="004C5271">
        <w:t>Act</w:t>
      </w:r>
    </w:p>
    <w:p w14:paraId="0030722F" w14:textId="65AB7B2B" w:rsidR="000027E1" w:rsidRPr="004C5271" w:rsidRDefault="000027E1" w:rsidP="000027E1">
      <w:pPr>
        <w:pStyle w:val="NormalNumberedTextTLRI"/>
        <w:rPr>
          <w:rFonts w:asciiTheme="majorBidi" w:hAnsiTheme="majorBidi" w:cstheme="majorBidi"/>
          <w:lang w:val="en-AU"/>
        </w:rPr>
      </w:pPr>
      <w:bookmarkStart w:id="189" w:name="_Ref13501077"/>
      <w:r w:rsidRPr="004C5271">
        <w:rPr>
          <w:rFonts w:asciiTheme="majorBidi" w:hAnsiTheme="majorBidi" w:cstheme="majorBidi"/>
          <w:lang w:val="en-AU"/>
        </w:rPr>
        <w:t>Most respondents who supported notional estate legislation commented tha</w:t>
      </w:r>
      <w:r w:rsidR="00BC71B1" w:rsidRPr="004C5271">
        <w:rPr>
          <w:rFonts w:asciiTheme="majorBidi" w:hAnsiTheme="majorBidi" w:cstheme="majorBidi"/>
          <w:lang w:val="en-AU"/>
        </w:rPr>
        <w:t xml:space="preserve">t </w:t>
      </w:r>
      <w:r w:rsidR="00282F6C" w:rsidRPr="004C5271">
        <w:rPr>
          <w:rFonts w:asciiTheme="majorBidi" w:hAnsiTheme="majorBidi" w:cstheme="majorBidi"/>
          <w:lang w:val="en-AU"/>
        </w:rPr>
        <w:t xml:space="preserve">the </w:t>
      </w:r>
      <w:r w:rsidR="00282F6C" w:rsidRPr="004C5271">
        <w:rPr>
          <w:rFonts w:asciiTheme="majorBidi" w:hAnsiTheme="majorBidi" w:cstheme="majorBidi"/>
          <w:i/>
          <w:iCs/>
          <w:lang w:val="en-AU"/>
        </w:rPr>
        <w:t>TFM</w:t>
      </w:r>
      <w:r w:rsidR="00BC71B1" w:rsidRPr="004C5271">
        <w:rPr>
          <w:rFonts w:asciiTheme="majorBidi" w:hAnsiTheme="majorBidi" w:cstheme="majorBidi"/>
          <w:i/>
          <w:iCs/>
          <w:lang w:val="en-AU"/>
        </w:rPr>
        <w:t xml:space="preserve"> Act</w:t>
      </w:r>
      <w:r w:rsidR="00BC71B1" w:rsidRPr="004C5271">
        <w:rPr>
          <w:rFonts w:asciiTheme="majorBidi" w:hAnsiTheme="majorBidi" w:cstheme="majorBidi"/>
          <w:lang w:val="en-AU"/>
        </w:rPr>
        <w:t xml:space="preserve"> is ineffective </w:t>
      </w:r>
      <w:r w:rsidR="006341F4" w:rsidRPr="004C5271">
        <w:rPr>
          <w:rFonts w:asciiTheme="majorBidi" w:hAnsiTheme="majorBidi" w:cstheme="majorBidi"/>
          <w:lang w:val="en-AU"/>
        </w:rPr>
        <w:t xml:space="preserve">whilst </w:t>
      </w:r>
      <w:r w:rsidR="00BC71B1" w:rsidRPr="004C5271">
        <w:rPr>
          <w:rFonts w:asciiTheme="majorBidi" w:hAnsiTheme="majorBidi" w:cstheme="majorBidi"/>
          <w:lang w:val="en-AU"/>
        </w:rPr>
        <w:t xml:space="preserve">there exists relatively simple mechanisms for individuals to avoid </w:t>
      </w:r>
      <w:r w:rsidR="00282F6C" w:rsidRPr="004C5271">
        <w:rPr>
          <w:rFonts w:asciiTheme="majorBidi" w:hAnsiTheme="majorBidi" w:cstheme="majorBidi"/>
          <w:lang w:val="en-AU"/>
        </w:rPr>
        <w:t xml:space="preserve">its </w:t>
      </w:r>
      <w:r w:rsidR="00BC71B1" w:rsidRPr="004C5271">
        <w:rPr>
          <w:rFonts w:asciiTheme="majorBidi" w:hAnsiTheme="majorBidi" w:cstheme="majorBidi"/>
          <w:lang w:val="en-AU"/>
        </w:rPr>
        <w:t xml:space="preserve">operation. </w:t>
      </w:r>
      <w:r w:rsidR="00FD2BDE" w:rsidRPr="004C5271">
        <w:rPr>
          <w:rFonts w:asciiTheme="majorBidi" w:hAnsiTheme="majorBidi" w:cstheme="majorBidi"/>
          <w:lang w:val="en-AU"/>
        </w:rPr>
        <w:t xml:space="preserve">Notional estate provisions were therefore described as furthering the objectives of the </w:t>
      </w:r>
      <w:r w:rsidR="00FD2BDE" w:rsidRPr="004C5271">
        <w:rPr>
          <w:rFonts w:asciiTheme="majorBidi" w:hAnsiTheme="majorBidi" w:cstheme="majorBidi"/>
          <w:i/>
          <w:iCs/>
          <w:lang w:val="en-AU"/>
        </w:rPr>
        <w:t>TFM Act</w:t>
      </w:r>
      <w:r w:rsidR="00FD2BDE" w:rsidRPr="004C5271">
        <w:rPr>
          <w:rFonts w:asciiTheme="majorBidi" w:hAnsiTheme="majorBidi" w:cstheme="majorBidi"/>
          <w:lang w:val="en-AU"/>
        </w:rPr>
        <w:t>:</w:t>
      </w:r>
      <w:bookmarkEnd w:id="189"/>
    </w:p>
    <w:p w14:paraId="63BFEE7A" w14:textId="6DA4EFD3" w:rsidR="00090508" w:rsidRPr="004C5271" w:rsidRDefault="00090508" w:rsidP="00653C57">
      <w:pPr>
        <w:pStyle w:val="QuoteTLRI"/>
        <w:rPr>
          <w:rFonts w:asciiTheme="majorBidi" w:hAnsiTheme="majorBidi" w:cstheme="majorBidi"/>
        </w:rPr>
      </w:pPr>
      <w:r w:rsidRPr="004C5271">
        <w:rPr>
          <w:rFonts w:asciiTheme="majorBidi" w:hAnsiTheme="majorBidi" w:cstheme="majorBidi"/>
        </w:rPr>
        <w:t>To extend the Court’s reach to assets notionally held by an estate would be to the advancement of the objects of the Act. The objects are to ensure that the obligations of a person to provide for a dependent spouse or child are met. These objects are noble as they correct capricious and unjustified testamentary dispositions.</w:t>
      </w:r>
      <w:r w:rsidRPr="004C5271">
        <w:rPr>
          <w:rStyle w:val="FootnoteReference"/>
          <w:rFonts w:asciiTheme="majorBidi" w:hAnsiTheme="majorBidi" w:cstheme="majorBidi"/>
        </w:rPr>
        <w:footnoteReference w:id="406"/>
      </w:r>
    </w:p>
    <w:p w14:paraId="744F8EA4" w14:textId="33814C65" w:rsidR="00644272" w:rsidRPr="004C5271" w:rsidRDefault="00644272" w:rsidP="00644272">
      <w:pPr>
        <w:pStyle w:val="NormalNumberedTextTLRI"/>
        <w:rPr>
          <w:rFonts w:asciiTheme="majorBidi" w:hAnsiTheme="majorBidi" w:cstheme="majorBidi"/>
          <w:lang w:val="en-AU"/>
        </w:rPr>
      </w:pPr>
      <w:r w:rsidRPr="004C5271">
        <w:rPr>
          <w:rFonts w:asciiTheme="majorBidi" w:hAnsiTheme="majorBidi" w:cstheme="majorBidi"/>
          <w:lang w:val="en-AU"/>
        </w:rPr>
        <w:t xml:space="preserve">These observations align with comments made by Chief Justice Gleeson in </w:t>
      </w:r>
      <w:r w:rsidRPr="004C5271">
        <w:rPr>
          <w:rFonts w:asciiTheme="majorBidi" w:hAnsiTheme="majorBidi" w:cstheme="majorBidi"/>
          <w:i/>
          <w:iCs/>
          <w:lang w:val="en-AU"/>
        </w:rPr>
        <w:t>Barns v Barns</w:t>
      </w:r>
      <w:r w:rsidRPr="004C5271">
        <w:rPr>
          <w:rFonts w:asciiTheme="majorBidi" w:hAnsiTheme="majorBidi" w:cstheme="majorBidi"/>
          <w:lang w:val="en-AU"/>
        </w:rPr>
        <w:t xml:space="preserve"> where his Honour stated: </w:t>
      </w:r>
      <w:r w:rsidR="00004382" w:rsidRPr="004C5271">
        <w:rPr>
          <w:rFonts w:asciiTheme="majorBidi" w:hAnsiTheme="majorBidi" w:cstheme="majorBidi"/>
          <w:lang w:val="en-AU"/>
        </w:rPr>
        <w:t>‘</w:t>
      </w:r>
      <w:r w:rsidRPr="004C5271">
        <w:rPr>
          <w:rFonts w:asciiTheme="majorBidi" w:hAnsiTheme="majorBidi" w:cstheme="majorBidi"/>
          <w:lang w:val="en-AU"/>
        </w:rPr>
        <w:t>a legally effective disposition of property prior to death placed such property beyond the reach of the legislation.</w:t>
      </w:r>
      <w:r w:rsidR="00004382" w:rsidRPr="004C5271">
        <w:rPr>
          <w:rFonts w:asciiTheme="majorBidi" w:hAnsiTheme="majorBidi" w:cstheme="majorBidi"/>
          <w:lang w:val="en-AU"/>
        </w:rPr>
        <w:t>’</w:t>
      </w:r>
      <w:r w:rsidRPr="004C5271">
        <w:rPr>
          <w:rFonts w:asciiTheme="majorBidi" w:hAnsiTheme="majorBidi" w:cstheme="majorBidi"/>
          <w:lang w:val="en-AU"/>
        </w:rPr>
        <w:t xml:space="preserve"> His Honour went on to refer to this as an </w:t>
      </w:r>
      <w:r w:rsidR="00004382" w:rsidRPr="004C5271">
        <w:rPr>
          <w:rFonts w:asciiTheme="majorBidi" w:hAnsiTheme="majorBidi" w:cstheme="majorBidi"/>
          <w:lang w:val="en-AU"/>
        </w:rPr>
        <w:t>‘</w:t>
      </w:r>
      <w:r w:rsidRPr="004C5271">
        <w:rPr>
          <w:rFonts w:asciiTheme="majorBidi" w:hAnsiTheme="majorBidi" w:cstheme="majorBidi"/>
          <w:lang w:val="en-AU"/>
        </w:rPr>
        <w:t>inherent limitation in the legislative scheme</w:t>
      </w:r>
      <w:r w:rsidR="00004382" w:rsidRPr="004C5271">
        <w:rPr>
          <w:rFonts w:asciiTheme="majorBidi" w:hAnsiTheme="majorBidi" w:cstheme="majorBidi"/>
          <w:lang w:val="en-AU"/>
        </w:rPr>
        <w:t>’</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407"/>
      </w:r>
    </w:p>
    <w:p w14:paraId="41992AFA" w14:textId="05B7D848" w:rsidR="00B97915" w:rsidRPr="004C5271" w:rsidRDefault="00B97915" w:rsidP="000027E1">
      <w:pPr>
        <w:pStyle w:val="NormalNumberedTextTLRI"/>
        <w:rPr>
          <w:rFonts w:asciiTheme="majorBidi" w:hAnsiTheme="majorBidi" w:cstheme="majorBidi"/>
          <w:lang w:val="en-AU"/>
        </w:rPr>
      </w:pPr>
      <w:bookmarkStart w:id="191" w:name="_Ref13503237"/>
      <w:r w:rsidRPr="004C5271">
        <w:rPr>
          <w:rFonts w:asciiTheme="majorBidi" w:hAnsiTheme="majorBidi" w:cstheme="majorBidi"/>
          <w:lang w:val="en-AU"/>
        </w:rPr>
        <w:lastRenderedPageBreak/>
        <w:t xml:space="preserve">Steven Bishop commented that, without anti-avoidance provisions, compliance with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is effectively voluntary:</w:t>
      </w:r>
      <w:bookmarkEnd w:id="191"/>
    </w:p>
    <w:p w14:paraId="482464DF" w14:textId="40756181" w:rsidR="00BC71B1" w:rsidRPr="004C5271" w:rsidRDefault="008949B4" w:rsidP="00004382">
      <w:pPr>
        <w:pStyle w:val="QuoteTLRI"/>
        <w:rPr>
          <w:rFonts w:asciiTheme="majorBidi" w:hAnsiTheme="majorBidi" w:cstheme="majorBidi"/>
        </w:rPr>
      </w:pPr>
      <w:r w:rsidRPr="004C5271">
        <w:rPr>
          <w:rFonts w:asciiTheme="majorBidi" w:hAnsiTheme="majorBidi" w:cstheme="majorBidi"/>
        </w:rPr>
        <w:t>Quite simply, as is the case in most other areas of law where there is financial imposition from the state, given the chance people will avoid their obligations</w:t>
      </w:r>
      <w:r w:rsidR="00004382" w:rsidRPr="004C5271">
        <w:rPr>
          <w:rFonts w:asciiTheme="majorBidi" w:hAnsiTheme="majorBidi" w:cstheme="majorBidi"/>
        </w:rPr>
        <w:t xml:space="preserve"> </w:t>
      </w:r>
      <w:r w:rsidR="00FD2BDE" w:rsidRPr="004C5271">
        <w:rPr>
          <w:rFonts w:asciiTheme="majorBidi" w:hAnsiTheme="majorBidi" w:cstheme="majorBidi"/>
        </w:rPr>
        <w:t xml:space="preserve">… </w:t>
      </w:r>
      <w:r w:rsidRPr="004C5271">
        <w:rPr>
          <w:rFonts w:asciiTheme="majorBidi" w:hAnsiTheme="majorBidi" w:cstheme="majorBidi"/>
        </w:rPr>
        <w:t>Without anti avoidance provisions, those unwilling to comply with the obligations can simply do so.</w:t>
      </w:r>
    </w:p>
    <w:p w14:paraId="235FE78C" w14:textId="2F481630" w:rsidR="00570109" w:rsidRPr="004C5271" w:rsidRDefault="00953AB7" w:rsidP="00235280">
      <w:pPr>
        <w:pStyle w:val="NormalNumberedTextTLRI"/>
        <w:rPr>
          <w:rFonts w:asciiTheme="majorBidi" w:hAnsiTheme="majorBidi" w:cstheme="majorBidi"/>
          <w:lang w:val="en-AU"/>
        </w:rPr>
      </w:pPr>
      <w:r w:rsidRPr="004C5271">
        <w:rPr>
          <w:rFonts w:asciiTheme="majorBidi" w:hAnsiTheme="majorBidi" w:cstheme="majorBidi"/>
          <w:lang w:val="en-AU"/>
        </w:rPr>
        <w:t xml:space="preserve">The submission of </w:t>
      </w:r>
      <w:r w:rsidR="007866EC" w:rsidRPr="004C5271">
        <w:rPr>
          <w:rFonts w:asciiTheme="majorBidi" w:hAnsiTheme="majorBidi" w:cstheme="majorBidi"/>
          <w:lang w:val="en-AU"/>
        </w:rPr>
        <w:t xml:space="preserve">Christine Schokman, Dexter Marcenko and Michael Flanagan also commented upon </w:t>
      </w:r>
      <w:r w:rsidR="00235280" w:rsidRPr="004C5271">
        <w:rPr>
          <w:rFonts w:asciiTheme="majorBidi" w:hAnsiTheme="majorBidi" w:cstheme="majorBidi"/>
          <w:lang w:val="en-AU"/>
        </w:rPr>
        <w:t>the existence of</w:t>
      </w:r>
      <w:r w:rsidR="007866EC" w:rsidRPr="004C5271">
        <w:rPr>
          <w:rFonts w:asciiTheme="majorBidi" w:hAnsiTheme="majorBidi" w:cstheme="majorBidi"/>
          <w:lang w:val="en-AU"/>
        </w:rPr>
        <w:t xml:space="preserve"> anti-avoidance provisions under other statutes, </w:t>
      </w:r>
      <w:r w:rsidR="00235280" w:rsidRPr="004C5271">
        <w:rPr>
          <w:rFonts w:asciiTheme="majorBidi" w:hAnsiTheme="majorBidi" w:cstheme="majorBidi"/>
          <w:lang w:val="en-AU"/>
        </w:rPr>
        <w:t>stating</w:t>
      </w:r>
      <w:r w:rsidR="007866EC" w:rsidRPr="004C5271">
        <w:rPr>
          <w:rFonts w:asciiTheme="majorBidi" w:hAnsiTheme="majorBidi" w:cstheme="majorBidi"/>
          <w:lang w:val="en-AU"/>
        </w:rPr>
        <w:t xml:space="preserve"> </w:t>
      </w:r>
      <w:r w:rsidR="00004382" w:rsidRPr="004C5271">
        <w:rPr>
          <w:rFonts w:asciiTheme="majorBidi" w:hAnsiTheme="majorBidi" w:cstheme="majorBidi"/>
          <w:lang w:val="en-AU"/>
        </w:rPr>
        <w:t>‘[l]</w:t>
      </w:r>
      <w:r w:rsidR="007866EC" w:rsidRPr="004C5271">
        <w:rPr>
          <w:rFonts w:asciiTheme="majorBidi" w:hAnsiTheme="majorBidi" w:cstheme="majorBidi"/>
          <w:lang w:val="en-AU"/>
        </w:rPr>
        <w:t>egislation is littered with statutory prohibitions against transactions which are intended to defeat valid claims.</w:t>
      </w:r>
      <w:r w:rsidR="00004382" w:rsidRPr="004C5271">
        <w:rPr>
          <w:rFonts w:asciiTheme="majorBidi" w:hAnsiTheme="majorBidi" w:cstheme="majorBidi"/>
          <w:lang w:val="en-AU"/>
        </w:rPr>
        <w:t>’</w:t>
      </w:r>
      <w:r w:rsidR="007866EC" w:rsidRPr="004C5271">
        <w:rPr>
          <w:rStyle w:val="FootnoteReference"/>
          <w:rFonts w:asciiTheme="majorBidi" w:hAnsiTheme="majorBidi" w:cstheme="majorBidi"/>
          <w:lang w:val="en-AU"/>
        </w:rPr>
        <w:footnoteReference w:id="408"/>
      </w:r>
      <w:r w:rsidR="00235280" w:rsidRPr="004C5271">
        <w:rPr>
          <w:rFonts w:asciiTheme="majorBidi" w:hAnsiTheme="majorBidi" w:cstheme="majorBidi"/>
          <w:lang w:val="en-AU"/>
        </w:rPr>
        <w:t xml:space="preserve"> Steven Bishop commented upon the utility of </w:t>
      </w:r>
      <w:r w:rsidR="00D6776E" w:rsidRPr="004C5271">
        <w:rPr>
          <w:rFonts w:asciiTheme="majorBidi" w:hAnsiTheme="majorBidi" w:cstheme="majorBidi"/>
          <w:lang w:val="en-AU"/>
        </w:rPr>
        <w:t>anti-avoidance</w:t>
      </w:r>
      <w:r w:rsidR="00235280" w:rsidRPr="004C5271">
        <w:rPr>
          <w:rFonts w:asciiTheme="majorBidi" w:hAnsiTheme="majorBidi" w:cstheme="majorBidi"/>
          <w:lang w:val="en-AU"/>
        </w:rPr>
        <w:t xml:space="preserve"> provisions, submitting that </w:t>
      </w:r>
      <w:r w:rsidR="00004382" w:rsidRPr="004C5271">
        <w:rPr>
          <w:rFonts w:asciiTheme="majorBidi" w:hAnsiTheme="majorBidi" w:cstheme="majorBidi"/>
          <w:lang w:val="en-AU"/>
        </w:rPr>
        <w:t>‘</w:t>
      </w:r>
      <w:r w:rsidR="00235280" w:rsidRPr="004C5271">
        <w:rPr>
          <w:rFonts w:asciiTheme="majorBidi" w:hAnsiTheme="majorBidi" w:cstheme="majorBidi"/>
          <w:lang w:val="en-AU"/>
        </w:rPr>
        <w:t>without compulsion, a significant minority of people will not comply with the law when it conflicts with their own desires.</w:t>
      </w:r>
      <w:r w:rsidR="00004382" w:rsidRPr="004C5271">
        <w:rPr>
          <w:rFonts w:asciiTheme="majorBidi" w:hAnsiTheme="majorBidi" w:cstheme="majorBidi"/>
          <w:lang w:val="en-AU"/>
        </w:rPr>
        <w:t>’</w:t>
      </w:r>
    </w:p>
    <w:p w14:paraId="3971C770" w14:textId="5CFCF8B0" w:rsidR="00E64792" w:rsidRPr="004C5271" w:rsidRDefault="00E64792" w:rsidP="00C223A7">
      <w:pPr>
        <w:pStyle w:val="NormalNumberedTextTLRI"/>
        <w:rPr>
          <w:rFonts w:asciiTheme="majorBidi" w:hAnsiTheme="majorBidi" w:cstheme="majorBidi"/>
          <w:lang w:val="en-AU"/>
        </w:rPr>
      </w:pPr>
      <w:r w:rsidRPr="004C5271">
        <w:rPr>
          <w:rFonts w:asciiTheme="majorBidi" w:hAnsiTheme="majorBidi" w:cstheme="majorBidi"/>
          <w:lang w:val="en-AU"/>
        </w:rPr>
        <w:t>A desire to promote the effectiveness of family provision legislation was the driving force behind the NSWLRC’s recommendations for the enactment of notional estate legislation in New South Wales and has also been considered by other law reform agencies.</w:t>
      </w:r>
      <w:r w:rsidRPr="004C5271">
        <w:rPr>
          <w:rStyle w:val="FootnoteReference"/>
          <w:rFonts w:asciiTheme="majorBidi" w:hAnsiTheme="majorBidi" w:cstheme="majorBidi"/>
          <w:lang w:val="en-AU"/>
        </w:rPr>
        <w:footnoteReference w:id="409"/>
      </w:r>
    </w:p>
    <w:p w14:paraId="5967B44B" w14:textId="565EA87D" w:rsidR="00E41005" w:rsidRPr="004C5271" w:rsidRDefault="00E41005" w:rsidP="00AE2B8C">
      <w:pPr>
        <w:pStyle w:val="Sub-HeadingTLRI"/>
      </w:pPr>
      <w:r w:rsidRPr="004C5271">
        <w:t>Different outcomes under the Family Law Act</w:t>
      </w:r>
    </w:p>
    <w:p w14:paraId="074A8DBD" w14:textId="545ECBE6" w:rsidR="00235280" w:rsidRPr="004C5271" w:rsidRDefault="007866EC" w:rsidP="003A60D1">
      <w:pPr>
        <w:pStyle w:val="NormalNumberedTextTLRI"/>
        <w:rPr>
          <w:rFonts w:asciiTheme="majorBidi" w:hAnsiTheme="majorBidi" w:cstheme="majorBidi"/>
          <w:lang w:val="en-AU"/>
        </w:rPr>
      </w:pPr>
      <w:bookmarkStart w:id="192" w:name="_Ref13080134"/>
      <w:r w:rsidRPr="004C5271">
        <w:rPr>
          <w:rFonts w:asciiTheme="majorBidi" w:hAnsiTheme="majorBidi" w:cstheme="majorBidi"/>
          <w:lang w:val="en-AU"/>
        </w:rPr>
        <w:t xml:space="preserve">The </w:t>
      </w:r>
      <w:r w:rsidR="00E93294" w:rsidRPr="004C5271">
        <w:rPr>
          <w:rFonts w:asciiTheme="majorBidi" w:hAnsiTheme="majorBidi" w:cstheme="majorBidi"/>
          <w:i/>
          <w:iCs/>
          <w:lang w:val="en-AU"/>
        </w:rPr>
        <w:t>Family Law Act 1975</w:t>
      </w:r>
      <w:r w:rsidR="00E93294" w:rsidRPr="004C5271">
        <w:rPr>
          <w:rFonts w:asciiTheme="majorBidi" w:hAnsiTheme="majorBidi" w:cstheme="majorBidi"/>
          <w:lang w:val="en-AU"/>
        </w:rPr>
        <w:t xml:space="preserve"> (Cth) (‘</w:t>
      </w:r>
      <w:r w:rsidRPr="004C5271">
        <w:rPr>
          <w:rFonts w:asciiTheme="majorBidi" w:hAnsiTheme="majorBidi" w:cstheme="majorBidi"/>
          <w:i/>
          <w:iCs/>
          <w:lang w:val="en-AU"/>
        </w:rPr>
        <w:t>FLA</w:t>
      </w:r>
      <w:r w:rsidR="00E93294" w:rsidRPr="004C5271">
        <w:rPr>
          <w:rFonts w:asciiTheme="majorBidi" w:hAnsiTheme="majorBidi" w:cstheme="majorBidi"/>
          <w:lang w:val="en-AU"/>
        </w:rPr>
        <w:t>’)</w:t>
      </w:r>
      <w:r w:rsidRPr="004C5271">
        <w:rPr>
          <w:rFonts w:asciiTheme="majorBidi" w:hAnsiTheme="majorBidi" w:cstheme="majorBidi"/>
          <w:lang w:val="en-AU"/>
        </w:rPr>
        <w:t xml:space="preserve"> provides one example of legislated anti-avoidance provisions.</w:t>
      </w:r>
      <w:r w:rsidR="00235280" w:rsidRPr="004C5271">
        <w:rPr>
          <w:rFonts w:asciiTheme="majorBidi" w:hAnsiTheme="majorBidi" w:cstheme="majorBidi"/>
          <w:lang w:val="en-AU"/>
        </w:rPr>
        <w:t xml:space="preserve"> </w:t>
      </w:r>
      <w:r w:rsidR="00071660" w:rsidRPr="004C5271">
        <w:rPr>
          <w:rFonts w:asciiTheme="majorBidi" w:hAnsiTheme="majorBidi" w:cstheme="majorBidi"/>
          <w:lang w:val="en-AU"/>
        </w:rPr>
        <w:t>Under s 106B</w:t>
      </w:r>
      <w:r w:rsidR="008A2D2F" w:rsidRPr="004C5271">
        <w:rPr>
          <w:rFonts w:asciiTheme="majorBidi" w:hAnsiTheme="majorBidi" w:cstheme="majorBidi"/>
          <w:lang w:val="en-AU"/>
        </w:rPr>
        <w:t xml:space="preserve">, the </w:t>
      </w:r>
      <w:r w:rsidR="00E41005" w:rsidRPr="004C5271">
        <w:rPr>
          <w:rFonts w:asciiTheme="majorBidi" w:hAnsiTheme="majorBidi" w:cstheme="majorBidi"/>
          <w:lang w:val="en-AU"/>
        </w:rPr>
        <w:t xml:space="preserve">Family Court </w:t>
      </w:r>
      <w:r w:rsidR="00235280" w:rsidRPr="004C5271">
        <w:rPr>
          <w:rFonts w:asciiTheme="majorBidi" w:hAnsiTheme="majorBidi" w:cstheme="majorBidi"/>
          <w:lang w:val="en-AU"/>
        </w:rPr>
        <w:t>can</w:t>
      </w:r>
      <w:r w:rsidR="00E41005" w:rsidRPr="004C5271">
        <w:rPr>
          <w:rFonts w:asciiTheme="majorBidi" w:hAnsiTheme="majorBidi" w:cstheme="majorBidi"/>
          <w:lang w:val="en-AU"/>
        </w:rPr>
        <w:t xml:space="preserve"> set aside transactions that are </w:t>
      </w:r>
      <w:r w:rsidR="006341F4" w:rsidRPr="004C5271">
        <w:rPr>
          <w:rFonts w:asciiTheme="majorBidi" w:hAnsiTheme="majorBidi" w:cstheme="majorBidi"/>
          <w:lang w:val="en-AU"/>
        </w:rPr>
        <w:t xml:space="preserve">either </w:t>
      </w:r>
      <w:r w:rsidR="00E41005" w:rsidRPr="004C5271">
        <w:rPr>
          <w:rFonts w:asciiTheme="majorBidi" w:hAnsiTheme="majorBidi" w:cstheme="majorBidi"/>
          <w:lang w:val="en-AU"/>
        </w:rPr>
        <w:t xml:space="preserve">entered into with the intention of defeating a claim or anticipated </w:t>
      </w:r>
      <w:r w:rsidR="00221F56" w:rsidRPr="004C5271">
        <w:rPr>
          <w:rFonts w:asciiTheme="majorBidi" w:hAnsiTheme="majorBidi" w:cstheme="majorBidi"/>
          <w:lang w:val="en-AU"/>
        </w:rPr>
        <w:t>order</w:t>
      </w:r>
      <w:r w:rsidR="00E41005" w:rsidRPr="004C5271">
        <w:rPr>
          <w:rFonts w:asciiTheme="majorBidi" w:hAnsiTheme="majorBidi" w:cstheme="majorBidi"/>
          <w:lang w:val="en-AU"/>
        </w:rPr>
        <w:t xml:space="preserve">, or </w:t>
      </w:r>
      <w:r w:rsidR="00221F56" w:rsidRPr="004C5271">
        <w:rPr>
          <w:rFonts w:asciiTheme="majorBidi" w:hAnsiTheme="majorBidi" w:cstheme="majorBidi"/>
          <w:lang w:val="en-AU"/>
        </w:rPr>
        <w:t>that, irrespective of intention, have the effect of defeating an order.</w:t>
      </w:r>
      <w:r w:rsidR="00221F56" w:rsidRPr="004C5271">
        <w:rPr>
          <w:rStyle w:val="FootnoteReference"/>
          <w:rFonts w:asciiTheme="majorBidi" w:hAnsiTheme="majorBidi" w:cstheme="majorBidi"/>
          <w:lang w:val="en-AU"/>
        </w:rPr>
        <w:footnoteReference w:id="410"/>
      </w:r>
      <w:bookmarkEnd w:id="192"/>
      <w:r w:rsidR="008A2D2F" w:rsidRPr="004C5271">
        <w:rPr>
          <w:rFonts w:asciiTheme="majorBidi" w:hAnsiTheme="majorBidi" w:cstheme="majorBidi"/>
          <w:lang w:val="en-AU"/>
        </w:rPr>
        <w:t xml:space="preserve"> </w:t>
      </w:r>
    </w:p>
    <w:p w14:paraId="55A573AD" w14:textId="596AB153" w:rsidR="005C3CA4" w:rsidRPr="004C5271" w:rsidRDefault="00F86FD3" w:rsidP="003A60D1">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An example </w:t>
      </w:r>
      <w:r w:rsidR="00235280" w:rsidRPr="004C5271">
        <w:rPr>
          <w:rFonts w:asciiTheme="majorBidi" w:hAnsiTheme="majorBidi" w:cstheme="majorBidi"/>
          <w:lang w:val="en-AU"/>
        </w:rPr>
        <w:t xml:space="preserve">of </w:t>
      </w:r>
      <w:r w:rsidR="00D6776E" w:rsidRPr="004C5271">
        <w:rPr>
          <w:rFonts w:asciiTheme="majorBidi" w:hAnsiTheme="majorBidi" w:cstheme="majorBidi"/>
          <w:lang w:val="en-AU"/>
        </w:rPr>
        <w:t xml:space="preserve">this </w:t>
      </w:r>
      <w:r w:rsidR="00235280" w:rsidRPr="004C5271">
        <w:rPr>
          <w:rFonts w:asciiTheme="majorBidi" w:hAnsiTheme="majorBidi" w:cstheme="majorBidi"/>
          <w:lang w:val="en-AU"/>
        </w:rPr>
        <w:t xml:space="preserve">section in operation </w:t>
      </w:r>
      <w:r w:rsidRPr="004C5271">
        <w:rPr>
          <w:rFonts w:asciiTheme="majorBidi" w:hAnsiTheme="majorBidi" w:cstheme="majorBidi"/>
          <w:lang w:val="en-AU"/>
        </w:rPr>
        <w:t xml:space="preserve">is the decision </w:t>
      </w:r>
      <w:r w:rsidR="00EE7905" w:rsidRPr="004C5271">
        <w:rPr>
          <w:rFonts w:asciiTheme="majorBidi" w:hAnsiTheme="majorBidi" w:cstheme="majorBidi"/>
          <w:lang w:val="en-AU"/>
        </w:rPr>
        <w:t xml:space="preserve">in </w:t>
      </w:r>
      <w:r w:rsidRPr="004C5271">
        <w:rPr>
          <w:rFonts w:asciiTheme="majorBidi" w:hAnsiTheme="majorBidi" w:cstheme="majorBidi"/>
          <w:i/>
          <w:iCs/>
          <w:lang w:val="en-AU"/>
        </w:rPr>
        <w:t>Tabussi</w:t>
      </w:r>
      <w:r w:rsidRPr="004C5271">
        <w:rPr>
          <w:rFonts w:asciiTheme="majorBidi" w:hAnsiTheme="majorBidi" w:cstheme="majorBidi"/>
          <w:lang w:val="en-AU"/>
        </w:rPr>
        <w:t>.</w:t>
      </w:r>
      <w:bookmarkStart w:id="193" w:name="_Ref13485083"/>
      <w:r w:rsidRPr="004C5271">
        <w:rPr>
          <w:rStyle w:val="FootnoteReference"/>
          <w:rFonts w:asciiTheme="majorBidi" w:hAnsiTheme="majorBidi" w:cstheme="majorBidi"/>
        </w:rPr>
        <w:footnoteReference w:id="411"/>
      </w:r>
      <w:bookmarkEnd w:id="193"/>
      <w:r w:rsidRPr="004C5271">
        <w:rPr>
          <w:rFonts w:asciiTheme="majorBidi" w:hAnsiTheme="majorBidi" w:cstheme="majorBidi"/>
          <w:lang w:val="en-AU"/>
        </w:rPr>
        <w:t xml:space="preserve"> In that case, a husband had transferred </w:t>
      </w:r>
      <w:r w:rsidR="00A3251A" w:rsidRPr="004C5271">
        <w:rPr>
          <w:rFonts w:asciiTheme="majorBidi" w:hAnsiTheme="majorBidi" w:cstheme="majorBidi"/>
          <w:lang w:val="en-AU"/>
        </w:rPr>
        <w:t>a</w:t>
      </w:r>
      <w:r w:rsidRPr="004C5271">
        <w:rPr>
          <w:rFonts w:asciiTheme="majorBidi" w:hAnsiTheme="majorBidi" w:cstheme="majorBidi"/>
          <w:lang w:val="en-AU"/>
        </w:rPr>
        <w:t xml:space="preserve"> family home, then worth $925,000,</w:t>
      </w:r>
      <w:r w:rsidR="00282F6C" w:rsidRPr="004C5271">
        <w:rPr>
          <w:rStyle w:val="FootnoteReference"/>
          <w:rFonts w:asciiTheme="majorBidi" w:hAnsiTheme="majorBidi" w:cstheme="majorBidi"/>
          <w:lang w:val="en-AU"/>
        </w:rPr>
        <w:footnoteReference w:id="412"/>
      </w:r>
      <w:r w:rsidRPr="004C5271">
        <w:rPr>
          <w:rFonts w:asciiTheme="majorBidi" w:hAnsiTheme="majorBidi" w:cstheme="majorBidi"/>
          <w:lang w:val="en-AU"/>
        </w:rPr>
        <w:t xml:space="preserve"> to his children in the months prior to his death from a terminal illness. </w:t>
      </w:r>
      <w:r w:rsidR="005C3CA4" w:rsidRPr="004C5271">
        <w:rPr>
          <w:rFonts w:asciiTheme="majorBidi" w:hAnsiTheme="majorBidi" w:cstheme="majorBidi"/>
          <w:lang w:val="en-AU"/>
        </w:rPr>
        <w:t>P</w:t>
      </w:r>
      <w:r w:rsidR="00E74E38" w:rsidRPr="004C5271">
        <w:rPr>
          <w:rFonts w:asciiTheme="majorBidi" w:hAnsiTheme="majorBidi" w:cstheme="majorBidi"/>
          <w:lang w:val="en-AU"/>
        </w:rPr>
        <w:t xml:space="preserve">rior to his death, his wife </w:t>
      </w:r>
      <w:r w:rsidR="005C3CA4" w:rsidRPr="004C5271">
        <w:rPr>
          <w:rFonts w:asciiTheme="majorBidi" w:hAnsiTheme="majorBidi" w:cstheme="majorBidi"/>
          <w:lang w:val="en-AU"/>
        </w:rPr>
        <w:t xml:space="preserve">of 35 years </w:t>
      </w:r>
      <w:r w:rsidR="00E74E38" w:rsidRPr="004C5271">
        <w:rPr>
          <w:rFonts w:asciiTheme="majorBidi" w:hAnsiTheme="majorBidi" w:cstheme="majorBidi"/>
          <w:lang w:val="en-AU"/>
        </w:rPr>
        <w:t xml:space="preserve">had filed proceedings with the Family Court of Western Australia. </w:t>
      </w:r>
      <w:r w:rsidR="005C3CA4" w:rsidRPr="004C5271">
        <w:rPr>
          <w:rFonts w:asciiTheme="majorBidi" w:hAnsiTheme="majorBidi" w:cstheme="majorBidi"/>
          <w:lang w:val="en-AU"/>
        </w:rPr>
        <w:t>She</w:t>
      </w:r>
      <w:r w:rsidR="00E74E38" w:rsidRPr="004C5271">
        <w:rPr>
          <w:rFonts w:asciiTheme="majorBidi" w:hAnsiTheme="majorBidi" w:cstheme="majorBidi"/>
          <w:lang w:val="en-AU"/>
        </w:rPr>
        <w:t xml:space="preserve"> </w:t>
      </w:r>
      <w:r w:rsidRPr="004C5271">
        <w:rPr>
          <w:rFonts w:asciiTheme="majorBidi" w:hAnsiTheme="majorBidi" w:cstheme="majorBidi"/>
          <w:lang w:val="en-AU"/>
        </w:rPr>
        <w:t xml:space="preserve">argued that the transfer </w:t>
      </w:r>
      <w:r w:rsidR="00E74E38" w:rsidRPr="004C5271">
        <w:rPr>
          <w:rFonts w:asciiTheme="majorBidi" w:hAnsiTheme="majorBidi" w:cstheme="majorBidi"/>
          <w:lang w:val="en-AU"/>
        </w:rPr>
        <w:t xml:space="preserve">of the home to the deceased’s children </w:t>
      </w:r>
      <w:r w:rsidRPr="004C5271">
        <w:rPr>
          <w:rFonts w:asciiTheme="majorBidi" w:hAnsiTheme="majorBidi" w:cstheme="majorBidi"/>
          <w:lang w:val="en-AU"/>
        </w:rPr>
        <w:t xml:space="preserve">should be set aside and that </w:t>
      </w:r>
      <w:r w:rsidR="00E74E38" w:rsidRPr="004C5271">
        <w:rPr>
          <w:rFonts w:asciiTheme="majorBidi" w:hAnsiTheme="majorBidi" w:cstheme="majorBidi"/>
          <w:lang w:val="en-AU"/>
        </w:rPr>
        <w:t xml:space="preserve">family court </w:t>
      </w:r>
      <w:r w:rsidRPr="004C5271">
        <w:rPr>
          <w:rFonts w:asciiTheme="majorBidi" w:hAnsiTheme="majorBidi" w:cstheme="majorBidi"/>
          <w:lang w:val="en-AU"/>
        </w:rPr>
        <w:t>property orders be made.</w:t>
      </w:r>
      <w:r w:rsidR="00E74E38" w:rsidRPr="004C5271">
        <w:rPr>
          <w:rFonts w:asciiTheme="majorBidi" w:hAnsiTheme="majorBidi" w:cstheme="majorBidi"/>
          <w:lang w:val="en-AU"/>
        </w:rPr>
        <w:t xml:space="preserve"> In the alternative, she argued that the transfer </w:t>
      </w:r>
      <w:r w:rsidR="00282F6C" w:rsidRPr="004C5271">
        <w:rPr>
          <w:rFonts w:asciiTheme="majorBidi" w:hAnsiTheme="majorBidi" w:cstheme="majorBidi"/>
          <w:lang w:val="en-AU"/>
        </w:rPr>
        <w:t xml:space="preserve">should </w:t>
      </w:r>
      <w:r w:rsidR="00E74E38" w:rsidRPr="004C5271">
        <w:rPr>
          <w:rFonts w:asciiTheme="majorBidi" w:hAnsiTheme="majorBidi" w:cstheme="majorBidi"/>
          <w:lang w:val="en-AU"/>
        </w:rPr>
        <w:t>be set aside</w:t>
      </w:r>
      <w:r w:rsidR="00B545FF" w:rsidRPr="004C5271">
        <w:rPr>
          <w:rFonts w:asciiTheme="majorBidi" w:hAnsiTheme="majorBidi" w:cstheme="majorBidi"/>
          <w:lang w:val="en-AU"/>
        </w:rPr>
        <w:t xml:space="preserve"> </w:t>
      </w:r>
      <w:r w:rsidR="00967ACC" w:rsidRPr="004C5271">
        <w:rPr>
          <w:rFonts w:asciiTheme="majorBidi" w:hAnsiTheme="majorBidi" w:cstheme="majorBidi"/>
          <w:lang w:val="en-AU"/>
        </w:rPr>
        <w:t xml:space="preserve">— </w:t>
      </w:r>
      <w:r w:rsidR="00B545FF" w:rsidRPr="004C5271">
        <w:rPr>
          <w:rFonts w:asciiTheme="majorBidi" w:hAnsiTheme="majorBidi" w:cstheme="majorBidi"/>
          <w:lang w:val="en-AU"/>
        </w:rPr>
        <w:t>s</w:t>
      </w:r>
      <w:r w:rsidR="00E74E38" w:rsidRPr="004C5271">
        <w:rPr>
          <w:rFonts w:asciiTheme="majorBidi" w:hAnsiTheme="majorBidi" w:cstheme="majorBidi"/>
          <w:lang w:val="en-AU"/>
        </w:rPr>
        <w:t>he would then pursue a family provision claim against her husband’s estate</w:t>
      </w:r>
      <w:r w:rsidR="00B545FF" w:rsidRPr="004C5271">
        <w:rPr>
          <w:rFonts w:asciiTheme="majorBidi" w:hAnsiTheme="majorBidi" w:cstheme="majorBidi"/>
          <w:lang w:val="en-AU"/>
        </w:rPr>
        <w:t>, including the family home</w:t>
      </w:r>
      <w:r w:rsidR="00E74E38" w:rsidRPr="004C5271">
        <w:rPr>
          <w:rFonts w:asciiTheme="majorBidi" w:hAnsiTheme="majorBidi" w:cstheme="majorBidi"/>
          <w:lang w:val="en-AU"/>
        </w:rPr>
        <w:t>.</w:t>
      </w:r>
      <w:r w:rsidR="00E74E38" w:rsidRPr="004C5271">
        <w:rPr>
          <w:rStyle w:val="FootnoteReference"/>
          <w:rFonts w:asciiTheme="majorBidi" w:hAnsiTheme="majorBidi" w:cstheme="majorBidi"/>
        </w:rPr>
        <w:footnoteReference w:id="413"/>
      </w:r>
      <w:r w:rsidR="00E74E38" w:rsidRPr="004C5271">
        <w:rPr>
          <w:rFonts w:asciiTheme="majorBidi" w:hAnsiTheme="majorBidi" w:cstheme="majorBidi"/>
          <w:lang w:val="en-AU"/>
        </w:rPr>
        <w:t xml:space="preserve"> </w:t>
      </w:r>
      <w:r w:rsidR="00B545FF" w:rsidRPr="004C5271">
        <w:rPr>
          <w:rFonts w:asciiTheme="majorBidi" w:hAnsiTheme="majorBidi" w:cstheme="majorBidi"/>
          <w:lang w:val="en-AU"/>
        </w:rPr>
        <w:t xml:space="preserve">Without </w:t>
      </w:r>
      <w:r w:rsidR="005C3CA4" w:rsidRPr="004C5271">
        <w:rPr>
          <w:rFonts w:asciiTheme="majorBidi" w:hAnsiTheme="majorBidi" w:cstheme="majorBidi"/>
          <w:lang w:val="en-AU"/>
        </w:rPr>
        <w:t xml:space="preserve">the </w:t>
      </w:r>
      <w:r w:rsidR="00B545FF" w:rsidRPr="004C5271">
        <w:rPr>
          <w:rFonts w:asciiTheme="majorBidi" w:hAnsiTheme="majorBidi" w:cstheme="majorBidi"/>
          <w:lang w:val="en-AU"/>
        </w:rPr>
        <w:t>transfer</w:t>
      </w:r>
      <w:r w:rsidR="005C3CA4" w:rsidRPr="004C5271">
        <w:rPr>
          <w:rFonts w:asciiTheme="majorBidi" w:hAnsiTheme="majorBidi" w:cstheme="majorBidi"/>
          <w:lang w:val="en-AU"/>
        </w:rPr>
        <w:t xml:space="preserve"> </w:t>
      </w:r>
      <w:r w:rsidR="00B545FF" w:rsidRPr="004C5271">
        <w:rPr>
          <w:rFonts w:asciiTheme="majorBidi" w:hAnsiTheme="majorBidi" w:cstheme="majorBidi"/>
          <w:lang w:val="en-AU"/>
        </w:rPr>
        <w:t>being</w:t>
      </w:r>
      <w:r w:rsidR="005C3CA4" w:rsidRPr="004C5271">
        <w:rPr>
          <w:rFonts w:asciiTheme="majorBidi" w:hAnsiTheme="majorBidi" w:cstheme="majorBidi"/>
          <w:lang w:val="en-AU"/>
        </w:rPr>
        <w:t xml:space="preserve"> set aside,</w:t>
      </w:r>
      <w:r w:rsidR="00E74E38" w:rsidRPr="004C5271">
        <w:rPr>
          <w:rFonts w:asciiTheme="majorBidi" w:hAnsiTheme="majorBidi" w:cstheme="majorBidi"/>
          <w:lang w:val="en-AU"/>
        </w:rPr>
        <w:t xml:space="preserve"> the residue of his estate was</w:t>
      </w:r>
      <w:r w:rsidR="00282F6C" w:rsidRPr="004C5271">
        <w:rPr>
          <w:rFonts w:asciiTheme="majorBidi" w:hAnsiTheme="majorBidi" w:cstheme="majorBidi"/>
          <w:lang w:val="en-AU"/>
        </w:rPr>
        <w:t xml:space="preserve"> only</w:t>
      </w:r>
      <w:r w:rsidR="00E74E38" w:rsidRPr="004C5271">
        <w:rPr>
          <w:rFonts w:asciiTheme="majorBidi" w:hAnsiTheme="majorBidi" w:cstheme="majorBidi"/>
          <w:lang w:val="en-AU"/>
        </w:rPr>
        <w:t xml:space="preserve"> approximately $50,000.</w:t>
      </w:r>
      <w:r w:rsidR="00E74E38" w:rsidRPr="004C5271">
        <w:rPr>
          <w:rStyle w:val="FootnoteReference"/>
          <w:rFonts w:asciiTheme="majorBidi" w:hAnsiTheme="majorBidi" w:cstheme="majorBidi"/>
        </w:rPr>
        <w:footnoteReference w:id="414"/>
      </w:r>
    </w:p>
    <w:p w14:paraId="75F508FB" w14:textId="33AED81C" w:rsidR="00AA0898" w:rsidRPr="004C5271" w:rsidRDefault="00423845" w:rsidP="006341F4">
      <w:pPr>
        <w:pStyle w:val="NormalNumberedTextTLRI"/>
        <w:rPr>
          <w:rFonts w:asciiTheme="majorBidi" w:hAnsiTheme="majorBidi" w:cstheme="majorBidi"/>
          <w:lang w:val="en-AU"/>
        </w:rPr>
      </w:pPr>
      <w:r w:rsidRPr="004C5271">
        <w:rPr>
          <w:rFonts w:asciiTheme="majorBidi" w:hAnsiTheme="majorBidi" w:cstheme="majorBidi"/>
          <w:lang w:val="en-AU"/>
        </w:rPr>
        <w:t xml:space="preserve">Justice </w:t>
      </w:r>
      <w:r w:rsidR="00E74E38" w:rsidRPr="004C5271">
        <w:rPr>
          <w:rFonts w:asciiTheme="majorBidi" w:hAnsiTheme="majorBidi" w:cstheme="majorBidi"/>
          <w:lang w:val="en-AU"/>
        </w:rPr>
        <w:t xml:space="preserve">Duncanson </w:t>
      </w:r>
      <w:r w:rsidR="005B5068" w:rsidRPr="004C5271">
        <w:rPr>
          <w:rFonts w:asciiTheme="majorBidi" w:hAnsiTheme="majorBidi" w:cstheme="majorBidi"/>
          <w:lang w:val="en-AU"/>
        </w:rPr>
        <w:t>upheld the application</w:t>
      </w:r>
      <w:r w:rsidR="00AA0898" w:rsidRPr="004C5271">
        <w:rPr>
          <w:rFonts w:asciiTheme="majorBidi" w:hAnsiTheme="majorBidi" w:cstheme="majorBidi"/>
          <w:lang w:val="en-AU"/>
        </w:rPr>
        <w:t>, stating:</w:t>
      </w:r>
    </w:p>
    <w:p w14:paraId="7D59EA39" w14:textId="7D7B923A" w:rsidR="00AA0898" w:rsidRPr="004C5271" w:rsidRDefault="00AA0898" w:rsidP="00EA7DF0">
      <w:pPr>
        <w:pStyle w:val="QuoteTLRI"/>
        <w:rPr>
          <w:rFonts w:asciiTheme="majorBidi" w:hAnsiTheme="majorBidi" w:cstheme="majorBidi"/>
        </w:rPr>
      </w:pPr>
      <w:r w:rsidRPr="004C5271">
        <w:rPr>
          <w:rFonts w:asciiTheme="majorBidi" w:hAnsiTheme="majorBidi" w:cstheme="majorBidi"/>
        </w:rPr>
        <w:t>Having regard to the value of the Suburb N property which is by far the most significant asset of the marriage, it is readily apparent that it is appropriate that I exercise my discretion to set aside the transfer. If I did not do so, this most significant asset of the parties would be excluded from the property of the parties to be the subject of orders. In exercising my discretion I take into account that the second and third respondents received the property by way of a gift from the husband as opposed to a bona fide purchaser.</w:t>
      </w:r>
      <w:bookmarkStart w:id="194" w:name="_Hlk8123756"/>
      <w:r w:rsidRPr="004C5271">
        <w:rPr>
          <w:rStyle w:val="FootnoteReference"/>
          <w:rFonts w:asciiTheme="majorBidi" w:hAnsiTheme="majorBidi" w:cstheme="majorBidi"/>
        </w:rPr>
        <w:footnoteReference w:id="415"/>
      </w:r>
      <w:bookmarkEnd w:id="194"/>
    </w:p>
    <w:p w14:paraId="30BE337C" w14:textId="321300C7" w:rsidR="00AA0898" w:rsidRPr="004C5271" w:rsidRDefault="00AA0898" w:rsidP="00AA0898">
      <w:pPr>
        <w:pStyle w:val="NormalNumberedTextTLRI"/>
        <w:rPr>
          <w:rFonts w:asciiTheme="majorBidi" w:hAnsiTheme="majorBidi" w:cstheme="majorBidi"/>
          <w:lang w:val="en-AU"/>
        </w:rPr>
      </w:pPr>
      <w:r w:rsidRPr="004C5271">
        <w:rPr>
          <w:rFonts w:asciiTheme="majorBidi" w:hAnsiTheme="majorBidi" w:cstheme="majorBidi"/>
          <w:lang w:val="en-AU"/>
        </w:rPr>
        <w:t>His Honour</w:t>
      </w:r>
      <w:r w:rsidR="005B5068" w:rsidRPr="004C5271">
        <w:rPr>
          <w:rFonts w:asciiTheme="majorBidi" w:hAnsiTheme="majorBidi" w:cstheme="majorBidi"/>
          <w:lang w:val="en-AU"/>
        </w:rPr>
        <w:t xml:space="preserve"> </w:t>
      </w:r>
      <w:r w:rsidR="00E74E38" w:rsidRPr="004C5271">
        <w:rPr>
          <w:rFonts w:asciiTheme="majorBidi" w:hAnsiTheme="majorBidi" w:cstheme="majorBidi"/>
          <w:lang w:val="en-AU"/>
        </w:rPr>
        <w:t xml:space="preserve">made orders for the property to be sold with 55% of the sale proceeds to be </w:t>
      </w:r>
      <w:r w:rsidR="005B5068" w:rsidRPr="004C5271">
        <w:rPr>
          <w:rFonts w:asciiTheme="majorBidi" w:hAnsiTheme="majorBidi" w:cstheme="majorBidi"/>
          <w:lang w:val="en-AU"/>
        </w:rPr>
        <w:t>paid to the wife.</w:t>
      </w:r>
      <w:r w:rsidR="005B5068" w:rsidRPr="004C5271">
        <w:rPr>
          <w:rStyle w:val="FootnoteReference"/>
          <w:rFonts w:asciiTheme="majorBidi" w:hAnsiTheme="majorBidi" w:cstheme="majorBidi"/>
        </w:rPr>
        <w:footnoteReference w:id="416"/>
      </w:r>
    </w:p>
    <w:p w14:paraId="7B4C30FE" w14:textId="1A4EEB3F" w:rsidR="00734085" w:rsidRPr="004C5271" w:rsidRDefault="006341F4" w:rsidP="00734085">
      <w:pPr>
        <w:pStyle w:val="NormalNumberedTextTLRI"/>
        <w:rPr>
          <w:rFonts w:asciiTheme="majorBidi" w:hAnsiTheme="majorBidi" w:cstheme="majorBidi"/>
          <w:lang w:val="en-AU"/>
        </w:rPr>
      </w:pPr>
      <w:bookmarkStart w:id="195" w:name="_Ref13504242"/>
      <w:r w:rsidRPr="004C5271">
        <w:rPr>
          <w:rFonts w:asciiTheme="majorBidi" w:hAnsiTheme="majorBidi" w:cstheme="majorBidi"/>
          <w:lang w:val="en-AU"/>
        </w:rPr>
        <w:t xml:space="preserve">Under the </w:t>
      </w:r>
      <w:r w:rsidRPr="004C5271">
        <w:rPr>
          <w:rFonts w:asciiTheme="majorBidi" w:hAnsiTheme="majorBidi" w:cstheme="majorBidi"/>
          <w:i/>
          <w:iCs/>
          <w:lang w:val="en-AU"/>
        </w:rPr>
        <w:t>TFM Act</w:t>
      </w:r>
      <w:r w:rsidRPr="004C5271">
        <w:rPr>
          <w:rFonts w:asciiTheme="majorBidi" w:hAnsiTheme="majorBidi" w:cstheme="majorBidi"/>
          <w:lang w:val="en-AU"/>
        </w:rPr>
        <w:t>, the Supreme Court does not have power to set aside a transaction that is intended to,</w:t>
      </w:r>
      <w:r w:rsidR="0006497A" w:rsidRPr="004C5271">
        <w:rPr>
          <w:rFonts w:asciiTheme="majorBidi" w:hAnsiTheme="majorBidi" w:cstheme="majorBidi"/>
          <w:lang w:val="en-AU"/>
        </w:rPr>
        <w:t xml:space="preserve"> </w:t>
      </w:r>
      <w:r w:rsidRPr="004C5271">
        <w:rPr>
          <w:rFonts w:asciiTheme="majorBidi" w:hAnsiTheme="majorBidi" w:cstheme="majorBidi"/>
          <w:lang w:val="en-AU"/>
        </w:rPr>
        <w:t>or has the effect of</w:t>
      </w:r>
      <w:r w:rsidR="002B1DD1" w:rsidRPr="004C5271">
        <w:rPr>
          <w:rFonts w:asciiTheme="majorBidi" w:hAnsiTheme="majorBidi" w:cstheme="majorBidi"/>
          <w:lang w:val="en-AU"/>
        </w:rPr>
        <w:t>,</w:t>
      </w:r>
      <w:r w:rsidRPr="004C5271">
        <w:rPr>
          <w:rFonts w:asciiTheme="majorBidi" w:hAnsiTheme="majorBidi" w:cstheme="majorBidi"/>
          <w:lang w:val="en-AU"/>
        </w:rPr>
        <w:t xml:space="preserve"> defeating a claim. </w:t>
      </w:r>
      <w:r w:rsidR="002B1DD1" w:rsidRPr="004C5271">
        <w:rPr>
          <w:rFonts w:asciiTheme="majorBidi" w:hAnsiTheme="majorBidi" w:cstheme="majorBidi"/>
          <w:lang w:val="en-AU"/>
        </w:rPr>
        <w:t>H</w:t>
      </w:r>
      <w:r w:rsidR="005B5068" w:rsidRPr="004C5271">
        <w:rPr>
          <w:rFonts w:asciiTheme="majorBidi" w:hAnsiTheme="majorBidi" w:cstheme="majorBidi"/>
          <w:lang w:val="en-AU"/>
        </w:rPr>
        <w:t xml:space="preserve">ad the wife </w:t>
      </w:r>
      <w:r w:rsidR="00282F6C" w:rsidRPr="004C5271">
        <w:rPr>
          <w:rFonts w:asciiTheme="majorBidi" w:hAnsiTheme="majorBidi" w:cstheme="majorBidi"/>
          <w:lang w:val="en-AU"/>
        </w:rPr>
        <w:t xml:space="preserve">in </w:t>
      </w:r>
      <w:r w:rsidR="00282F6C" w:rsidRPr="004C5271">
        <w:rPr>
          <w:rFonts w:asciiTheme="majorBidi" w:hAnsiTheme="majorBidi" w:cstheme="majorBidi"/>
          <w:i/>
          <w:iCs/>
          <w:lang w:val="en-AU"/>
        </w:rPr>
        <w:t>Tabussi</w:t>
      </w:r>
      <w:r w:rsidR="00282F6C" w:rsidRPr="004C5271">
        <w:rPr>
          <w:rFonts w:asciiTheme="majorBidi" w:hAnsiTheme="majorBidi" w:cstheme="majorBidi"/>
          <w:lang w:val="en-AU"/>
        </w:rPr>
        <w:t xml:space="preserve"> </w:t>
      </w:r>
      <w:r w:rsidR="005B5068" w:rsidRPr="004C5271">
        <w:rPr>
          <w:rFonts w:asciiTheme="majorBidi" w:hAnsiTheme="majorBidi" w:cstheme="majorBidi"/>
          <w:lang w:val="en-AU"/>
        </w:rPr>
        <w:t xml:space="preserve">not commenced </w:t>
      </w:r>
      <w:r w:rsidR="00B545FF" w:rsidRPr="004C5271">
        <w:rPr>
          <w:rFonts w:asciiTheme="majorBidi" w:hAnsiTheme="majorBidi" w:cstheme="majorBidi"/>
          <w:lang w:val="en-AU"/>
        </w:rPr>
        <w:t xml:space="preserve">Family Court </w:t>
      </w:r>
      <w:r w:rsidR="005B5068" w:rsidRPr="004C5271">
        <w:rPr>
          <w:rFonts w:asciiTheme="majorBidi" w:hAnsiTheme="majorBidi" w:cstheme="majorBidi"/>
          <w:lang w:val="en-AU"/>
        </w:rPr>
        <w:t xml:space="preserve">proceedings prior to </w:t>
      </w:r>
      <w:r w:rsidR="005B5068" w:rsidRPr="004C5271">
        <w:rPr>
          <w:rFonts w:asciiTheme="majorBidi" w:hAnsiTheme="majorBidi" w:cstheme="majorBidi"/>
          <w:lang w:val="en-AU"/>
        </w:rPr>
        <w:lastRenderedPageBreak/>
        <w:t>her husband’s death,</w:t>
      </w:r>
      <w:r w:rsidR="002E3DFF" w:rsidRPr="004C5271">
        <w:rPr>
          <w:rStyle w:val="FootnoteReference"/>
          <w:rFonts w:asciiTheme="majorBidi" w:hAnsiTheme="majorBidi" w:cstheme="majorBidi"/>
          <w:lang w:val="en-AU"/>
        </w:rPr>
        <w:footnoteReference w:id="417"/>
      </w:r>
      <w:r w:rsidR="005B5068" w:rsidRPr="004C5271">
        <w:rPr>
          <w:rFonts w:asciiTheme="majorBidi" w:hAnsiTheme="majorBidi" w:cstheme="majorBidi"/>
          <w:lang w:val="en-AU"/>
        </w:rPr>
        <w:t xml:space="preserve"> she would have been unable to claim any </w:t>
      </w:r>
      <w:r w:rsidR="00B545FF" w:rsidRPr="004C5271">
        <w:rPr>
          <w:rFonts w:asciiTheme="majorBidi" w:hAnsiTheme="majorBidi" w:cstheme="majorBidi"/>
          <w:lang w:val="en-AU"/>
        </w:rPr>
        <w:t>of</w:t>
      </w:r>
      <w:r w:rsidR="005B5068" w:rsidRPr="004C5271">
        <w:rPr>
          <w:rFonts w:asciiTheme="majorBidi" w:hAnsiTheme="majorBidi" w:cstheme="majorBidi"/>
          <w:lang w:val="en-AU"/>
        </w:rPr>
        <w:t xml:space="preserve"> the family home</w:t>
      </w:r>
      <w:r w:rsidR="00AA0898" w:rsidRPr="004C5271">
        <w:rPr>
          <w:rFonts w:asciiTheme="majorBidi" w:hAnsiTheme="majorBidi" w:cstheme="majorBidi"/>
          <w:lang w:val="en-AU"/>
        </w:rPr>
        <w:t xml:space="preserve"> via a family provision claim</w:t>
      </w:r>
      <w:r w:rsidR="00B545FF" w:rsidRPr="004C5271">
        <w:rPr>
          <w:rFonts w:asciiTheme="majorBidi" w:hAnsiTheme="majorBidi" w:cstheme="majorBidi"/>
          <w:lang w:val="en-AU"/>
        </w:rPr>
        <w:t xml:space="preserve"> as, like Tasmania, Western Australia does not have notional estate legislation. The wife would have </w:t>
      </w:r>
      <w:r w:rsidR="00DC7A93" w:rsidRPr="004C5271">
        <w:rPr>
          <w:rFonts w:asciiTheme="majorBidi" w:hAnsiTheme="majorBidi" w:cstheme="majorBidi"/>
          <w:lang w:val="en-AU"/>
        </w:rPr>
        <w:t xml:space="preserve">had </w:t>
      </w:r>
      <w:r w:rsidR="00AA0898" w:rsidRPr="004C5271">
        <w:rPr>
          <w:rFonts w:asciiTheme="majorBidi" w:hAnsiTheme="majorBidi" w:cstheme="majorBidi"/>
          <w:lang w:val="en-AU"/>
        </w:rPr>
        <w:t>to rely upon equitable doctrines to pursue any interest</w:t>
      </w:r>
      <w:r w:rsidR="00B545FF" w:rsidRPr="004C5271">
        <w:rPr>
          <w:rFonts w:asciiTheme="majorBidi" w:hAnsiTheme="majorBidi" w:cstheme="majorBidi"/>
          <w:lang w:val="en-AU"/>
        </w:rPr>
        <w:t xml:space="preserve"> in the property</w:t>
      </w:r>
      <w:r w:rsidR="00AA0898" w:rsidRPr="004C5271">
        <w:rPr>
          <w:rFonts w:asciiTheme="majorBidi" w:hAnsiTheme="majorBidi" w:cstheme="majorBidi"/>
          <w:lang w:val="en-AU"/>
        </w:rPr>
        <w:t>.</w:t>
      </w:r>
      <w:r w:rsidR="001F1F13" w:rsidRPr="004C5271">
        <w:rPr>
          <w:rStyle w:val="FootnoteReference"/>
          <w:rFonts w:asciiTheme="majorBidi" w:hAnsiTheme="majorBidi" w:cstheme="majorBidi"/>
          <w:lang w:val="en-AU"/>
        </w:rPr>
        <w:footnoteReference w:id="418"/>
      </w:r>
      <w:r w:rsidRPr="004C5271">
        <w:rPr>
          <w:rFonts w:asciiTheme="majorBidi" w:hAnsiTheme="majorBidi" w:cstheme="majorBidi"/>
          <w:lang w:val="en-AU"/>
        </w:rPr>
        <w:t xml:space="preserve"> Notional estate provisions </w:t>
      </w:r>
      <w:r w:rsidR="00B545FF" w:rsidRPr="004C5271">
        <w:rPr>
          <w:rFonts w:asciiTheme="majorBidi" w:hAnsiTheme="majorBidi" w:cstheme="majorBidi"/>
          <w:lang w:val="en-AU"/>
        </w:rPr>
        <w:t xml:space="preserve">are therefore similar to s 106B of the </w:t>
      </w:r>
      <w:r w:rsidR="00B545FF" w:rsidRPr="004C5271">
        <w:rPr>
          <w:rFonts w:asciiTheme="majorBidi" w:hAnsiTheme="majorBidi" w:cstheme="majorBidi"/>
          <w:i/>
          <w:iCs/>
          <w:lang w:val="en-AU"/>
        </w:rPr>
        <w:t>FLA</w:t>
      </w:r>
      <w:r w:rsidR="00B545FF" w:rsidRPr="004C5271">
        <w:rPr>
          <w:rFonts w:asciiTheme="majorBidi" w:hAnsiTheme="majorBidi" w:cstheme="majorBidi"/>
          <w:lang w:val="en-AU"/>
        </w:rPr>
        <w:t xml:space="preserve"> in that they</w:t>
      </w:r>
      <w:r w:rsidRPr="004C5271">
        <w:rPr>
          <w:rFonts w:asciiTheme="majorBidi" w:hAnsiTheme="majorBidi" w:cstheme="majorBidi"/>
          <w:lang w:val="en-AU"/>
        </w:rPr>
        <w:t xml:space="preserve"> give the </w:t>
      </w:r>
      <w:r w:rsidR="00B545FF" w:rsidRPr="004C5271">
        <w:rPr>
          <w:rFonts w:asciiTheme="majorBidi" w:hAnsiTheme="majorBidi" w:cstheme="majorBidi"/>
          <w:lang w:val="en-AU"/>
        </w:rPr>
        <w:t>c</w:t>
      </w:r>
      <w:r w:rsidRPr="004C5271">
        <w:rPr>
          <w:rFonts w:asciiTheme="majorBidi" w:hAnsiTheme="majorBidi" w:cstheme="majorBidi"/>
          <w:lang w:val="en-AU"/>
        </w:rPr>
        <w:t xml:space="preserve">ourt power to clawback assets </w:t>
      </w:r>
      <w:r w:rsidR="00B545FF" w:rsidRPr="004C5271">
        <w:rPr>
          <w:rFonts w:asciiTheme="majorBidi" w:hAnsiTheme="majorBidi" w:cstheme="majorBidi"/>
          <w:lang w:val="en-AU"/>
        </w:rPr>
        <w:t>in certain circumstances</w:t>
      </w:r>
      <w:r w:rsidRPr="004C5271">
        <w:rPr>
          <w:rFonts w:asciiTheme="majorBidi" w:hAnsiTheme="majorBidi" w:cstheme="majorBidi"/>
          <w:lang w:val="en-AU"/>
        </w:rPr>
        <w:t xml:space="preserve">. </w:t>
      </w:r>
      <w:r w:rsidR="00915DAC" w:rsidRPr="004C5271">
        <w:rPr>
          <w:rFonts w:asciiTheme="majorBidi" w:hAnsiTheme="majorBidi" w:cstheme="majorBidi"/>
          <w:lang w:val="en-AU"/>
        </w:rPr>
        <w:t xml:space="preserve">The case of </w:t>
      </w:r>
      <w:r w:rsidR="00915DAC" w:rsidRPr="004C5271">
        <w:rPr>
          <w:rFonts w:asciiTheme="majorBidi" w:hAnsiTheme="majorBidi" w:cstheme="majorBidi"/>
          <w:i/>
          <w:iCs/>
          <w:lang w:val="en-AU"/>
        </w:rPr>
        <w:t>Tabussi</w:t>
      </w:r>
      <w:r w:rsidR="00915DAC" w:rsidRPr="004C5271">
        <w:rPr>
          <w:rFonts w:asciiTheme="majorBidi" w:hAnsiTheme="majorBidi" w:cstheme="majorBidi"/>
          <w:lang w:val="en-AU"/>
        </w:rPr>
        <w:t xml:space="preserve"> also illustrates, however, that in certain circumstances use of the </w:t>
      </w:r>
      <w:r w:rsidR="00915DAC" w:rsidRPr="004C5271">
        <w:rPr>
          <w:rFonts w:asciiTheme="majorBidi" w:hAnsiTheme="majorBidi" w:cstheme="majorBidi"/>
          <w:i/>
          <w:iCs/>
          <w:lang w:val="en-AU"/>
        </w:rPr>
        <w:t>FLA</w:t>
      </w:r>
      <w:r w:rsidR="00915DAC" w:rsidRPr="004C5271">
        <w:rPr>
          <w:rFonts w:asciiTheme="majorBidi" w:hAnsiTheme="majorBidi" w:cstheme="majorBidi"/>
          <w:lang w:val="en-AU"/>
        </w:rPr>
        <w:t xml:space="preserve"> can avoid the need for notional estate provisions within family provision legislation.</w:t>
      </w:r>
      <w:bookmarkEnd w:id="195"/>
    </w:p>
    <w:p w14:paraId="19C17865" w14:textId="1F062E23" w:rsidR="00734085" w:rsidRPr="004C5271" w:rsidRDefault="002B1DD1" w:rsidP="00235280">
      <w:pPr>
        <w:pStyle w:val="NormalNumberedTextTLRI"/>
        <w:rPr>
          <w:rFonts w:asciiTheme="majorBidi" w:hAnsiTheme="majorBidi" w:cstheme="majorBidi"/>
          <w:lang w:val="en-AU"/>
        </w:rPr>
      </w:pPr>
      <w:r w:rsidRPr="004C5271">
        <w:rPr>
          <w:rFonts w:asciiTheme="majorBidi" w:hAnsiTheme="majorBidi" w:cstheme="majorBidi"/>
          <w:lang w:val="en-AU"/>
        </w:rPr>
        <w:t>Whilst b</w:t>
      </w:r>
      <w:r w:rsidR="00235280" w:rsidRPr="004C5271">
        <w:rPr>
          <w:rFonts w:asciiTheme="majorBidi" w:hAnsiTheme="majorBidi" w:cstheme="majorBidi"/>
          <w:lang w:val="en-AU"/>
        </w:rPr>
        <w:t xml:space="preserve">oth the </w:t>
      </w:r>
      <w:r w:rsidR="00235280" w:rsidRPr="004C5271">
        <w:rPr>
          <w:rFonts w:asciiTheme="majorBidi" w:hAnsiTheme="majorBidi" w:cstheme="majorBidi"/>
          <w:i/>
          <w:iCs/>
          <w:lang w:val="en-AU"/>
        </w:rPr>
        <w:t>FLA</w:t>
      </w:r>
      <w:r w:rsidR="00235280" w:rsidRPr="004C5271">
        <w:rPr>
          <w:rFonts w:asciiTheme="majorBidi" w:hAnsiTheme="majorBidi" w:cstheme="majorBidi"/>
          <w:lang w:val="en-AU"/>
        </w:rPr>
        <w:t xml:space="preserve"> and </w:t>
      </w:r>
      <w:r w:rsidR="00235280" w:rsidRPr="004C5271">
        <w:rPr>
          <w:rFonts w:asciiTheme="majorBidi" w:hAnsiTheme="majorBidi" w:cstheme="majorBidi"/>
          <w:i/>
          <w:iCs/>
          <w:lang w:val="en-AU"/>
        </w:rPr>
        <w:t>TFM Act</w:t>
      </w:r>
      <w:r w:rsidR="00235280" w:rsidRPr="004C5271">
        <w:rPr>
          <w:rFonts w:asciiTheme="majorBidi" w:hAnsiTheme="majorBidi" w:cstheme="majorBidi"/>
          <w:lang w:val="en-AU"/>
        </w:rPr>
        <w:t xml:space="preserve"> deal with the division of property upon the ending of a relationship</w:t>
      </w:r>
      <w:r w:rsidRPr="004C5271">
        <w:rPr>
          <w:rFonts w:asciiTheme="majorBidi" w:hAnsiTheme="majorBidi" w:cstheme="majorBidi"/>
          <w:lang w:val="en-AU"/>
        </w:rPr>
        <w:t xml:space="preserve">, </w:t>
      </w:r>
      <w:r w:rsidR="00C3065B" w:rsidRPr="004C5271">
        <w:rPr>
          <w:rFonts w:asciiTheme="majorBidi" w:hAnsiTheme="majorBidi" w:cstheme="majorBidi"/>
          <w:lang w:val="en-AU"/>
        </w:rPr>
        <w:t xml:space="preserve">different outcomes can occur between jurisdictions. </w:t>
      </w:r>
      <w:r w:rsidRPr="004C5271">
        <w:rPr>
          <w:rFonts w:asciiTheme="majorBidi" w:hAnsiTheme="majorBidi" w:cstheme="majorBidi"/>
          <w:lang w:val="en-AU"/>
        </w:rPr>
        <w:t>The following has been said of this circumstance</w:t>
      </w:r>
      <w:r w:rsidR="00C3065B" w:rsidRPr="004C5271">
        <w:rPr>
          <w:rFonts w:asciiTheme="majorBidi" w:hAnsiTheme="majorBidi" w:cstheme="majorBidi"/>
          <w:lang w:val="en-AU"/>
        </w:rPr>
        <w:t xml:space="preserve">: </w:t>
      </w:r>
    </w:p>
    <w:p w14:paraId="2E347643" w14:textId="5CBBFEC7" w:rsidR="00734085" w:rsidRPr="004C5271" w:rsidRDefault="00734085" w:rsidP="004461A6">
      <w:pPr>
        <w:pStyle w:val="QuoteTLRI"/>
        <w:rPr>
          <w:rFonts w:asciiTheme="majorBidi" w:hAnsiTheme="majorBidi" w:cstheme="majorBidi"/>
        </w:rPr>
      </w:pPr>
      <w:r w:rsidRPr="004C5271">
        <w:rPr>
          <w:rFonts w:asciiTheme="majorBidi" w:hAnsiTheme="majorBidi" w:cstheme="majorBidi"/>
        </w:rPr>
        <w:t>Just what a remarkable dichotomy exists therefore between the position of a spouse who has, prior to the death of his/her partner, separated from that party and instituted an application for property settlement pursuant to s 79 and that of a spouse who has separated from his/her partner but not instituted a s 79 application prior to the death of the partner. Similarly disadvantaged too is a spouse who has lived in connubial bliss with his/her marital partner only to discover upon the partner’s death that no or little provision has been made for him/her in the testator’s Will. He/she is omitted [from] most or all of the property which they enjoyed, or at least acquired during the marriage registered in the deceased’s partner’s name.</w:t>
      </w:r>
      <w:bookmarkStart w:id="196" w:name="_Ref13485960"/>
      <w:r w:rsidRPr="004C5271">
        <w:rPr>
          <w:rStyle w:val="FootnoteReference"/>
          <w:rFonts w:asciiTheme="majorBidi" w:hAnsiTheme="majorBidi" w:cstheme="majorBidi"/>
        </w:rPr>
        <w:footnoteReference w:id="419"/>
      </w:r>
      <w:bookmarkEnd w:id="196"/>
    </w:p>
    <w:p w14:paraId="450425B4" w14:textId="13ABE79B" w:rsidR="00EF7604" w:rsidRPr="004C5271" w:rsidRDefault="00EF7604" w:rsidP="00EE5C30">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This quotation refers to the </w:t>
      </w:r>
      <w:r w:rsidR="00C3065B" w:rsidRPr="004C5271">
        <w:rPr>
          <w:rFonts w:asciiTheme="majorBidi" w:hAnsiTheme="majorBidi" w:cstheme="majorBidi"/>
          <w:lang w:val="en-AU"/>
        </w:rPr>
        <w:t>fact that the</w:t>
      </w:r>
      <w:r w:rsidRPr="004C5271">
        <w:rPr>
          <w:rFonts w:asciiTheme="majorBidi" w:hAnsiTheme="majorBidi" w:cstheme="majorBidi"/>
          <w:lang w:val="en-AU"/>
        </w:rPr>
        <w:t xml:space="preserve"> </w:t>
      </w:r>
      <w:r w:rsidRPr="004C5271">
        <w:rPr>
          <w:rFonts w:asciiTheme="majorBidi" w:hAnsiTheme="majorBidi" w:cstheme="majorBidi"/>
          <w:i/>
          <w:iCs/>
          <w:lang w:val="en-AU"/>
        </w:rPr>
        <w:t>TFM Act</w:t>
      </w:r>
      <w:r w:rsidRPr="004C5271">
        <w:rPr>
          <w:rFonts w:asciiTheme="majorBidi" w:hAnsiTheme="majorBidi" w:cstheme="majorBidi"/>
          <w:lang w:val="en-AU"/>
        </w:rPr>
        <w:t xml:space="preserve"> </w:t>
      </w:r>
      <w:r w:rsidR="002B1DD1" w:rsidRPr="004C5271">
        <w:rPr>
          <w:rFonts w:asciiTheme="majorBidi" w:hAnsiTheme="majorBidi" w:cstheme="majorBidi"/>
          <w:lang w:val="en-AU"/>
        </w:rPr>
        <w:t>applies</w:t>
      </w:r>
      <w:r w:rsidRPr="004C5271">
        <w:rPr>
          <w:rFonts w:asciiTheme="majorBidi" w:hAnsiTheme="majorBidi" w:cstheme="majorBidi"/>
          <w:lang w:val="en-AU"/>
        </w:rPr>
        <w:t xml:space="preserve"> to surviving spouses who </w:t>
      </w:r>
      <w:r w:rsidR="002B1DD1" w:rsidRPr="004C5271">
        <w:rPr>
          <w:rFonts w:asciiTheme="majorBidi" w:hAnsiTheme="majorBidi" w:cstheme="majorBidi"/>
          <w:lang w:val="en-AU"/>
        </w:rPr>
        <w:t xml:space="preserve">may have </w:t>
      </w:r>
      <w:r w:rsidRPr="004C5271">
        <w:rPr>
          <w:rFonts w:asciiTheme="majorBidi" w:hAnsiTheme="majorBidi" w:cstheme="majorBidi"/>
          <w:lang w:val="en-AU"/>
        </w:rPr>
        <w:t xml:space="preserve">remained in long and happy </w:t>
      </w:r>
      <w:r w:rsidR="002B1DD1" w:rsidRPr="004C5271">
        <w:rPr>
          <w:rFonts w:asciiTheme="majorBidi" w:hAnsiTheme="majorBidi" w:cstheme="majorBidi"/>
          <w:lang w:val="en-AU"/>
        </w:rPr>
        <w:t>relationships</w:t>
      </w:r>
      <w:r w:rsidRPr="004C5271">
        <w:rPr>
          <w:rFonts w:asciiTheme="majorBidi" w:hAnsiTheme="majorBidi" w:cstheme="majorBidi"/>
          <w:lang w:val="en-AU"/>
        </w:rPr>
        <w:t xml:space="preserve"> with their partners. </w:t>
      </w:r>
      <w:r w:rsidR="00C3065B" w:rsidRPr="004C5271">
        <w:rPr>
          <w:rFonts w:asciiTheme="majorBidi" w:hAnsiTheme="majorBidi" w:cstheme="majorBidi"/>
          <w:lang w:val="en-AU"/>
        </w:rPr>
        <w:t xml:space="preserve">There is </w:t>
      </w:r>
      <w:r w:rsidR="00DC7A93" w:rsidRPr="004C5271">
        <w:rPr>
          <w:rFonts w:asciiTheme="majorBidi" w:hAnsiTheme="majorBidi" w:cstheme="majorBidi"/>
          <w:lang w:val="en-AU"/>
        </w:rPr>
        <w:t xml:space="preserve">an </w:t>
      </w:r>
      <w:r w:rsidR="00C3065B" w:rsidRPr="004C5271">
        <w:rPr>
          <w:rFonts w:asciiTheme="majorBidi" w:hAnsiTheme="majorBidi" w:cstheme="majorBidi"/>
          <w:lang w:val="en-AU"/>
        </w:rPr>
        <w:t>argument that th</w:t>
      </w:r>
      <w:r w:rsidR="002B1DD1" w:rsidRPr="004C5271">
        <w:rPr>
          <w:rFonts w:asciiTheme="majorBidi" w:hAnsiTheme="majorBidi" w:cstheme="majorBidi"/>
          <w:lang w:val="en-AU"/>
        </w:rPr>
        <w:t>is</w:t>
      </w:r>
      <w:r w:rsidR="00C3065B" w:rsidRPr="004C5271">
        <w:rPr>
          <w:rFonts w:asciiTheme="majorBidi" w:hAnsiTheme="majorBidi" w:cstheme="majorBidi"/>
          <w:lang w:val="en-AU"/>
        </w:rPr>
        <w:t xml:space="preserve"> </w:t>
      </w:r>
      <w:r w:rsidR="002B1DD1" w:rsidRPr="004C5271">
        <w:rPr>
          <w:rFonts w:asciiTheme="majorBidi" w:hAnsiTheme="majorBidi" w:cstheme="majorBidi"/>
          <w:lang w:val="en-AU"/>
        </w:rPr>
        <w:t>quality</w:t>
      </w:r>
      <w:r w:rsidR="00C3065B" w:rsidRPr="004C5271">
        <w:rPr>
          <w:rFonts w:asciiTheme="majorBidi" w:hAnsiTheme="majorBidi" w:cstheme="majorBidi"/>
          <w:lang w:val="en-AU"/>
        </w:rPr>
        <w:t xml:space="preserve"> justif</w:t>
      </w:r>
      <w:r w:rsidR="002B1DD1" w:rsidRPr="004C5271">
        <w:rPr>
          <w:rFonts w:asciiTheme="majorBidi" w:hAnsiTheme="majorBidi" w:cstheme="majorBidi"/>
          <w:lang w:val="en-AU"/>
        </w:rPr>
        <w:t>ies</w:t>
      </w:r>
      <w:r w:rsidR="00C3065B" w:rsidRPr="004C5271">
        <w:rPr>
          <w:rFonts w:asciiTheme="majorBidi" w:hAnsiTheme="majorBidi" w:cstheme="majorBidi"/>
          <w:lang w:val="en-AU"/>
        </w:rPr>
        <w:t xml:space="preserve"> favourable </w:t>
      </w:r>
      <w:r w:rsidR="002B1DD1" w:rsidRPr="004C5271">
        <w:rPr>
          <w:rFonts w:asciiTheme="majorBidi" w:hAnsiTheme="majorBidi" w:cstheme="majorBidi"/>
          <w:lang w:val="en-AU"/>
        </w:rPr>
        <w:t>outcomes</w:t>
      </w:r>
      <w:r w:rsidR="00C3065B" w:rsidRPr="004C5271">
        <w:rPr>
          <w:rFonts w:asciiTheme="majorBidi" w:hAnsiTheme="majorBidi" w:cstheme="majorBidi"/>
          <w:lang w:val="en-AU"/>
        </w:rPr>
        <w:t xml:space="preserve"> for </w:t>
      </w:r>
      <w:r w:rsidR="002B1DD1" w:rsidRPr="004C5271">
        <w:rPr>
          <w:rFonts w:asciiTheme="majorBidi" w:hAnsiTheme="majorBidi" w:cstheme="majorBidi"/>
          <w:lang w:val="en-AU"/>
        </w:rPr>
        <w:t xml:space="preserve">those </w:t>
      </w:r>
      <w:r w:rsidR="00C3065B" w:rsidRPr="004C5271">
        <w:rPr>
          <w:rFonts w:asciiTheme="majorBidi" w:hAnsiTheme="majorBidi" w:cstheme="majorBidi"/>
          <w:lang w:val="en-AU"/>
        </w:rPr>
        <w:t xml:space="preserve">surviving </w:t>
      </w:r>
      <w:r w:rsidR="002E3DFF" w:rsidRPr="004C5271">
        <w:rPr>
          <w:rFonts w:asciiTheme="majorBidi" w:hAnsiTheme="majorBidi" w:cstheme="majorBidi"/>
          <w:lang w:val="en-AU"/>
        </w:rPr>
        <w:t>widows and widowers</w:t>
      </w:r>
      <w:r w:rsidR="00C3065B" w:rsidRPr="004C5271">
        <w:rPr>
          <w:rFonts w:asciiTheme="majorBidi" w:hAnsiTheme="majorBidi" w:cstheme="majorBidi"/>
          <w:lang w:val="en-AU"/>
        </w:rPr>
        <w:t>.</w:t>
      </w:r>
      <w:r w:rsidRPr="004C5271">
        <w:rPr>
          <w:rStyle w:val="FootnoteReference"/>
          <w:rFonts w:asciiTheme="majorBidi" w:hAnsiTheme="majorBidi" w:cstheme="majorBidi"/>
        </w:rPr>
        <w:footnoteReference w:id="420"/>
      </w:r>
      <w:r w:rsidRPr="004C5271">
        <w:rPr>
          <w:rFonts w:asciiTheme="majorBidi" w:hAnsiTheme="majorBidi" w:cstheme="majorBidi"/>
          <w:lang w:val="en-AU"/>
        </w:rPr>
        <w:t xml:space="preserve"> In response to this </w:t>
      </w:r>
      <w:r w:rsidR="00DC7A93" w:rsidRPr="004C5271">
        <w:rPr>
          <w:rFonts w:asciiTheme="majorBidi" w:hAnsiTheme="majorBidi" w:cstheme="majorBidi"/>
          <w:lang w:val="en-AU"/>
        </w:rPr>
        <w:t>proposition</w:t>
      </w:r>
      <w:r w:rsidRPr="004C5271">
        <w:rPr>
          <w:rFonts w:asciiTheme="majorBidi" w:hAnsiTheme="majorBidi" w:cstheme="majorBidi"/>
          <w:lang w:val="en-AU"/>
        </w:rPr>
        <w:t>, Justice Brereton has commented that:</w:t>
      </w:r>
    </w:p>
    <w:p w14:paraId="4B2747FA" w14:textId="6B5F19E0" w:rsidR="00EF7604" w:rsidRPr="004C5271" w:rsidRDefault="00EF7604" w:rsidP="00836033">
      <w:pPr>
        <w:pStyle w:val="QuoteTLRI"/>
        <w:rPr>
          <w:rFonts w:asciiTheme="majorBidi" w:hAnsiTheme="majorBidi" w:cstheme="majorBidi"/>
        </w:rPr>
      </w:pPr>
      <w:r w:rsidRPr="004C5271">
        <w:rPr>
          <w:rFonts w:asciiTheme="majorBidi" w:hAnsiTheme="majorBidi" w:cstheme="majorBidi"/>
        </w:rPr>
        <w:t xml:space="preserve">In my view, the proper measure nowadays of the community’s expectation as the basic minimum which testators should provide for their spouses, even in an unhappy marriage, is that provision which the surviving spouse would have received pursuant to Part VIII of the </w:t>
      </w:r>
      <w:r w:rsidRPr="004C5271">
        <w:rPr>
          <w:rFonts w:asciiTheme="majorBidi" w:hAnsiTheme="majorBidi" w:cstheme="majorBidi"/>
          <w:i/>
          <w:iCs/>
        </w:rPr>
        <w:t>Family Law Act</w:t>
      </w:r>
      <w:r w:rsidRPr="004C5271">
        <w:rPr>
          <w:rFonts w:asciiTheme="majorBidi" w:hAnsiTheme="majorBidi" w:cstheme="majorBidi"/>
        </w:rPr>
        <w:t xml:space="preserve"> had the parties separated and instituted such proceedings. In a happy marriage, the standard might well exceed this</w:t>
      </w:r>
      <w:r w:rsidR="00836033" w:rsidRPr="004C5271">
        <w:rPr>
          <w:rFonts w:asciiTheme="majorBidi" w:hAnsiTheme="majorBidi" w:cstheme="majorBidi"/>
        </w:rPr>
        <w:t xml:space="preserve"> </w:t>
      </w:r>
      <w:r w:rsidRPr="004C5271">
        <w:rPr>
          <w:rFonts w:asciiTheme="majorBidi" w:hAnsiTheme="majorBidi" w:cstheme="majorBidi"/>
        </w:rPr>
        <w:t>… The dutiful spouse who finds upon her husband’s death that no or inadequate provision has been made for her is then in no worse position than a spouse who has separated before death and commenced property proceedings.</w:t>
      </w:r>
      <w:r w:rsidRPr="004C5271">
        <w:rPr>
          <w:rStyle w:val="FootnoteReference"/>
          <w:rFonts w:asciiTheme="majorBidi" w:eastAsia="Times New Roman" w:hAnsiTheme="majorBidi" w:cstheme="majorBidi"/>
          <w:color w:val="333333"/>
        </w:rPr>
        <w:footnoteReference w:id="421"/>
      </w:r>
    </w:p>
    <w:p w14:paraId="3D0116A4" w14:textId="35ABC653" w:rsidR="00EF7604" w:rsidRPr="004C5271" w:rsidRDefault="00EF7604" w:rsidP="00EF7604">
      <w:pPr>
        <w:pStyle w:val="NormalNumberedTextTLRI"/>
        <w:rPr>
          <w:rFonts w:asciiTheme="majorBidi" w:hAnsiTheme="majorBidi" w:cstheme="majorBidi"/>
          <w:lang w:val="en-AU"/>
        </w:rPr>
      </w:pPr>
      <w:r w:rsidRPr="004C5271">
        <w:rPr>
          <w:rFonts w:asciiTheme="majorBidi" w:hAnsiTheme="majorBidi" w:cstheme="majorBidi"/>
          <w:lang w:val="en-AU"/>
        </w:rPr>
        <w:t>His Honour conclude</w:t>
      </w:r>
      <w:r w:rsidR="002E3DFF" w:rsidRPr="004C5271">
        <w:rPr>
          <w:rFonts w:asciiTheme="majorBidi" w:hAnsiTheme="majorBidi" w:cstheme="majorBidi"/>
          <w:lang w:val="en-AU"/>
        </w:rPr>
        <w:t>s by stating</w:t>
      </w:r>
      <w:r w:rsidRPr="004C5271">
        <w:rPr>
          <w:rFonts w:asciiTheme="majorBidi" w:hAnsiTheme="majorBidi" w:cstheme="majorBidi"/>
          <w:lang w:val="en-AU"/>
        </w:rPr>
        <w:t xml:space="preserve"> that:</w:t>
      </w:r>
    </w:p>
    <w:p w14:paraId="6DCE5CBB" w14:textId="3A70A8AD" w:rsidR="00EF7604" w:rsidRPr="004C5271" w:rsidRDefault="00EF7604" w:rsidP="00836033">
      <w:pPr>
        <w:pStyle w:val="QuoteTLRI"/>
        <w:rPr>
          <w:rFonts w:asciiTheme="majorBidi" w:hAnsiTheme="majorBidi" w:cstheme="majorBidi"/>
        </w:rPr>
      </w:pPr>
      <w:r w:rsidRPr="004C5271">
        <w:rPr>
          <w:rFonts w:asciiTheme="majorBidi" w:hAnsiTheme="majorBidi" w:cstheme="majorBidi"/>
        </w:rPr>
        <w:t>There is neither social sense nor legal logic in a surviving spouse who has not instituted proceedings before the other dies being in a position worse than would have been the case had such proceedings been instituted. Even more so where the surviving spouse was not separated but remained happily married until the death of the other, should such spouses not be in a worse position vis-a-vis the estate of the other than had the marriage failed</w:t>
      </w:r>
      <w:r w:rsidR="00836033" w:rsidRPr="004C5271">
        <w:rPr>
          <w:rFonts w:asciiTheme="majorBidi" w:hAnsiTheme="majorBidi" w:cstheme="majorBidi"/>
        </w:rPr>
        <w:t xml:space="preserve"> </w:t>
      </w:r>
      <w:r w:rsidRPr="004C5271">
        <w:rPr>
          <w:rFonts w:asciiTheme="majorBidi" w:hAnsiTheme="majorBidi" w:cstheme="majorBidi"/>
        </w:rPr>
        <w:t>...</w:t>
      </w:r>
      <w:r w:rsidRPr="004C5271">
        <w:rPr>
          <w:rStyle w:val="FootnoteReference"/>
          <w:rFonts w:asciiTheme="majorBidi" w:eastAsia="Times New Roman" w:hAnsiTheme="majorBidi" w:cstheme="majorBidi"/>
          <w:color w:val="333333"/>
        </w:rPr>
        <w:footnoteReference w:id="422"/>
      </w:r>
    </w:p>
    <w:p w14:paraId="20C852E5" w14:textId="44911312" w:rsidR="00EF7604" w:rsidRPr="004C5271" w:rsidRDefault="00EF7604" w:rsidP="00836033">
      <w:pPr>
        <w:pStyle w:val="QuoteTLRI"/>
        <w:rPr>
          <w:rFonts w:asciiTheme="majorBidi" w:hAnsiTheme="majorBidi" w:cstheme="majorBidi"/>
        </w:rPr>
      </w:pPr>
      <w:r w:rsidRPr="004C5271">
        <w:rPr>
          <w:rFonts w:asciiTheme="majorBidi" w:hAnsiTheme="majorBidi" w:cstheme="majorBidi"/>
        </w:rPr>
        <w:t xml:space="preserve">If the outcome did in fact depend upon the chance of whether property proceedings had or had not been instituted before death, or resulted in a </w:t>
      </w:r>
      <w:r w:rsidR="00836033" w:rsidRPr="004C5271">
        <w:rPr>
          <w:rFonts w:asciiTheme="majorBidi" w:hAnsiTheme="majorBidi" w:cstheme="majorBidi"/>
        </w:rPr>
        <w:t>‘</w:t>
      </w:r>
      <w:r w:rsidRPr="004C5271">
        <w:rPr>
          <w:rFonts w:asciiTheme="majorBidi" w:hAnsiTheme="majorBidi" w:cstheme="majorBidi"/>
        </w:rPr>
        <w:t>dutiful</w:t>
      </w:r>
      <w:r w:rsidR="00836033" w:rsidRPr="004C5271">
        <w:rPr>
          <w:rFonts w:asciiTheme="majorBidi" w:hAnsiTheme="majorBidi" w:cstheme="majorBidi"/>
        </w:rPr>
        <w:t>’</w:t>
      </w:r>
      <w:r w:rsidRPr="004C5271">
        <w:rPr>
          <w:rFonts w:asciiTheme="majorBidi" w:hAnsiTheme="majorBidi" w:cstheme="majorBidi"/>
        </w:rPr>
        <w:t xml:space="preserve"> spouse who remained happily married to </w:t>
      </w:r>
      <w:r w:rsidRPr="004C5271">
        <w:rPr>
          <w:rFonts w:asciiTheme="majorBidi" w:hAnsiTheme="majorBidi" w:cstheme="majorBidi"/>
        </w:rPr>
        <w:lastRenderedPageBreak/>
        <w:t>the deceased being worse off than if he or she had separated from the other, there would be justifiable cause for complaint.</w:t>
      </w:r>
      <w:r w:rsidRPr="004C5271">
        <w:rPr>
          <w:rStyle w:val="FootnoteReference"/>
          <w:rFonts w:asciiTheme="majorBidi" w:eastAsia="Times New Roman" w:hAnsiTheme="majorBidi" w:cstheme="majorBidi"/>
          <w:color w:val="333333"/>
        </w:rPr>
        <w:footnoteReference w:id="423"/>
      </w:r>
    </w:p>
    <w:p w14:paraId="2BDE5D8B" w14:textId="7F67AF5D" w:rsidR="002D758D" w:rsidRPr="004C5271" w:rsidRDefault="006E07AD" w:rsidP="002D758D">
      <w:pPr>
        <w:pStyle w:val="NormalNumberedTextTLRI"/>
        <w:rPr>
          <w:rFonts w:asciiTheme="majorBidi" w:hAnsiTheme="majorBidi" w:cstheme="majorBidi"/>
          <w:lang w:val="en-AU"/>
        </w:rPr>
      </w:pPr>
      <w:r w:rsidRPr="004C5271">
        <w:rPr>
          <w:rFonts w:asciiTheme="majorBidi" w:hAnsiTheme="majorBidi" w:cstheme="majorBidi"/>
          <w:lang w:val="en-AU"/>
        </w:rPr>
        <w:t xml:space="preserve">The Family Law Committee of the Law Society observed that introduction of notional estate legislation would provide the Supreme Court with broader powers more akin to those in the Family Court. It also noted that it would </w:t>
      </w:r>
      <w:r w:rsidR="00836033" w:rsidRPr="004C5271">
        <w:rPr>
          <w:rFonts w:asciiTheme="majorBidi" w:hAnsiTheme="majorBidi" w:cstheme="majorBidi"/>
          <w:lang w:val="en-AU"/>
        </w:rPr>
        <w:t>‘</w:t>
      </w:r>
      <w:r w:rsidRPr="004C5271">
        <w:rPr>
          <w:rFonts w:asciiTheme="majorBidi" w:hAnsiTheme="majorBidi" w:cstheme="majorBidi"/>
          <w:lang w:val="en-AU"/>
        </w:rPr>
        <w:t>remove an uncertainty for spouses in respect of which forum to file proceedings where a party is approaching the end of their life.</w:t>
      </w:r>
      <w:r w:rsidR="00836033"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424"/>
      </w:r>
      <w:r w:rsidRPr="004C5271">
        <w:rPr>
          <w:rFonts w:asciiTheme="majorBidi" w:hAnsiTheme="majorBidi" w:cstheme="majorBidi"/>
          <w:lang w:val="en-AU"/>
        </w:rPr>
        <w:t xml:space="preserve"> </w:t>
      </w:r>
      <w:r w:rsidR="002B1DD1" w:rsidRPr="004C5271">
        <w:rPr>
          <w:rFonts w:asciiTheme="majorBidi" w:hAnsiTheme="majorBidi" w:cstheme="majorBidi"/>
          <w:lang w:val="en-AU"/>
        </w:rPr>
        <w:t xml:space="preserve">Others have </w:t>
      </w:r>
      <w:r w:rsidR="002D758D" w:rsidRPr="004C5271">
        <w:rPr>
          <w:rFonts w:asciiTheme="majorBidi" w:hAnsiTheme="majorBidi" w:cstheme="majorBidi"/>
          <w:lang w:val="en-AU"/>
        </w:rPr>
        <w:t>endorse</w:t>
      </w:r>
      <w:r w:rsidR="002B1DD1" w:rsidRPr="004C5271">
        <w:rPr>
          <w:rFonts w:asciiTheme="majorBidi" w:hAnsiTheme="majorBidi" w:cstheme="majorBidi"/>
          <w:lang w:val="en-AU"/>
        </w:rPr>
        <w:t>d</w:t>
      </w:r>
      <w:r w:rsidR="002D758D" w:rsidRPr="004C5271">
        <w:rPr>
          <w:rFonts w:asciiTheme="majorBidi" w:hAnsiTheme="majorBidi" w:cstheme="majorBidi"/>
          <w:lang w:val="en-AU"/>
        </w:rPr>
        <w:t xml:space="preserve"> alignment of family provision legislation with </w:t>
      </w:r>
      <w:r w:rsidR="00836033" w:rsidRPr="004C5271">
        <w:rPr>
          <w:rFonts w:asciiTheme="majorBidi" w:hAnsiTheme="majorBidi" w:cstheme="majorBidi"/>
          <w:lang w:val="en-AU"/>
        </w:rPr>
        <w:t>f</w:t>
      </w:r>
      <w:r w:rsidR="002D758D" w:rsidRPr="004C5271">
        <w:rPr>
          <w:rFonts w:asciiTheme="majorBidi" w:hAnsiTheme="majorBidi" w:cstheme="majorBidi"/>
          <w:lang w:val="en-AU"/>
        </w:rPr>
        <w:t xml:space="preserve">ederal reforms under the </w:t>
      </w:r>
      <w:r w:rsidR="002D758D" w:rsidRPr="004C5271">
        <w:rPr>
          <w:rFonts w:asciiTheme="majorBidi" w:hAnsiTheme="majorBidi" w:cstheme="majorBidi"/>
          <w:i/>
          <w:iCs/>
          <w:lang w:val="en-AU"/>
        </w:rPr>
        <w:t>FLA</w:t>
      </w:r>
      <w:r w:rsidR="002D758D" w:rsidRPr="004C5271">
        <w:rPr>
          <w:rFonts w:asciiTheme="majorBidi" w:hAnsiTheme="majorBidi" w:cstheme="majorBidi"/>
          <w:lang w:val="en-AU"/>
        </w:rPr>
        <w:t>.</w:t>
      </w:r>
      <w:r w:rsidR="002D758D" w:rsidRPr="004C5271">
        <w:rPr>
          <w:rStyle w:val="FootnoteReference"/>
          <w:rFonts w:asciiTheme="majorBidi" w:hAnsiTheme="majorBidi" w:cstheme="majorBidi"/>
          <w:lang w:val="en-AU"/>
        </w:rPr>
        <w:footnoteReference w:id="425"/>
      </w:r>
    </w:p>
    <w:p w14:paraId="4020D077" w14:textId="2F216296" w:rsidR="00EF7604" w:rsidRPr="004C5271" w:rsidRDefault="00EF7604" w:rsidP="00EF7604">
      <w:pPr>
        <w:pStyle w:val="NormalNumberedTextTLRI"/>
        <w:rPr>
          <w:rFonts w:asciiTheme="majorBidi" w:hAnsiTheme="majorBidi" w:cstheme="majorBidi"/>
          <w:lang w:val="en-AU"/>
        </w:rPr>
      </w:pPr>
      <w:r w:rsidRPr="004C5271">
        <w:rPr>
          <w:rFonts w:asciiTheme="majorBidi" w:hAnsiTheme="majorBidi" w:cstheme="majorBidi"/>
          <w:lang w:val="en-AU"/>
        </w:rPr>
        <w:t>Conversely, a Hobart law firm</w:t>
      </w:r>
      <w:r w:rsidRPr="004C5271">
        <w:rPr>
          <w:rStyle w:val="FootnoteReference"/>
          <w:rFonts w:asciiTheme="majorBidi" w:hAnsiTheme="majorBidi" w:cstheme="majorBidi"/>
          <w:lang w:val="en-AU"/>
        </w:rPr>
        <w:footnoteReference w:id="426"/>
      </w:r>
      <w:r w:rsidRPr="004C5271">
        <w:rPr>
          <w:rFonts w:asciiTheme="majorBidi" w:hAnsiTheme="majorBidi" w:cstheme="majorBidi"/>
          <w:lang w:val="en-AU"/>
        </w:rPr>
        <w:t xml:space="preserve"> commented in </w:t>
      </w:r>
      <w:r w:rsidR="002E3DFF" w:rsidRPr="004C5271">
        <w:rPr>
          <w:rFonts w:asciiTheme="majorBidi" w:hAnsiTheme="majorBidi" w:cstheme="majorBidi"/>
          <w:lang w:val="en-AU"/>
        </w:rPr>
        <w:t>its</w:t>
      </w:r>
      <w:r w:rsidRPr="004C5271">
        <w:rPr>
          <w:rFonts w:asciiTheme="majorBidi" w:hAnsiTheme="majorBidi" w:cstheme="majorBidi"/>
          <w:lang w:val="en-AU"/>
        </w:rPr>
        <w:t xml:space="preserve"> submission that the different contexts in which the </w:t>
      </w:r>
      <w:r w:rsidRPr="004C5271">
        <w:rPr>
          <w:rFonts w:asciiTheme="majorBidi" w:hAnsiTheme="majorBidi" w:cstheme="majorBidi"/>
          <w:i/>
          <w:iCs/>
          <w:lang w:val="en-AU"/>
        </w:rPr>
        <w:t>FLA</w:t>
      </w:r>
      <w:r w:rsidRPr="004C5271">
        <w:rPr>
          <w:rFonts w:asciiTheme="majorBidi" w:hAnsiTheme="majorBidi" w:cstheme="majorBidi"/>
          <w:lang w:val="en-AU"/>
        </w:rPr>
        <w:t xml:space="preserve"> and </w:t>
      </w:r>
      <w:r w:rsidRPr="004C5271">
        <w:rPr>
          <w:rFonts w:asciiTheme="majorBidi" w:hAnsiTheme="majorBidi" w:cstheme="majorBidi"/>
          <w:i/>
          <w:iCs/>
          <w:lang w:val="en-AU"/>
        </w:rPr>
        <w:t>TFM Act</w:t>
      </w:r>
      <w:r w:rsidRPr="004C5271">
        <w:rPr>
          <w:rFonts w:asciiTheme="majorBidi" w:hAnsiTheme="majorBidi" w:cstheme="majorBidi"/>
          <w:lang w:val="en-AU"/>
        </w:rPr>
        <w:t xml:space="preserve"> operate justify differences in approach and that comparing the two jurisdictions is unhelpful. One </w:t>
      </w:r>
      <w:r w:rsidR="002B1DD1" w:rsidRPr="004C5271">
        <w:rPr>
          <w:rFonts w:asciiTheme="majorBidi" w:hAnsiTheme="majorBidi" w:cstheme="majorBidi"/>
          <w:lang w:val="en-AU"/>
        </w:rPr>
        <w:t>distinction</w:t>
      </w:r>
      <w:r w:rsidRPr="004C5271">
        <w:rPr>
          <w:rFonts w:asciiTheme="majorBidi" w:hAnsiTheme="majorBidi" w:cstheme="majorBidi"/>
          <w:lang w:val="en-AU"/>
        </w:rPr>
        <w:t xml:space="preserve"> include</w:t>
      </w:r>
      <w:r w:rsidR="00DC7A93" w:rsidRPr="004C5271">
        <w:rPr>
          <w:rFonts w:asciiTheme="majorBidi" w:hAnsiTheme="majorBidi" w:cstheme="majorBidi"/>
          <w:lang w:val="en-AU"/>
        </w:rPr>
        <w:t>s</w:t>
      </w:r>
      <w:r w:rsidRPr="004C5271">
        <w:rPr>
          <w:rFonts w:asciiTheme="majorBidi" w:hAnsiTheme="majorBidi" w:cstheme="majorBidi"/>
          <w:lang w:val="en-AU"/>
        </w:rPr>
        <w:t xml:space="preserve"> </w:t>
      </w:r>
      <w:r w:rsidR="002B1DD1" w:rsidRPr="004C5271">
        <w:rPr>
          <w:rFonts w:asciiTheme="majorBidi" w:hAnsiTheme="majorBidi" w:cstheme="majorBidi"/>
          <w:lang w:val="en-AU"/>
        </w:rPr>
        <w:t>application</w:t>
      </w:r>
      <w:r w:rsidRPr="004C5271">
        <w:rPr>
          <w:rFonts w:asciiTheme="majorBidi" w:hAnsiTheme="majorBidi" w:cstheme="majorBidi"/>
          <w:lang w:val="en-AU"/>
        </w:rPr>
        <w:t xml:space="preserve"> of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w:t>
      </w:r>
      <w:r w:rsidR="002B1DD1" w:rsidRPr="004C5271">
        <w:rPr>
          <w:rFonts w:asciiTheme="majorBidi" w:hAnsiTheme="majorBidi" w:cstheme="majorBidi"/>
          <w:lang w:val="en-AU"/>
        </w:rPr>
        <w:t>to</w:t>
      </w:r>
      <w:r w:rsidRPr="004C5271">
        <w:rPr>
          <w:rFonts w:asciiTheme="majorBidi" w:hAnsiTheme="majorBidi" w:cstheme="majorBidi"/>
          <w:lang w:val="en-AU"/>
        </w:rPr>
        <w:t xml:space="preserve"> adult children, with the </w:t>
      </w:r>
      <w:r w:rsidRPr="004C5271">
        <w:rPr>
          <w:rFonts w:asciiTheme="majorBidi" w:hAnsiTheme="majorBidi" w:cstheme="majorBidi"/>
          <w:i/>
          <w:iCs/>
          <w:lang w:val="en-AU"/>
        </w:rPr>
        <w:t>FLA</w:t>
      </w:r>
      <w:r w:rsidRPr="004C5271">
        <w:rPr>
          <w:rFonts w:asciiTheme="majorBidi" w:hAnsiTheme="majorBidi" w:cstheme="majorBidi"/>
          <w:lang w:val="en-AU"/>
        </w:rPr>
        <w:t xml:space="preserve"> limited to the division of property between separating couples.</w:t>
      </w:r>
      <w:r w:rsidR="005F65B7" w:rsidRPr="004C5271">
        <w:rPr>
          <w:rStyle w:val="FootnoteReference"/>
          <w:rFonts w:asciiTheme="majorBidi" w:hAnsiTheme="majorBidi" w:cstheme="majorBidi"/>
          <w:lang w:val="en-AU"/>
        </w:rPr>
        <w:footnoteReference w:id="427"/>
      </w:r>
    </w:p>
    <w:p w14:paraId="00AB8E9E" w14:textId="1BC77FFB" w:rsidR="005B31FA" w:rsidRPr="004C5271" w:rsidRDefault="005B31FA" w:rsidP="005C723B">
      <w:pPr>
        <w:pStyle w:val="furhtersub-heading2"/>
      </w:pPr>
      <w:r w:rsidRPr="004C5271">
        <w:t xml:space="preserve">Treatment of superannuation under the </w:t>
      </w:r>
      <w:r w:rsidRPr="00D106D2">
        <w:rPr>
          <w:i/>
        </w:rPr>
        <w:t>FLA</w:t>
      </w:r>
    </w:p>
    <w:p w14:paraId="69E4456F" w14:textId="2AF6AC07" w:rsidR="005B31FA" w:rsidRPr="004C5271" w:rsidRDefault="005B31FA" w:rsidP="00EF7604">
      <w:pPr>
        <w:pStyle w:val="NormalNumberedTextTLRI"/>
        <w:rPr>
          <w:rFonts w:asciiTheme="majorBidi" w:hAnsiTheme="majorBidi" w:cstheme="majorBidi"/>
          <w:lang w:val="en-AU"/>
        </w:rPr>
      </w:pPr>
      <w:r w:rsidRPr="004C5271">
        <w:rPr>
          <w:rFonts w:asciiTheme="majorBidi" w:hAnsiTheme="majorBidi" w:cstheme="majorBidi"/>
          <w:lang w:val="en-AU"/>
        </w:rPr>
        <w:t xml:space="preserve">Whilst no submissions raised this issue, there is a second </w:t>
      </w:r>
      <w:r w:rsidR="0021262E" w:rsidRPr="004C5271">
        <w:rPr>
          <w:rFonts w:asciiTheme="majorBidi" w:hAnsiTheme="majorBidi" w:cstheme="majorBidi"/>
          <w:lang w:val="en-AU"/>
        </w:rPr>
        <w:t xml:space="preserve">difference </w:t>
      </w:r>
      <w:r w:rsidRPr="004C5271">
        <w:rPr>
          <w:rFonts w:asciiTheme="majorBidi" w:hAnsiTheme="majorBidi" w:cstheme="majorBidi"/>
          <w:lang w:val="en-AU"/>
        </w:rPr>
        <w:t xml:space="preserve">between the operation of the </w:t>
      </w:r>
      <w:r w:rsidRPr="004C5271">
        <w:rPr>
          <w:rFonts w:asciiTheme="majorBidi" w:hAnsiTheme="majorBidi" w:cstheme="majorBidi"/>
          <w:i/>
          <w:iCs/>
          <w:lang w:val="en-AU"/>
        </w:rPr>
        <w:t>FLA</w:t>
      </w:r>
      <w:r w:rsidRPr="004C5271">
        <w:rPr>
          <w:rFonts w:asciiTheme="majorBidi" w:hAnsiTheme="majorBidi" w:cstheme="majorBidi"/>
          <w:lang w:val="en-AU"/>
        </w:rPr>
        <w:t xml:space="preserve"> and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This arises in relation to the court’s powers </w:t>
      </w:r>
      <w:r w:rsidR="0021262E" w:rsidRPr="004C5271">
        <w:rPr>
          <w:rFonts w:asciiTheme="majorBidi" w:hAnsiTheme="majorBidi" w:cstheme="majorBidi"/>
          <w:lang w:val="en-AU"/>
        </w:rPr>
        <w:t>over</w:t>
      </w:r>
      <w:r w:rsidRPr="004C5271">
        <w:rPr>
          <w:rFonts w:asciiTheme="majorBidi" w:hAnsiTheme="majorBidi" w:cstheme="majorBidi"/>
          <w:lang w:val="en-AU"/>
        </w:rPr>
        <w:t xml:space="preserve"> superannuation. </w:t>
      </w:r>
    </w:p>
    <w:p w14:paraId="3416399B" w14:textId="2ECFEDA9" w:rsidR="00D11398" w:rsidRPr="004C5271" w:rsidRDefault="00F86FD3" w:rsidP="00E41005">
      <w:pPr>
        <w:pStyle w:val="NormalNumberedTextTLRI"/>
        <w:rPr>
          <w:rFonts w:asciiTheme="majorBidi" w:hAnsiTheme="majorBidi" w:cstheme="majorBidi"/>
          <w:lang w:val="en-AU"/>
        </w:rPr>
      </w:pPr>
      <w:r w:rsidRPr="004C5271">
        <w:rPr>
          <w:rFonts w:asciiTheme="majorBidi" w:hAnsiTheme="majorBidi" w:cstheme="majorBidi"/>
          <w:lang w:val="en-AU"/>
        </w:rPr>
        <w:t>S</w:t>
      </w:r>
      <w:r w:rsidR="00FC769D" w:rsidRPr="004C5271">
        <w:rPr>
          <w:rFonts w:asciiTheme="majorBidi" w:hAnsiTheme="majorBidi" w:cstheme="majorBidi"/>
          <w:lang w:val="en-AU"/>
        </w:rPr>
        <w:t>ince 2001</w:t>
      </w:r>
      <w:r w:rsidRPr="004C5271">
        <w:rPr>
          <w:rFonts w:asciiTheme="majorBidi" w:hAnsiTheme="majorBidi" w:cstheme="majorBidi"/>
          <w:lang w:val="en-AU"/>
        </w:rPr>
        <w:t>,</w:t>
      </w:r>
      <w:r w:rsidR="00FC769D" w:rsidRPr="004C5271">
        <w:rPr>
          <w:rFonts w:asciiTheme="majorBidi" w:hAnsiTheme="majorBidi" w:cstheme="majorBidi"/>
          <w:lang w:val="en-AU"/>
        </w:rPr>
        <w:t xml:space="preserve"> </w:t>
      </w:r>
      <w:r w:rsidR="00C80CA2" w:rsidRPr="004C5271">
        <w:rPr>
          <w:rFonts w:asciiTheme="majorBidi" w:hAnsiTheme="majorBidi" w:cstheme="majorBidi"/>
          <w:lang w:val="en-AU"/>
        </w:rPr>
        <w:t xml:space="preserve">the Family Court </w:t>
      </w:r>
      <w:r w:rsidR="00FC769D" w:rsidRPr="004C5271">
        <w:rPr>
          <w:rFonts w:asciiTheme="majorBidi" w:hAnsiTheme="majorBidi" w:cstheme="majorBidi"/>
          <w:lang w:val="en-AU"/>
        </w:rPr>
        <w:t xml:space="preserve">has </w:t>
      </w:r>
      <w:r w:rsidR="000D7063" w:rsidRPr="004C5271">
        <w:rPr>
          <w:rFonts w:asciiTheme="majorBidi" w:hAnsiTheme="majorBidi" w:cstheme="majorBidi"/>
          <w:lang w:val="en-AU"/>
        </w:rPr>
        <w:t>been able</w:t>
      </w:r>
      <w:r w:rsidR="00C80CA2" w:rsidRPr="004C5271">
        <w:rPr>
          <w:rFonts w:asciiTheme="majorBidi" w:hAnsiTheme="majorBidi" w:cstheme="majorBidi"/>
          <w:lang w:val="en-AU"/>
        </w:rPr>
        <w:t xml:space="preserve"> to make orders splitting superannuation between parties to a relationship.</w:t>
      </w:r>
      <w:r w:rsidR="00C80CA2" w:rsidRPr="004C5271">
        <w:rPr>
          <w:rStyle w:val="FootnoteReference"/>
          <w:rFonts w:asciiTheme="majorBidi" w:hAnsiTheme="majorBidi" w:cstheme="majorBidi"/>
          <w:lang w:val="en-AU"/>
        </w:rPr>
        <w:footnoteReference w:id="428"/>
      </w:r>
      <w:r w:rsidR="00C80CA2" w:rsidRPr="004C5271">
        <w:rPr>
          <w:rFonts w:asciiTheme="majorBidi" w:hAnsiTheme="majorBidi" w:cstheme="majorBidi"/>
          <w:lang w:val="en-AU"/>
        </w:rPr>
        <w:t xml:space="preserve"> </w:t>
      </w:r>
      <w:r w:rsidR="00D11398" w:rsidRPr="004C5271">
        <w:rPr>
          <w:rFonts w:asciiTheme="majorBidi" w:hAnsiTheme="majorBidi" w:cstheme="majorBidi"/>
          <w:lang w:val="en-AU"/>
        </w:rPr>
        <w:t xml:space="preserve">These reforms </w:t>
      </w:r>
      <w:r w:rsidR="00DC7A93" w:rsidRPr="004C5271">
        <w:rPr>
          <w:rFonts w:asciiTheme="majorBidi" w:hAnsiTheme="majorBidi" w:cstheme="majorBidi"/>
          <w:lang w:val="en-AU"/>
        </w:rPr>
        <w:t xml:space="preserve">are </w:t>
      </w:r>
      <w:r w:rsidR="00D11398" w:rsidRPr="004C5271">
        <w:rPr>
          <w:rFonts w:asciiTheme="majorBidi" w:hAnsiTheme="majorBidi" w:cstheme="majorBidi"/>
          <w:lang w:val="en-AU"/>
        </w:rPr>
        <w:t xml:space="preserve">consistent with recommendations </w:t>
      </w:r>
      <w:r w:rsidR="00282F6C" w:rsidRPr="004C5271">
        <w:rPr>
          <w:rFonts w:asciiTheme="majorBidi" w:hAnsiTheme="majorBidi" w:cstheme="majorBidi"/>
          <w:lang w:val="en-AU"/>
        </w:rPr>
        <w:t>of</w:t>
      </w:r>
      <w:r w:rsidR="00D11398" w:rsidRPr="004C5271">
        <w:rPr>
          <w:rFonts w:asciiTheme="majorBidi" w:hAnsiTheme="majorBidi" w:cstheme="majorBidi"/>
          <w:lang w:val="en-AU"/>
        </w:rPr>
        <w:t xml:space="preserve"> the Joint Select Committee on Certain Aspects of the Operation and Interpretation of the </w:t>
      </w:r>
      <w:r w:rsidR="00D11398" w:rsidRPr="004C5271">
        <w:rPr>
          <w:rFonts w:asciiTheme="majorBidi" w:hAnsiTheme="majorBidi" w:cstheme="majorBidi"/>
          <w:i/>
          <w:iCs/>
          <w:lang w:val="en-AU"/>
        </w:rPr>
        <w:t>Family Law Act</w:t>
      </w:r>
      <w:r w:rsidR="00A770D0" w:rsidRPr="004C5271">
        <w:rPr>
          <w:rFonts w:asciiTheme="majorBidi" w:hAnsiTheme="majorBidi" w:cstheme="majorBidi"/>
          <w:lang w:val="en-AU"/>
        </w:rPr>
        <w:t>.</w:t>
      </w:r>
      <w:r w:rsidR="00D11398" w:rsidRPr="004C5271">
        <w:rPr>
          <w:rFonts w:asciiTheme="majorBidi" w:hAnsiTheme="majorBidi" w:cstheme="majorBidi"/>
          <w:i/>
          <w:iCs/>
          <w:lang w:val="en-AU"/>
        </w:rPr>
        <w:t xml:space="preserve"> </w:t>
      </w:r>
      <w:r w:rsidR="00A770D0" w:rsidRPr="004C5271">
        <w:rPr>
          <w:rFonts w:asciiTheme="majorBidi" w:hAnsiTheme="majorBidi" w:cstheme="majorBidi"/>
          <w:lang w:val="en-AU"/>
        </w:rPr>
        <w:t>I</w:t>
      </w:r>
      <w:r w:rsidR="00D11398" w:rsidRPr="004C5271">
        <w:rPr>
          <w:rFonts w:asciiTheme="majorBidi" w:hAnsiTheme="majorBidi" w:cstheme="majorBidi"/>
          <w:lang w:val="en-AU"/>
        </w:rPr>
        <w:t>n 1992</w:t>
      </w:r>
      <w:r w:rsidR="0060445F" w:rsidRPr="004C5271">
        <w:rPr>
          <w:rFonts w:asciiTheme="majorBidi" w:hAnsiTheme="majorBidi" w:cstheme="majorBidi"/>
          <w:lang w:val="en-AU"/>
        </w:rPr>
        <w:t>,</w:t>
      </w:r>
      <w:r w:rsidR="00D11398" w:rsidRPr="004C5271">
        <w:rPr>
          <w:rFonts w:asciiTheme="majorBidi" w:hAnsiTheme="majorBidi" w:cstheme="majorBidi"/>
          <w:lang w:val="en-AU"/>
        </w:rPr>
        <w:t xml:space="preserve"> </w:t>
      </w:r>
      <w:r w:rsidR="00A770D0" w:rsidRPr="004C5271">
        <w:rPr>
          <w:rFonts w:asciiTheme="majorBidi" w:hAnsiTheme="majorBidi" w:cstheme="majorBidi"/>
          <w:lang w:val="en-AU"/>
        </w:rPr>
        <w:t xml:space="preserve">the </w:t>
      </w:r>
      <w:r w:rsidR="0060445F" w:rsidRPr="004C5271">
        <w:rPr>
          <w:rFonts w:asciiTheme="majorBidi" w:hAnsiTheme="majorBidi" w:cstheme="majorBidi"/>
          <w:lang w:val="en-AU"/>
        </w:rPr>
        <w:t xml:space="preserve">Joint </w:t>
      </w:r>
      <w:r w:rsidR="00A770D0" w:rsidRPr="004C5271">
        <w:rPr>
          <w:rFonts w:asciiTheme="majorBidi" w:hAnsiTheme="majorBidi" w:cstheme="majorBidi"/>
          <w:lang w:val="en-AU"/>
        </w:rPr>
        <w:t xml:space="preserve">Select Committee </w:t>
      </w:r>
      <w:r w:rsidR="00D11398" w:rsidRPr="004C5271">
        <w:rPr>
          <w:rFonts w:asciiTheme="majorBidi" w:hAnsiTheme="majorBidi" w:cstheme="majorBidi"/>
          <w:lang w:val="en-AU"/>
        </w:rPr>
        <w:t>commented that:</w:t>
      </w:r>
    </w:p>
    <w:p w14:paraId="6E5EE59C" w14:textId="73C22852" w:rsidR="00D11398" w:rsidRPr="004C5271" w:rsidRDefault="00D11398" w:rsidP="0060445F">
      <w:pPr>
        <w:pStyle w:val="QuoteTLRI"/>
        <w:rPr>
          <w:rFonts w:asciiTheme="majorBidi" w:hAnsiTheme="majorBidi" w:cstheme="majorBidi"/>
        </w:rPr>
      </w:pPr>
      <w:r w:rsidRPr="004C5271">
        <w:rPr>
          <w:rFonts w:asciiTheme="majorBidi" w:hAnsiTheme="majorBidi" w:cstheme="majorBidi"/>
        </w:rPr>
        <w:lastRenderedPageBreak/>
        <w:t>With the value of superannuation increasing in significance as an individual’s personal savings and the proportion of the household income now being devoted to superannuation payments, the Committee feels that a just property assessment must include consideration of superannuation entitlements.</w:t>
      </w:r>
      <w:r w:rsidRPr="004C5271">
        <w:rPr>
          <w:rStyle w:val="FootnoteReference"/>
          <w:rFonts w:asciiTheme="majorBidi" w:hAnsiTheme="majorBidi" w:cstheme="majorBidi"/>
        </w:rPr>
        <w:footnoteReference w:id="429"/>
      </w:r>
    </w:p>
    <w:p w14:paraId="2F0B79A0" w14:textId="28D4142B" w:rsidR="004D46DF" w:rsidRPr="004C5271" w:rsidRDefault="000D7063" w:rsidP="00D7331F">
      <w:pPr>
        <w:pStyle w:val="NormalNumberedTextTLRI"/>
        <w:rPr>
          <w:rFonts w:asciiTheme="majorBidi" w:hAnsiTheme="majorBidi" w:cstheme="majorBidi"/>
          <w:lang w:val="en-AU"/>
        </w:rPr>
      </w:pPr>
      <w:r w:rsidRPr="004C5271">
        <w:rPr>
          <w:rFonts w:asciiTheme="majorBidi" w:hAnsiTheme="majorBidi" w:cstheme="majorBidi"/>
          <w:lang w:val="en-AU"/>
        </w:rPr>
        <w:t>Whilst t</w:t>
      </w:r>
      <w:r w:rsidR="00D11398" w:rsidRPr="004C5271">
        <w:rPr>
          <w:rFonts w:asciiTheme="majorBidi" w:hAnsiTheme="majorBidi" w:cstheme="majorBidi"/>
          <w:lang w:val="en-AU"/>
        </w:rPr>
        <w:t>he</w:t>
      </w:r>
      <w:r w:rsidR="00C80CA2" w:rsidRPr="004C5271">
        <w:rPr>
          <w:rFonts w:asciiTheme="majorBidi" w:hAnsiTheme="majorBidi" w:cstheme="majorBidi"/>
          <w:lang w:val="en-AU"/>
        </w:rPr>
        <w:t xml:space="preserve"> Family Court </w:t>
      </w:r>
      <w:r w:rsidR="00D11398" w:rsidRPr="004C5271">
        <w:rPr>
          <w:rFonts w:asciiTheme="majorBidi" w:hAnsiTheme="majorBidi" w:cstheme="majorBidi"/>
          <w:lang w:val="en-AU"/>
        </w:rPr>
        <w:t xml:space="preserve">now has </w:t>
      </w:r>
      <w:r w:rsidR="00C80CA2" w:rsidRPr="004C5271">
        <w:rPr>
          <w:rFonts w:asciiTheme="majorBidi" w:hAnsiTheme="majorBidi" w:cstheme="majorBidi"/>
          <w:lang w:val="en-AU"/>
        </w:rPr>
        <w:t xml:space="preserve">access to superannuation, under the </w:t>
      </w:r>
      <w:r w:rsidR="00446ACA" w:rsidRPr="004C5271">
        <w:rPr>
          <w:rFonts w:asciiTheme="majorBidi" w:hAnsiTheme="majorBidi" w:cstheme="majorBidi"/>
          <w:i/>
          <w:iCs/>
          <w:lang w:val="en-AU"/>
        </w:rPr>
        <w:t xml:space="preserve">TFM </w:t>
      </w:r>
      <w:r w:rsidR="00C80CA2" w:rsidRPr="004C5271">
        <w:rPr>
          <w:rFonts w:asciiTheme="majorBidi" w:hAnsiTheme="majorBidi" w:cstheme="majorBidi"/>
          <w:i/>
          <w:iCs/>
          <w:lang w:val="en-AU"/>
        </w:rPr>
        <w:t>Act</w:t>
      </w:r>
      <w:r w:rsidR="00C80CA2" w:rsidRPr="004C5271">
        <w:rPr>
          <w:rFonts w:asciiTheme="majorBidi" w:hAnsiTheme="majorBidi" w:cstheme="majorBidi"/>
          <w:lang w:val="en-AU"/>
        </w:rPr>
        <w:t xml:space="preserve">, the Supreme Court is unable to utilise superannuation to fund provision for a successful applicant unless that superannuation is paid into </w:t>
      </w:r>
      <w:r w:rsidRPr="004C5271">
        <w:rPr>
          <w:rFonts w:asciiTheme="majorBidi" w:hAnsiTheme="majorBidi" w:cstheme="majorBidi"/>
          <w:lang w:val="en-AU"/>
        </w:rPr>
        <w:t>an</w:t>
      </w:r>
      <w:r w:rsidR="00C80CA2" w:rsidRPr="004C5271">
        <w:rPr>
          <w:rFonts w:asciiTheme="majorBidi" w:hAnsiTheme="majorBidi" w:cstheme="majorBidi"/>
          <w:lang w:val="en-AU"/>
        </w:rPr>
        <w:t xml:space="preserve"> estate. To illustrate the different outcomes</w:t>
      </w:r>
      <w:r w:rsidR="004D46DF" w:rsidRPr="004C5271">
        <w:rPr>
          <w:rFonts w:asciiTheme="majorBidi" w:hAnsiTheme="majorBidi" w:cstheme="majorBidi"/>
          <w:lang w:val="en-AU"/>
        </w:rPr>
        <w:t xml:space="preserve">, if a husband </w:t>
      </w:r>
      <w:r w:rsidRPr="004C5271">
        <w:rPr>
          <w:rFonts w:asciiTheme="majorBidi" w:hAnsiTheme="majorBidi" w:cstheme="majorBidi"/>
          <w:lang w:val="en-AU"/>
        </w:rPr>
        <w:t xml:space="preserve">has a </w:t>
      </w:r>
      <w:r w:rsidR="004D46DF" w:rsidRPr="004C5271">
        <w:rPr>
          <w:rFonts w:asciiTheme="majorBidi" w:hAnsiTheme="majorBidi" w:cstheme="majorBidi"/>
          <w:lang w:val="en-AU"/>
        </w:rPr>
        <w:t>super</w:t>
      </w:r>
      <w:r w:rsidRPr="004C5271">
        <w:rPr>
          <w:rFonts w:asciiTheme="majorBidi" w:hAnsiTheme="majorBidi" w:cstheme="majorBidi"/>
          <w:lang w:val="en-AU"/>
        </w:rPr>
        <w:t xml:space="preserve"> account </w:t>
      </w:r>
      <w:r w:rsidR="004D46DF" w:rsidRPr="004C5271">
        <w:rPr>
          <w:rFonts w:asciiTheme="majorBidi" w:hAnsiTheme="majorBidi" w:cstheme="majorBidi"/>
          <w:lang w:val="en-AU"/>
        </w:rPr>
        <w:t>with $500,000, those funds</w:t>
      </w:r>
      <w:r w:rsidRPr="004C5271">
        <w:rPr>
          <w:rFonts w:asciiTheme="majorBidi" w:hAnsiTheme="majorBidi" w:cstheme="majorBidi"/>
          <w:lang w:val="en-AU"/>
        </w:rPr>
        <w:t xml:space="preserve"> may</w:t>
      </w:r>
      <w:r w:rsidR="004D46DF" w:rsidRPr="004C5271">
        <w:rPr>
          <w:rFonts w:asciiTheme="majorBidi" w:hAnsiTheme="majorBidi" w:cstheme="majorBidi"/>
          <w:lang w:val="en-AU"/>
        </w:rPr>
        <w:t xml:space="preserve"> be included in the Family Court’s orders dealing with the division of property upon the ending of </w:t>
      </w:r>
      <w:r w:rsidRPr="004C5271">
        <w:rPr>
          <w:rFonts w:asciiTheme="majorBidi" w:hAnsiTheme="majorBidi" w:cstheme="majorBidi"/>
          <w:lang w:val="en-AU"/>
        </w:rPr>
        <w:t>his</w:t>
      </w:r>
      <w:r w:rsidR="004D46DF" w:rsidRPr="004C5271">
        <w:rPr>
          <w:rFonts w:asciiTheme="majorBidi" w:hAnsiTheme="majorBidi" w:cstheme="majorBidi"/>
          <w:lang w:val="en-AU"/>
        </w:rPr>
        <w:t xml:space="preserve"> relationship. If, however, the relationship end</w:t>
      </w:r>
      <w:r w:rsidR="00B545FF" w:rsidRPr="004C5271">
        <w:rPr>
          <w:rFonts w:asciiTheme="majorBidi" w:hAnsiTheme="majorBidi" w:cstheme="majorBidi"/>
          <w:lang w:val="en-AU"/>
        </w:rPr>
        <w:t>s</w:t>
      </w:r>
      <w:r w:rsidR="004D46DF" w:rsidRPr="004C5271">
        <w:rPr>
          <w:rFonts w:asciiTheme="majorBidi" w:hAnsiTheme="majorBidi" w:cstheme="majorBidi"/>
          <w:lang w:val="en-AU"/>
        </w:rPr>
        <w:t xml:space="preserve"> not upon separation but due to </w:t>
      </w:r>
      <w:r w:rsidR="00B545FF" w:rsidRPr="004C5271">
        <w:rPr>
          <w:rFonts w:asciiTheme="majorBidi" w:hAnsiTheme="majorBidi" w:cstheme="majorBidi"/>
          <w:lang w:val="en-AU"/>
        </w:rPr>
        <w:t>his</w:t>
      </w:r>
      <w:r w:rsidR="004D46DF" w:rsidRPr="004C5271">
        <w:rPr>
          <w:rFonts w:asciiTheme="majorBidi" w:hAnsiTheme="majorBidi" w:cstheme="majorBidi"/>
          <w:lang w:val="en-AU"/>
        </w:rPr>
        <w:t xml:space="preserve"> death, then whether that $500,000 is available for his wife depends upon the arrangements that the husband made in relation to his member account. If he</w:t>
      </w:r>
      <w:r w:rsidR="00EF7604" w:rsidRPr="004C5271">
        <w:rPr>
          <w:rFonts w:asciiTheme="majorBidi" w:hAnsiTheme="majorBidi" w:cstheme="majorBidi"/>
          <w:lang w:val="en-AU"/>
        </w:rPr>
        <w:t xml:space="preserve"> had</w:t>
      </w:r>
      <w:r w:rsidR="004D46DF" w:rsidRPr="004C5271">
        <w:rPr>
          <w:rFonts w:asciiTheme="majorBidi" w:hAnsiTheme="majorBidi" w:cstheme="majorBidi"/>
          <w:lang w:val="en-AU"/>
        </w:rPr>
        <w:t xml:space="preserve"> completed a</w:t>
      </w:r>
      <w:r w:rsidRPr="004C5271">
        <w:rPr>
          <w:rFonts w:asciiTheme="majorBidi" w:hAnsiTheme="majorBidi" w:cstheme="majorBidi"/>
          <w:lang w:val="en-AU"/>
        </w:rPr>
        <w:t>n effective</w:t>
      </w:r>
      <w:r w:rsidR="004D46DF" w:rsidRPr="004C5271">
        <w:rPr>
          <w:rFonts w:asciiTheme="majorBidi" w:hAnsiTheme="majorBidi" w:cstheme="majorBidi"/>
          <w:lang w:val="en-AU"/>
        </w:rPr>
        <w:t xml:space="preserve"> </w:t>
      </w:r>
      <w:r w:rsidR="002B1DD1" w:rsidRPr="004C5271">
        <w:rPr>
          <w:rFonts w:asciiTheme="majorBidi" w:hAnsiTheme="majorBidi" w:cstheme="majorBidi"/>
          <w:lang w:val="en-AU"/>
        </w:rPr>
        <w:t>BDBN</w:t>
      </w:r>
      <w:r w:rsidR="004D46DF" w:rsidRPr="004C5271">
        <w:rPr>
          <w:rFonts w:asciiTheme="majorBidi" w:hAnsiTheme="majorBidi" w:cstheme="majorBidi"/>
          <w:lang w:val="en-AU"/>
        </w:rPr>
        <w:t xml:space="preserve"> directing </w:t>
      </w:r>
      <w:r w:rsidRPr="004C5271">
        <w:rPr>
          <w:rFonts w:asciiTheme="majorBidi" w:hAnsiTheme="majorBidi" w:cstheme="majorBidi"/>
          <w:lang w:val="en-AU"/>
        </w:rPr>
        <w:t>his</w:t>
      </w:r>
      <w:r w:rsidR="004D46DF" w:rsidRPr="004C5271">
        <w:rPr>
          <w:rFonts w:asciiTheme="majorBidi" w:hAnsiTheme="majorBidi" w:cstheme="majorBidi"/>
          <w:lang w:val="en-AU"/>
        </w:rPr>
        <w:t xml:space="preserve"> superannuation to</w:t>
      </w:r>
      <w:r w:rsidR="00EF7604" w:rsidRPr="004C5271">
        <w:rPr>
          <w:rFonts w:asciiTheme="majorBidi" w:hAnsiTheme="majorBidi" w:cstheme="majorBidi"/>
          <w:lang w:val="en-AU"/>
        </w:rPr>
        <w:t>, say,</w:t>
      </w:r>
      <w:r w:rsidR="004D46DF" w:rsidRPr="004C5271">
        <w:rPr>
          <w:rFonts w:asciiTheme="majorBidi" w:hAnsiTheme="majorBidi" w:cstheme="majorBidi"/>
          <w:lang w:val="en-AU"/>
        </w:rPr>
        <w:t xml:space="preserve"> his daughter, then the wife is unable to seek any of </w:t>
      </w:r>
      <w:r w:rsidR="002B1DD1" w:rsidRPr="004C5271">
        <w:rPr>
          <w:rFonts w:asciiTheme="majorBidi" w:hAnsiTheme="majorBidi" w:cstheme="majorBidi"/>
          <w:lang w:val="en-AU"/>
        </w:rPr>
        <w:t>his superannuation</w:t>
      </w:r>
      <w:r w:rsidR="004D46DF" w:rsidRPr="004C5271">
        <w:rPr>
          <w:rFonts w:asciiTheme="majorBidi" w:hAnsiTheme="majorBidi" w:cstheme="majorBidi"/>
          <w:lang w:val="en-AU"/>
        </w:rPr>
        <w:t xml:space="preserve"> </w:t>
      </w:r>
      <w:r w:rsidRPr="004C5271">
        <w:rPr>
          <w:rFonts w:asciiTheme="majorBidi" w:hAnsiTheme="majorBidi" w:cstheme="majorBidi"/>
          <w:lang w:val="en-AU"/>
        </w:rPr>
        <w:t>in a family provision</w:t>
      </w:r>
      <w:r w:rsidR="004D46DF" w:rsidRPr="004C5271">
        <w:rPr>
          <w:rFonts w:asciiTheme="majorBidi" w:hAnsiTheme="majorBidi" w:cstheme="majorBidi"/>
          <w:lang w:val="en-AU"/>
        </w:rPr>
        <w:t xml:space="preserve"> claim. </w:t>
      </w:r>
      <w:r w:rsidRPr="004C5271">
        <w:rPr>
          <w:rFonts w:asciiTheme="majorBidi" w:hAnsiTheme="majorBidi" w:cstheme="majorBidi"/>
          <w:lang w:val="en-AU"/>
        </w:rPr>
        <w:t xml:space="preserve">The </w:t>
      </w:r>
      <w:r w:rsidR="00EF7604" w:rsidRPr="004C5271">
        <w:rPr>
          <w:rFonts w:asciiTheme="majorBidi" w:hAnsiTheme="majorBidi" w:cstheme="majorBidi"/>
          <w:lang w:val="en-AU"/>
        </w:rPr>
        <w:t>differen</w:t>
      </w:r>
      <w:r w:rsidR="002B1DD1" w:rsidRPr="004C5271">
        <w:rPr>
          <w:rFonts w:asciiTheme="majorBidi" w:hAnsiTheme="majorBidi" w:cstheme="majorBidi"/>
          <w:lang w:val="en-AU"/>
        </w:rPr>
        <w:t>ces in</w:t>
      </w:r>
      <w:r w:rsidR="00EF7604" w:rsidRPr="004C5271">
        <w:rPr>
          <w:rFonts w:asciiTheme="majorBidi" w:hAnsiTheme="majorBidi" w:cstheme="majorBidi"/>
          <w:lang w:val="en-AU"/>
        </w:rPr>
        <w:t xml:space="preserve"> outcome</w:t>
      </w:r>
      <w:r w:rsidR="004D46DF" w:rsidRPr="004C5271">
        <w:rPr>
          <w:rFonts w:asciiTheme="majorBidi" w:hAnsiTheme="majorBidi" w:cstheme="majorBidi"/>
          <w:lang w:val="en-AU"/>
        </w:rPr>
        <w:t xml:space="preserve"> can </w:t>
      </w:r>
      <w:r w:rsidR="00ED30D9" w:rsidRPr="004C5271">
        <w:rPr>
          <w:rFonts w:asciiTheme="majorBidi" w:hAnsiTheme="majorBidi" w:cstheme="majorBidi"/>
          <w:lang w:val="en-AU"/>
        </w:rPr>
        <w:t>thus</w:t>
      </w:r>
      <w:r w:rsidRPr="004C5271">
        <w:rPr>
          <w:rFonts w:asciiTheme="majorBidi" w:hAnsiTheme="majorBidi" w:cstheme="majorBidi"/>
          <w:lang w:val="en-AU"/>
        </w:rPr>
        <w:t xml:space="preserve"> </w:t>
      </w:r>
      <w:r w:rsidR="004D46DF" w:rsidRPr="004C5271">
        <w:rPr>
          <w:rFonts w:asciiTheme="majorBidi" w:hAnsiTheme="majorBidi" w:cstheme="majorBidi"/>
          <w:lang w:val="en-AU"/>
        </w:rPr>
        <w:t>be significant.</w:t>
      </w:r>
    </w:p>
    <w:p w14:paraId="346B92F3" w14:textId="3B15C7EF" w:rsidR="00946701" w:rsidRPr="004C5271" w:rsidRDefault="006D6F3D" w:rsidP="00946701">
      <w:pPr>
        <w:pStyle w:val="NormalNumberedTextTLRI"/>
        <w:rPr>
          <w:rFonts w:asciiTheme="majorBidi" w:hAnsiTheme="majorBidi" w:cstheme="majorBidi"/>
          <w:lang w:val="en-AU"/>
        </w:rPr>
      </w:pPr>
      <w:r w:rsidRPr="004C5271">
        <w:rPr>
          <w:rFonts w:asciiTheme="majorBidi" w:hAnsiTheme="majorBidi" w:cstheme="majorBidi"/>
          <w:lang w:val="en-AU"/>
        </w:rPr>
        <w:t>T</w:t>
      </w:r>
      <w:r w:rsidR="00946701" w:rsidRPr="004C5271">
        <w:rPr>
          <w:rFonts w:asciiTheme="majorBidi" w:hAnsiTheme="majorBidi" w:cstheme="majorBidi"/>
          <w:lang w:val="en-AU"/>
        </w:rPr>
        <w:t xml:space="preserve">he </w:t>
      </w:r>
      <w:r w:rsidR="0060445F" w:rsidRPr="004C5271">
        <w:rPr>
          <w:rFonts w:asciiTheme="majorBidi" w:hAnsiTheme="majorBidi" w:cstheme="majorBidi"/>
          <w:lang w:val="en-AU"/>
        </w:rPr>
        <w:t xml:space="preserve">Australian Law Reform </w:t>
      </w:r>
      <w:r w:rsidR="00502EAB" w:rsidRPr="004C5271">
        <w:rPr>
          <w:rFonts w:asciiTheme="majorBidi" w:hAnsiTheme="majorBidi" w:cstheme="majorBidi"/>
          <w:lang w:val="en-AU"/>
        </w:rPr>
        <w:t>Commission</w:t>
      </w:r>
      <w:r w:rsidR="0060445F" w:rsidRPr="004C5271">
        <w:rPr>
          <w:rFonts w:asciiTheme="majorBidi" w:hAnsiTheme="majorBidi" w:cstheme="majorBidi"/>
          <w:lang w:val="en-AU"/>
        </w:rPr>
        <w:t xml:space="preserve"> (‘</w:t>
      </w:r>
      <w:r w:rsidR="00946701" w:rsidRPr="004C5271">
        <w:rPr>
          <w:rFonts w:asciiTheme="majorBidi" w:hAnsiTheme="majorBidi" w:cstheme="majorBidi"/>
          <w:lang w:val="en-AU"/>
        </w:rPr>
        <w:t>ALRC</w:t>
      </w:r>
      <w:r w:rsidR="0060445F" w:rsidRPr="004C5271">
        <w:rPr>
          <w:rFonts w:asciiTheme="majorBidi" w:hAnsiTheme="majorBidi" w:cstheme="majorBidi"/>
          <w:lang w:val="en-AU"/>
        </w:rPr>
        <w:t>’)</w:t>
      </w:r>
      <w:r w:rsidR="00946701" w:rsidRPr="004C5271">
        <w:rPr>
          <w:rFonts w:asciiTheme="majorBidi" w:hAnsiTheme="majorBidi" w:cstheme="majorBidi"/>
          <w:lang w:val="en-AU"/>
        </w:rPr>
        <w:t xml:space="preserve"> </w:t>
      </w:r>
      <w:r w:rsidRPr="004C5271">
        <w:rPr>
          <w:rFonts w:asciiTheme="majorBidi" w:hAnsiTheme="majorBidi" w:cstheme="majorBidi"/>
          <w:lang w:val="en-AU"/>
        </w:rPr>
        <w:t>recently undertook</w:t>
      </w:r>
      <w:r w:rsidR="00946701" w:rsidRPr="004C5271">
        <w:rPr>
          <w:rFonts w:asciiTheme="majorBidi" w:hAnsiTheme="majorBidi" w:cstheme="majorBidi"/>
          <w:lang w:val="en-AU"/>
        </w:rPr>
        <w:t xml:space="preserve"> a </w:t>
      </w:r>
      <w:r w:rsidR="00282F6C" w:rsidRPr="004C5271">
        <w:rPr>
          <w:rFonts w:asciiTheme="majorBidi" w:hAnsiTheme="majorBidi" w:cstheme="majorBidi"/>
          <w:lang w:val="en-AU"/>
        </w:rPr>
        <w:t xml:space="preserve">comprehensive </w:t>
      </w:r>
      <w:r w:rsidR="00946701" w:rsidRPr="004C5271">
        <w:rPr>
          <w:rFonts w:asciiTheme="majorBidi" w:hAnsiTheme="majorBidi" w:cstheme="majorBidi"/>
          <w:lang w:val="en-AU"/>
        </w:rPr>
        <w:t xml:space="preserve">review of the </w:t>
      </w:r>
      <w:r w:rsidR="002C306F" w:rsidRPr="004C5271">
        <w:rPr>
          <w:rFonts w:asciiTheme="majorBidi" w:hAnsiTheme="majorBidi" w:cstheme="majorBidi"/>
          <w:lang w:val="en-AU"/>
        </w:rPr>
        <w:t>f</w:t>
      </w:r>
      <w:r w:rsidR="00946701" w:rsidRPr="004C5271">
        <w:rPr>
          <w:rFonts w:asciiTheme="majorBidi" w:hAnsiTheme="majorBidi" w:cstheme="majorBidi"/>
          <w:lang w:val="en-AU"/>
        </w:rPr>
        <w:t xml:space="preserve">amily </w:t>
      </w:r>
      <w:r w:rsidR="002C306F" w:rsidRPr="004C5271">
        <w:rPr>
          <w:rFonts w:asciiTheme="majorBidi" w:hAnsiTheme="majorBidi" w:cstheme="majorBidi"/>
          <w:lang w:val="en-AU"/>
        </w:rPr>
        <w:t>l</w:t>
      </w:r>
      <w:r w:rsidR="00946701" w:rsidRPr="004C5271">
        <w:rPr>
          <w:rFonts w:asciiTheme="majorBidi" w:hAnsiTheme="majorBidi" w:cstheme="majorBidi"/>
          <w:lang w:val="en-AU"/>
        </w:rPr>
        <w:t>aw system.</w:t>
      </w:r>
      <w:bookmarkStart w:id="199" w:name="_Ref13487951"/>
      <w:r w:rsidR="007B2E3F" w:rsidRPr="004C5271">
        <w:rPr>
          <w:rStyle w:val="FootnoteReference"/>
          <w:rFonts w:asciiTheme="majorBidi" w:hAnsiTheme="majorBidi" w:cstheme="majorBidi"/>
          <w:lang w:val="en-AU"/>
        </w:rPr>
        <w:footnoteReference w:id="430"/>
      </w:r>
      <w:bookmarkEnd w:id="199"/>
      <w:r w:rsidR="00946701" w:rsidRPr="004C5271">
        <w:rPr>
          <w:rFonts w:asciiTheme="majorBidi" w:hAnsiTheme="majorBidi" w:cstheme="majorBidi"/>
          <w:lang w:val="en-AU"/>
        </w:rPr>
        <w:t xml:space="preserve"> </w:t>
      </w:r>
      <w:bookmarkStart w:id="200" w:name="_Hlk17369553"/>
      <w:r w:rsidR="000D7063" w:rsidRPr="004C5271">
        <w:rPr>
          <w:rFonts w:asciiTheme="majorBidi" w:hAnsiTheme="majorBidi" w:cstheme="majorBidi"/>
          <w:lang w:val="en-AU"/>
        </w:rPr>
        <w:t>It</w:t>
      </w:r>
      <w:r w:rsidR="00E20246">
        <w:rPr>
          <w:rFonts w:asciiTheme="majorBidi" w:hAnsiTheme="majorBidi" w:cstheme="majorBidi"/>
          <w:lang w:val="en-AU"/>
        </w:rPr>
        <w:t xml:space="preserve"> commented in its</w:t>
      </w:r>
      <w:r w:rsidR="00946701" w:rsidRPr="004C5271">
        <w:rPr>
          <w:rFonts w:asciiTheme="majorBidi" w:hAnsiTheme="majorBidi" w:cstheme="majorBidi"/>
          <w:lang w:val="en-AU"/>
        </w:rPr>
        <w:t xml:space="preserve"> </w:t>
      </w:r>
      <w:r w:rsidR="00E20246">
        <w:rPr>
          <w:rFonts w:asciiTheme="majorBidi" w:hAnsiTheme="majorBidi" w:cstheme="majorBidi"/>
          <w:lang w:val="en-AU"/>
        </w:rPr>
        <w:t>d</w:t>
      </w:r>
      <w:r w:rsidR="00946701" w:rsidRPr="004C5271">
        <w:rPr>
          <w:rFonts w:asciiTheme="majorBidi" w:hAnsiTheme="majorBidi" w:cstheme="majorBidi"/>
          <w:lang w:val="en-AU"/>
        </w:rPr>
        <w:t xml:space="preserve">iscussion </w:t>
      </w:r>
      <w:r w:rsidR="00E20246">
        <w:rPr>
          <w:rFonts w:asciiTheme="majorBidi" w:hAnsiTheme="majorBidi" w:cstheme="majorBidi"/>
          <w:lang w:val="en-AU"/>
        </w:rPr>
        <w:t>p</w:t>
      </w:r>
      <w:r w:rsidR="00946701" w:rsidRPr="004C5271">
        <w:rPr>
          <w:rFonts w:asciiTheme="majorBidi" w:hAnsiTheme="majorBidi" w:cstheme="majorBidi"/>
          <w:lang w:val="en-AU"/>
        </w:rPr>
        <w:t>aper that</w:t>
      </w:r>
      <w:bookmarkEnd w:id="200"/>
      <w:r w:rsidR="00946701" w:rsidRPr="004C5271">
        <w:rPr>
          <w:rFonts w:asciiTheme="majorBidi" w:hAnsiTheme="majorBidi" w:cstheme="majorBidi"/>
          <w:lang w:val="en-AU"/>
        </w:rPr>
        <w:t xml:space="preserve">: </w:t>
      </w:r>
    </w:p>
    <w:p w14:paraId="1DF14846" w14:textId="13843836" w:rsidR="00946701" w:rsidRPr="004C5271" w:rsidRDefault="00946701" w:rsidP="00844AEA">
      <w:pPr>
        <w:pStyle w:val="QuoteTLRI"/>
        <w:rPr>
          <w:rFonts w:asciiTheme="majorBidi" w:hAnsiTheme="majorBidi" w:cstheme="majorBidi"/>
        </w:rPr>
      </w:pPr>
      <w:r w:rsidRPr="004C5271">
        <w:rPr>
          <w:rFonts w:asciiTheme="majorBidi" w:hAnsiTheme="majorBidi" w:cstheme="majorBidi"/>
        </w:rPr>
        <w:t xml:space="preserve">in many cases, a fair property split cannot be achieved without a superannuation split, such as where there are minimal non-superannuation assets, and a significant disparity in superannuation balances. Failure to provide the economically weaker party with access to superannuation may also contribute to poor living standards in retirement. </w:t>
      </w:r>
      <w:r w:rsidRPr="004C5271">
        <w:rPr>
          <w:rStyle w:val="FootnoteReference"/>
          <w:rFonts w:asciiTheme="majorBidi" w:eastAsia="Times New Roman" w:hAnsiTheme="majorBidi" w:cstheme="majorBidi"/>
          <w:color w:val="333333"/>
        </w:rPr>
        <w:footnoteReference w:id="431"/>
      </w:r>
    </w:p>
    <w:p w14:paraId="519369A7" w14:textId="28B81FCA" w:rsidR="007B2E3F" w:rsidRPr="004C5271" w:rsidRDefault="007B2E3F" w:rsidP="00551522">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Similar comments were made in the ALRC’s </w:t>
      </w:r>
      <w:r w:rsidR="00844AEA" w:rsidRPr="004C5271">
        <w:rPr>
          <w:rFonts w:asciiTheme="majorBidi" w:hAnsiTheme="majorBidi" w:cstheme="majorBidi"/>
          <w:lang w:val="en-AU"/>
        </w:rPr>
        <w:t>f</w:t>
      </w:r>
      <w:r w:rsidRPr="004C5271">
        <w:rPr>
          <w:rFonts w:asciiTheme="majorBidi" w:hAnsiTheme="majorBidi" w:cstheme="majorBidi"/>
          <w:lang w:val="en-AU"/>
        </w:rPr>
        <w:t xml:space="preserve">inal </w:t>
      </w:r>
      <w:r w:rsidR="00844AEA" w:rsidRPr="004C5271">
        <w:rPr>
          <w:rFonts w:asciiTheme="majorBidi" w:hAnsiTheme="majorBidi" w:cstheme="majorBidi"/>
          <w:lang w:val="en-AU"/>
        </w:rPr>
        <w:t>r</w:t>
      </w:r>
      <w:r w:rsidRPr="004C5271">
        <w:rPr>
          <w:rFonts w:asciiTheme="majorBidi" w:hAnsiTheme="majorBidi" w:cstheme="majorBidi"/>
          <w:lang w:val="en-AU"/>
        </w:rPr>
        <w:t>eport wh</w:t>
      </w:r>
      <w:r w:rsidR="00405176">
        <w:rPr>
          <w:rFonts w:asciiTheme="majorBidi" w:hAnsiTheme="majorBidi" w:cstheme="majorBidi"/>
          <w:lang w:val="en-AU"/>
        </w:rPr>
        <w:t>ere</w:t>
      </w:r>
      <w:r w:rsidRPr="004C5271">
        <w:rPr>
          <w:rFonts w:asciiTheme="majorBidi" w:hAnsiTheme="majorBidi" w:cstheme="majorBidi"/>
          <w:lang w:val="en-AU"/>
        </w:rPr>
        <w:t xml:space="preserve"> it stated:</w:t>
      </w:r>
    </w:p>
    <w:p w14:paraId="619C42F3" w14:textId="56DA1083" w:rsidR="007B2E3F" w:rsidRPr="004C5271" w:rsidRDefault="007B2E3F" w:rsidP="001A28FB">
      <w:pPr>
        <w:pStyle w:val="QuoteTLRI"/>
        <w:rPr>
          <w:rFonts w:asciiTheme="majorBidi" w:hAnsiTheme="majorBidi" w:cstheme="majorBidi"/>
        </w:rPr>
      </w:pPr>
      <w:r w:rsidRPr="004C5271">
        <w:rPr>
          <w:rFonts w:asciiTheme="majorBidi" w:hAnsiTheme="majorBidi" w:cstheme="majorBidi"/>
        </w:rPr>
        <w:t>Given that caring responsibilities are typically, but not always, borne by women, and can have a lifelong impact on earnings, property division on or following separation can be an important mechanism for addressing deficiencies in the accumulation of superannuation.</w:t>
      </w:r>
      <w:r w:rsidRPr="004C5271">
        <w:rPr>
          <w:rStyle w:val="FootnoteReference"/>
          <w:rFonts w:asciiTheme="majorBidi" w:hAnsiTheme="majorBidi" w:cstheme="majorBidi"/>
        </w:rPr>
        <w:footnoteReference w:id="432"/>
      </w:r>
    </w:p>
    <w:p w14:paraId="6003E259" w14:textId="2CE00D0A" w:rsidR="00D96E73" w:rsidRPr="004C5271" w:rsidRDefault="00D96E73" w:rsidP="00D96E73">
      <w:pPr>
        <w:pStyle w:val="NormalNumberedTextTLRI"/>
        <w:rPr>
          <w:rFonts w:asciiTheme="majorBidi" w:hAnsiTheme="majorBidi" w:cstheme="majorBidi"/>
          <w:lang w:val="en-AU"/>
        </w:rPr>
      </w:pPr>
      <w:r w:rsidRPr="004C5271">
        <w:rPr>
          <w:rFonts w:asciiTheme="majorBidi" w:hAnsiTheme="majorBidi" w:cstheme="majorBidi"/>
          <w:lang w:val="en-AU"/>
        </w:rPr>
        <w:t xml:space="preserve">These extracts highlight the significance of superannuation as an asset, a matter also </w:t>
      </w:r>
      <w:r w:rsidR="002B1DD1" w:rsidRPr="004C5271">
        <w:rPr>
          <w:rFonts w:asciiTheme="majorBidi" w:hAnsiTheme="majorBidi" w:cstheme="majorBidi"/>
          <w:lang w:val="en-AU"/>
        </w:rPr>
        <w:t>discussed</w:t>
      </w:r>
      <w:r w:rsidRPr="004C5271">
        <w:rPr>
          <w:rFonts w:asciiTheme="majorBidi" w:hAnsiTheme="majorBidi" w:cstheme="majorBidi"/>
          <w:lang w:val="en-AU"/>
        </w:rPr>
        <w:t xml:space="preserve"> at [</w:t>
      </w:r>
      <w:r w:rsidR="00A36564" w:rsidRPr="004C5271">
        <w:rPr>
          <w:rFonts w:asciiTheme="majorBidi" w:hAnsiTheme="majorBidi" w:cstheme="majorBidi"/>
          <w:lang w:val="en-AU"/>
        </w:rPr>
        <w:fldChar w:fldCharType="begin"/>
      </w:r>
      <w:r w:rsidR="00A36564" w:rsidRPr="004C5271">
        <w:rPr>
          <w:rFonts w:asciiTheme="majorBidi" w:hAnsiTheme="majorBidi" w:cstheme="majorBidi"/>
          <w:lang w:val="en-AU"/>
        </w:rPr>
        <w:instrText xml:space="preserve"> REF _Ref13487614 \r \h </w:instrText>
      </w:r>
      <w:r w:rsidR="004C5271">
        <w:rPr>
          <w:rFonts w:asciiTheme="majorBidi" w:hAnsiTheme="majorBidi" w:cstheme="majorBidi"/>
          <w:lang w:val="en-AU"/>
        </w:rPr>
        <w:instrText xml:space="preserve"> \* MERGEFORMAT </w:instrText>
      </w:r>
      <w:r w:rsidR="00A36564" w:rsidRPr="004C5271">
        <w:rPr>
          <w:rFonts w:asciiTheme="majorBidi" w:hAnsiTheme="majorBidi" w:cstheme="majorBidi"/>
          <w:lang w:val="en-AU"/>
        </w:rPr>
      </w:r>
      <w:r w:rsidR="00A36564"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2.4.1</w:t>
      </w:r>
      <w:r w:rsidR="00A36564" w:rsidRPr="004C5271">
        <w:rPr>
          <w:rFonts w:asciiTheme="majorBidi" w:hAnsiTheme="majorBidi" w:cstheme="majorBidi"/>
          <w:lang w:val="en-AU"/>
        </w:rPr>
        <w:fldChar w:fldCharType="end"/>
      </w:r>
      <w:r w:rsidRPr="004C5271">
        <w:rPr>
          <w:rFonts w:asciiTheme="majorBidi" w:hAnsiTheme="majorBidi" w:cstheme="majorBidi"/>
          <w:lang w:val="en-AU"/>
        </w:rPr>
        <w:t xml:space="preserve">]. </w:t>
      </w:r>
      <w:r w:rsidR="00853A25" w:rsidRPr="004C5271">
        <w:rPr>
          <w:rFonts w:asciiTheme="majorBidi" w:hAnsiTheme="majorBidi" w:cstheme="majorBidi"/>
          <w:lang w:val="en-AU"/>
        </w:rPr>
        <w:t xml:space="preserve">The Supreme Court’s inability to </w:t>
      </w:r>
      <w:r w:rsidR="00C03005" w:rsidRPr="004C5271">
        <w:rPr>
          <w:rFonts w:asciiTheme="majorBidi" w:hAnsiTheme="majorBidi" w:cstheme="majorBidi"/>
          <w:lang w:val="en-AU"/>
        </w:rPr>
        <w:t xml:space="preserve">utilise </w:t>
      </w:r>
      <w:r w:rsidR="00853A25" w:rsidRPr="004C5271">
        <w:rPr>
          <w:rFonts w:asciiTheme="majorBidi" w:hAnsiTheme="majorBidi" w:cstheme="majorBidi"/>
          <w:lang w:val="en-AU"/>
        </w:rPr>
        <w:t xml:space="preserve">superannuation paid directly to beneficiaries can therefore lead to significant differences between couples who separate and seek orders under the </w:t>
      </w:r>
      <w:r w:rsidR="00853A25" w:rsidRPr="004C5271">
        <w:rPr>
          <w:rFonts w:asciiTheme="majorBidi" w:hAnsiTheme="majorBidi" w:cstheme="majorBidi"/>
          <w:i/>
          <w:iCs/>
          <w:lang w:val="en-AU"/>
        </w:rPr>
        <w:t>FLA</w:t>
      </w:r>
      <w:r w:rsidR="00853A25" w:rsidRPr="004C5271">
        <w:rPr>
          <w:rFonts w:asciiTheme="majorBidi" w:hAnsiTheme="majorBidi" w:cstheme="majorBidi"/>
          <w:lang w:val="en-AU"/>
        </w:rPr>
        <w:t xml:space="preserve"> and those where one dies and the</w:t>
      </w:r>
      <w:r w:rsidR="00853A25" w:rsidRPr="004C5271">
        <w:rPr>
          <w:rFonts w:asciiTheme="majorBidi" w:hAnsiTheme="majorBidi" w:cstheme="majorBidi"/>
          <w:i/>
          <w:iCs/>
          <w:lang w:val="en-AU"/>
        </w:rPr>
        <w:t xml:space="preserve"> TFM Act </w:t>
      </w:r>
      <w:r w:rsidR="00853A25" w:rsidRPr="004C5271">
        <w:rPr>
          <w:rFonts w:asciiTheme="majorBidi" w:hAnsiTheme="majorBidi" w:cstheme="majorBidi"/>
          <w:lang w:val="en-AU"/>
        </w:rPr>
        <w:t>applies.</w:t>
      </w:r>
      <w:r w:rsidRPr="004C5271">
        <w:rPr>
          <w:rFonts w:asciiTheme="majorBidi" w:hAnsiTheme="majorBidi" w:cstheme="majorBidi"/>
          <w:lang w:val="en-AU"/>
        </w:rPr>
        <w:t xml:space="preserve"> </w:t>
      </w:r>
      <w:r w:rsidR="006E14E4" w:rsidRPr="004C5271">
        <w:rPr>
          <w:rFonts w:asciiTheme="majorBidi" w:hAnsiTheme="majorBidi" w:cstheme="majorBidi"/>
          <w:lang w:val="en-AU"/>
        </w:rPr>
        <w:t>On the other hand, whilst Ann Hamilton’s submission referred to the importance of superannuation as an asset for many Tasmanians, she submitted that this factor supports her position that notional estate legislation ought not apply to superannuation:</w:t>
      </w:r>
    </w:p>
    <w:p w14:paraId="2F80DB92" w14:textId="7E0D3CD3" w:rsidR="006E14E4" w:rsidRPr="004C5271" w:rsidRDefault="006E14E4" w:rsidP="00297EE3">
      <w:pPr>
        <w:pStyle w:val="QuoteTLRI"/>
        <w:keepNext/>
        <w:keepLines/>
        <w:rPr>
          <w:rFonts w:asciiTheme="majorBidi" w:hAnsiTheme="majorBidi" w:cstheme="majorBidi"/>
        </w:rPr>
      </w:pPr>
      <w:r w:rsidRPr="004C5271">
        <w:rPr>
          <w:rFonts w:asciiTheme="majorBidi" w:hAnsiTheme="majorBidi" w:cstheme="majorBidi"/>
        </w:rPr>
        <w:t>Superannuation benefits are important assets for estate planning of people whose personal unencumbered assets are relatively few and it does not seem appropriate for the power to direct what occurs to those assets to be reviewed under notional estate legislation.</w:t>
      </w:r>
    </w:p>
    <w:p w14:paraId="4997F816" w14:textId="32A78A4F" w:rsidR="00915DAC" w:rsidRPr="004C5271" w:rsidRDefault="00915DAC" w:rsidP="005C723B">
      <w:pPr>
        <w:pStyle w:val="furhtersub-heading2"/>
      </w:pPr>
      <w:r w:rsidRPr="004C5271">
        <w:t xml:space="preserve">Concluding remarks about operation of the </w:t>
      </w:r>
      <w:r w:rsidRPr="00E20246">
        <w:rPr>
          <w:i/>
        </w:rPr>
        <w:t>FLA</w:t>
      </w:r>
    </w:p>
    <w:p w14:paraId="6071C5A6" w14:textId="6611E007" w:rsidR="00915DAC" w:rsidRPr="004C5271" w:rsidRDefault="00D005DB" w:rsidP="00915DAC">
      <w:pPr>
        <w:pStyle w:val="NormalNumberedTextTLRI"/>
        <w:rPr>
          <w:rFonts w:asciiTheme="majorBidi" w:hAnsiTheme="majorBidi" w:cstheme="majorBidi"/>
          <w:lang w:val="en-AU"/>
        </w:rPr>
      </w:pPr>
      <w:r w:rsidRPr="004C5271">
        <w:rPr>
          <w:rFonts w:asciiTheme="majorBidi" w:hAnsiTheme="majorBidi" w:cstheme="majorBidi"/>
          <w:lang w:val="en-AU"/>
        </w:rPr>
        <w:t xml:space="preserve">As noted </w:t>
      </w:r>
      <w:r w:rsidR="00915DAC" w:rsidRPr="004C5271">
        <w:rPr>
          <w:rFonts w:asciiTheme="majorBidi" w:hAnsiTheme="majorBidi" w:cstheme="majorBidi"/>
          <w:lang w:val="en-AU"/>
        </w:rPr>
        <w:t>at [</w:t>
      </w:r>
      <w:r w:rsidR="00615DCB" w:rsidRPr="004C5271">
        <w:rPr>
          <w:rFonts w:asciiTheme="majorBidi" w:hAnsiTheme="majorBidi" w:cstheme="majorBidi"/>
          <w:lang w:val="en-AU"/>
        </w:rPr>
        <w:fldChar w:fldCharType="begin"/>
      </w:r>
      <w:r w:rsidR="00615DCB" w:rsidRPr="004C5271">
        <w:rPr>
          <w:rFonts w:asciiTheme="majorBidi" w:hAnsiTheme="majorBidi" w:cstheme="majorBidi"/>
          <w:lang w:val="en-AU"/>
        </w:rPr>
        <w:instrText xml:space="preserve"> REF _Ref13417339 \r \h </w:instrText>
      </w:r>
      <w:r w:rsidR="004C5271">
        <w:rPr>
          <w:rFonts w:asciiTheme="majorBidi" w:hAnsiTheme="majorBidi" w:cstheme="majorBidi"/>
          <w:lang w:val="en-AU"/>
        </w:rPr>
        <w:instrText xml:space="preserve"> \* MERGEFORMAT </w:instrText>
      </w:r>
      <w:r w:rsidR="00615DCB" w:rsidRPr="004C5271">
        <w:rPr>
          <w:rFonts w:asciiTheme="majorBidi" w:hAnsiTheme="majorBidi" w:cstheme="majorBidi"/>
          <w:lang w:val="en-AU"/>
        </w:rPr>
      </w:r>
      <w:r w:rsidR="00615DCB"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5.5.43</w:t>
      </w:r>
      <w:r w:rsidR="00615DCB" w:rsidRPr="004C5271">
        <w:rPr>
          <w:rFonts w:asciiTheme="majorBidi" w:hAnsiTheme="majorBidi" w:cstheme="majorBidi"/>
          <w:lang w:val="en-AU"/>
        </w:rPr>
        <w:fldChar w:fldCharType="end"/>
      </w:r>
      <w:r w:rsidR="00915DAC" w:rsidRPr="004C5271">
        <w:rPr>
          <w:rFonts w:asciiTheme="majorBidi" w:hAnsiTheme="majorBidi" w:cstheme="majorBidi"/>
          <w:lang w:val="en-AU"/>
        </w:rPr>
        <w:t>]</w:t>
      </w:r>
      <w:r w:rsidRPr="004C5271">
        <w:rPr>
          <w:rFonts w:asciiTheme="majorBidi" w:hAnsiTheme="majorBidi" w:cstheme="majorBidi"/>
          <w:lang w:val="en-AU"/>
        </w:rPr>
        <w:t xml:space="preserve">, </w:t>
      </w:r>
      <w:r w:rsidR="00915DAC" w:rsidRPr="004C5271">
        <w:rPr>
          <w:rFonts w:asciiTheme="majorBidi" w:hAnsiTheme="majorBidi" w:cstheme="majorBidi"/>
          <w:lang w:val="en-AU"/>
        </w:rPr>
        <w:t>one criticism</w:t>
      </w:r>
      <w:r w:rsidR="00373556" w:rsidRPr="004C5271">
        <w:rPr>
          <w:rFonts w:asciiTheme="majorBidi" w:hAnsiTheme="majorBidi" w:cstheme="majorBidi"/>
          <w:lang w:val="en-AU"/>
        </w:rPr>
        <w:t xml:space="preserve"> that is sometimes</w:t>
      </w:r>
      <w:r w:rsidR="00915DAC" w:rsidRPr="004C5271">
        <w:rPr>
          <w:rFonts w:asciiTheme="majorBidi" w:hAnsiTheme="majorBidi" w:cstheme="majorBidi"/>
          <w:lang w:val="en-AU"/>
        </w:rPr>
        <w:t xml:space="preserve"> made of family provision legislation is its application to financially independent adult children. Some</w:t>
      </w:r>
      <w:r w:rsidR="00F41560" w:rsidRPr="004C5271">
        <w:rPr>
          <w:rFonts w:asciiTheme="majorBidi" w:hAnsiTheme="majorBidi" w:cstheme="majorBidi"/>
          <w:lang w:val="en-AU"/>
        </w:rPr>
        <w:t xml:space="preserve"> individuals</w:t>
      </w:r>
      <w:r w:rsidR="00915DAC" w:rsidRPr="004C5271">
        <w:rPr>
          <w:rFonts w:asciiTheme="majorBidi" w:hAnsiTheme="majorBidi" w:cstheme="majorBidi"/>
          <w:lang w:val="en-AU"/>
        </w:rPr>
        <w:t xml:space="preserve"> object to the enactment of notional estate legislation on the basis that it would further extend the rights of financially independent children to claim assets of their parents</w:t>
      </w:r>
      <w:r w:rsidR="00DB05FF" w:rsidRPr="004C5271">
        <w:rPr>
          <w:rFonts w:asciiTheme="majorBidi" w:hAnsiTheme="majorBidi" w:cstheme="majorBidi"/>
          <w:lang w:val="en-AU"/>
        </w:rPr>
        <w:t xml:space="preserve"> that they do not have a right to claim during their parents’ life. </w:t>
      </w:r>
    </w:p>
    <w:p w14:paraId="4502F93F" w14:textId="5E696B95" w:rsidR="00915DAC" w:rsidRPr="004C5271" w:rsidRDefault="00915DAC" w:rsidP="00915DAC">
      <w:pPr>
        <w:pStyle w:val="NormalNumberedTextTLRI"/>
        <w:rPr>
          <w:rFonts w:asciiTheme="majorBidi" w:hAnsiTheme="majorBidi" w:cstheme="majorBidi"/>
          <w:lang w:val="en-AU"/>
        </w:rPr>
      </w:pPr>
      <w:r w:rsidRPr="004C5271">
        <w:rPr>
          <w:rFonts w:asciiTheme="majorBidi" w:hAnsiTheme="majorBidi" w:cstheme="majorBidi"/>
          <w:lang w:val="en-AU"/>
        </w:rPr>
        <w:t>As explained in Part 3,</w:t>
      </w:r>
      <w:r w:rsidRPr="004C5271">
        <w:rPr>
          <w:rStyle w:val="FootnoteReference"/>
          <w:rFonts w:asciiTheme="majorBidi" w:hAnsiTheme="majorBidi" w:cstheme="majorBidi"/>
          <w:lang w:val="en-AU"/>
        </w:rPr>
        <w:footnoteReference w:id="433"/>
      </w:r>
      <w:r w:rsidRPr="004C5271">
        <w:rPr>
          <w:rFonts w:asciiTheme="majorBidi" w:hAnsiTheme="majorBidi" w:cstheme="majorBidi"/>
          <w:lang w:val="en-AU"/>
        </w:rPr>
        <w:t xml:space="preserve"> New Zealand and some provinces in Canada</w:t>
      </w:r>
      <w:r w:rsidRPr="004C5271">
        <w:rPr>
          <w:rStyle w:val="FootnoteReference"/>
          <w:rFonts w:asciiTheme="majorBidi" w:hAnsiTheme="majorBidi" w:cstheme="majorBidi"/>
          <w:lang w:val="en-AU"/>
        </w:rPr>
        <w:footnoteReference w:id="434"/>
      </w:r>
      <w:r w:rsidRPr="004C5271">
        <w:rPr>
          <w:rFonts w:asciiTheme="majorBidi" w:hAnsiTheme="majorBidi" w:cstheme="majorBidi"/>
          <w:lang w:val="en-AU"/>
        </w:rPr>
        <w:t xml:space="preserve"> have transferred or provided dual jurisdiction to the family court to make orders about the division of property between spouses after death. The </w:t>
      </w:r>
      <w:r w:rsidRPr="004C5271">
        <w:rPr>
          <w:rFonts w:asciiTheme="majorBidi" w:hAnsiTheme="majorBidi" w:cstheme="majorBidi"/>
          <w:lang w:val="en-AU"/>
        </w:rPr>
        <w:lastRenderedPageBreak/>
        <w:t xml:space="preserve">effect is to </w:t>
      </w:r>
      <w:r w:rsidR="00DB05FF" w:rsidRPr="004C5271">
        <w:rPr>
          <w:rFonts w:asciiTheme="majorBidi" w:hAnsiTheme="majorBidi" w:cstheme="majorBidi"/>
          <w:lang w:val="en-AU"/>
        </w:rPr>
        <w:t>create</w:t>
      </w:r>
      <w:r w:rsidRPr="004C5271">
        <w:rPr>
          <w:rFonts w:asciiTheme="majorBidi" w:hAnsiTheme="majorBidi" w:cstheme="majorBidi"/>
          <w:lang w:val="en-AU"/>
        </w:rPr>
        <w:t xml:space="preserve"> consistency between </w:t>
      </w:r>
      <w:r w:rsidR="00DB05FF" w:rsidRPr="004C5271">
        <w:rPr>
          <w:rFonts w:asciiTheme="majorBidi" w:hAnsiTheme="majorBidi" w:cstheme="majorBidi"/>
          <w:lang w:val="en-AU"/>
        </w:rPr>
        <w:t>laws</w:t>
      </w:r>
      <w:r w:rsidRPr="004C5271">
        <w:rPr>
          <w:rFonts w:asciiTheme="majorBidi" w:hAnsiTheme="majorBidi" w:cstheme="majorBidi"/>
          <w:lang w:val="en-AU"/>
        </w:rPr>
        <w:t xml:space="preserve"> applying to spouses following separation and those applying after death. </w:t>
      </w:r>
      <w:r w:rsidR="00DB05FF" w:rsidRPr="004C5271">
        <w:rPr>
          <w:rFonts w:asciiTheme="majorBidi" w:hAnsiTheme="majorBidi" w:cstheme="majorBidi"/>
          <w:lang w:val="en-AU"/>
        </w:rPr>
        <w:t>It</w:t>
      </w:r>
      <w:r w:rsidRPr="004C5271">
        <w:rPr>
          <w:rFonts w:asciiTheme="majorBidi" w:hAnsiTheme="majorBidi" w:cstheme="majorBidi"/>
          <w:lang w:val="en-AU"/>
        </w:rPr>
        <w:t xml:space="preserve"> </w:t>
      </w:r>
      <w:r w:rsidR="00777222" w:rsidRPr="004C5271">
        <w:rPr>
          <w:rFonts w:asciiTheme="majorBidi" w:hAnsiTheme="majorBidi" w:cstheme="majorBidi"/>
          <w:lang w:val="en-AU"/>
        </w:rPr>
        <w:t xml:space="preserve">thus </w:t>
      </w:r>
      <w:r w:rsidR="00DB05FF" w:rsidRPr="004C5271">
        <w:rPr>
          <w:rFonts w:asciiTheme="majorBidi" w:hAnsiTheme="majorBidi" w:cstheme="majorBidi"/>
          <w:lang w:val="en-AU"/>
        </w:rPr>
        <w:t>resolves</w:t>
      </w:r>
      <w:r w:rsidRPr="004C5271">
        <w:rPr>
          <w:rFonts w:asciiTheme="majorBidi" w:hAnsiTheme="majorBidi" w:cstheme="majorBidi"/>
          <w:lang w:val="en-AU"/>
        </w:rPr>
        <w:t xml:space="preserve"> </w:t>
      </w:r>
      <w:r w:rsidR="00DB05FF" w:rsidRPr="004C5271">
        <w:rPr>
          <w:rFonts w:asciiTheme="majorBidi" w:hAnsiTheme="majorBidi" w:cstheme="majorBidi"/>
          <w:lang w:val="en-AU"/>
        </w:rPr>
        <w:t>criticisms</w:t>
      </w:r>
      <w:r w:rsidRPr="004C5271">
        <w:rPr>
          <w:rFonts w:asciiTheme="majorBidi" w:hAnsiTheme="majorBidi" w:cstheme="majorBidi"/>
          <w:lang w:val="en-AU"/>
        </w:rPr>
        <w:t xml:space="preserve"> outlined earlier in this </w:t>
      </w:r>
      <w:r w:rsidR="00564E44" w:rsidRPr="004C5271">
        <w:rPr>
          <w:rFonts w:asciiTheme="majorBidi" w:hAnsiTheme="majorBidi" w:cstheme="majorBidi"/>
          <w:lang w:val="en-AU"/>
        </w:rPr>
        <w:t>p</w:t>
      </w:r>
      <w:r w:rsidR="00126F9A" w:rsidRPr="004C5271">
        <w:rPr>
          <w:rFonts w:asciiTheme="majorBidi" w:hAnsiTheme="majorBidi" w:cstheme="majorBidi"/>
          <w:lang w:val="en-AU"/>
        </w:rPr>
        <w:t>art</w:t>
      </w:r>
      <w:r w:rsidRPr="004C5271">
        <w:rPr>
          <w:rFonts w:asciiTheme="majorBidi" w:hAnsiTheme="majorBidi" w:cstheme="majorBidi"/>
          <w:lang w:val="en-AU"/>
        </w:rPr>
        <w:t xml:space="preserve"> about the different outcomes that can </w:t>
      </w:r>
      <w:r w:rsidR="00DB05FF" w:rsidRPr="004C5271">
        <w:rPr>
          <w:rFonts w:asciiTheme="majorBidi" w:hAnsiTheme="majorBidi" w:cstheme="majorBidi"/>
          <w:lang w:val="en-AU"/>
        </w:rPr>
        <w:t>occur</w:t>
      </w:r>
      <w:r w:rsidRPr="004C5271">
        <w:rPr>
          <w:rFonts w:asciiTheme="majorBidi" w:hAnsiTheme="majorBidi" w:cstheme="majorBidi"/>
          <w:lang w:val="en-AU"/>
        </w:rPr>
        <w:t xml:space="preserve"> between the </w:t>
      </w:r>
      <w:r w:rsidRPr="004C5271">
        <w:rPr>
          <w:rFonts w:asciiTheme="majorBidi" w:hAnsiTheme="majorBidi" w:cstheme="majorBidi"/>
          <w:i/>
          <w:iCs/>
          <w:lang w:val="en-AU"/>
        </w:rPr>
        <w:t>FLA</w:t>
      </w:r>
      <w:r w:rsidRPr="004C5271">
        <w:rPr>
          <w:rFonts w:asciiTheme="majorBidi" w:hAnsiTheme="majorBidi" w:cstheme="majorBidi"/>
          <w:lang w:val="en-AU"/>
        </w:rPr>
        <w:t xml:space="preserve"> and the</w:t>
      </w:r>
      <w:r w:rsidRPr="004C5271">
        <w:rPr>
          <w:rFonts w:asciiTheme="majorBidi" w:hAnsiTheme="majorBidi" w:cstheme="majorBidi"/>
          <w:i/>
          <w:iCs/>
          <w:lang w:val="en-AU"/>
        </w:rPr>
        <w:t xml:space="preserve"> TFM</w:t>
      </w:r>
      <w:r w:rsidRPr="004C5271">
        <w:rPr>
          <w:rFonts w:asciiTheme="majorBidi" w:hAnsiTheme="majorBidi" w:cstheme="majorBidi"/>
          <w:lang w:val="en-AU"/>
        </w:rPr>
        <w:t xml:space="preserve"> </w:t>
      </w:r>
      <w:r w:rsidRPr="004C5271">
        <w:rPr>
          <w:rFonts w:asciiTheme="majorBidi" w:hAnsiTheme="majorBidi" w:cstheme="majorBidi"/>
          <w:i/>
          <w:iCs/>
          <w:lang w:val="en-AU"/>
        </w:rPr>
        <w:t>Act</w:t>
      </w:r>
      <w:r w:rsidR="00785FCD" w:rsidRPr="004C5271">
        <w:rPr>
          <w:rFonts w:asciiTheme="majorBidi" w:hAnsiTheme="majorBidi" w:cstheme="majorBidi"/>
          <w:lang w:val="en-AU"/>
        </w:rPr>
        <w:t xml:space="preserve"> and </w:t>
      </w:r>
      <w:r w:rsidR="00777222" w:rsidRPr="004C5271">
        <w:rPr>
          <w:rFonts w:asciiTheme="majorBidi" w:hAnsiTheme="majorBidi" w:cstheme="majorBidi"/>
          <w:lang w:val="en-AU"/>
        </w:rPr>
        <w:t>r</w:t>
      </w:r>
      <w:r w:rsidRPr="004C5271">
        <w:rPr>
          <w:rFonts w:asciiTheme="majorBidi" w:hAnsiTheme="majorBidi" w:cstheme="majorBidi"/>
          <w:lang w:val="en-AU"/>
        </w:rPr>
        <w:t>educe</w:t>
      </w:r>
      <w:r w:rsidR="00777222" w:rsidRPr="004C5271">
        <w:rPr>
          <w:rFonts w:asciiTheme="majorBidi" w:hAnsiTheme="majorBidi" w:cstheme="majorBidi"/>
          <w:lang w:val="en-AU"/>
        </w:rPr>
        <w:t>s</w:t>
      </w:r>
      <w:r w:rsidRPr="004C5271">
        <w:rPr>
          <w:rFonts w:asciiTheme="majorBidi" w:hAnsiTheme="majorBidi" w:cstheme="majorBidi"/>
          <w:lang w:val="en-AU"/>
        </w:rPr>
        <w:t xml:space="preserve"> or eliminate</w:t>
      </w:r>
      <w:r w:rsidR="00777222" w:rsidRPr="004C5271">
        <w:rPr>
          <w:rFonts w:asciiTheme="majorBidi" w:hAnsiTheme="majorBidi" w:cstheme="majorBidi"/>
          <w:lang w:val="en-AU"/>
        </w:rPr>
        <w:t>s</w:t>
      </w:r>
      <w:r w:rsidRPr="004C5271">
        <w:rPr>
          <w:rFonts w:asciiTheme="majorBidi" w:hAnsiTheme="majorBidi" w:cstheme="majorBidi"/>
          <w:lang w:val="en-AU"/>
        </w:rPr>
        <w:t xml:space="preserve"> the need for notional estate laws </w:t>
      </w:r>
      <w:r w:rsidR="00DB05FF" w:rsidRPr="004C5271">
        <w:rPr>
          <w:rFonts w:asciiTheme="majorBidi" w:hAnsiTheme="majorBidi" w:cstheme="majorBidi"/>
          <w:lang w:val="en-AU"/>
        </w:rPr>
        <w:t xml:space="preserve">to </w:t>
      </w:r>
      <w:r w:rsidR="009D247D" w:rsidRPr="004C5271">
        <w:rPr>
          <w:rFonts w:asciiTheme="majorBidi" w:hAnsiTheme="majorBidi" w:cstheme="majorBidi"/>
          <w:lang w:val="en-AU"/>
        </w:rPr>
        <w:t>achieve</w:t>
      </w:r>
      <w:r w:rsidR="00DB05FF" w:rsidRPr="004C5271">
        <w:rPr>
          <w:rFonts w:asciiTheme="majorBidi" w:hAnsiTheme="majorBidi" w:cstheme="majorBidi"/>
          <w:lang w:val="en-AU"/>
        </w:rPr>
        <w:t xml:space="preserve"> consistency for spouses. </w:t>
      </w:r>
      <w:r w:rsidR="00777222" w:rsidRPr="004C5271">
        <w:rPr>
          <w:rFonts w:asciiTheme="majorBidi" w:hAnsiTheme="majorBidi" w:cstheme="majorBidi"/>
          <w:lang w:val="en-AU"/>
        </w:rPr>
        <w:t xml:space="preserve">A further consequence </w:t>
      </w:r>
      <w:r w:rsidR="00785FCD" w:rsidRPr="004C5271">
        <w:rPr>
          <w:rFonts w:asciiTheme="majorBidi" w:hAnsiTheme="majorBidi" w:cstheme="majorBidi"/>
          <w:lang w:val="en-AU"/>
        </w:rPr>
        <w:t xml:space="preserve">of transferring jurisdiction to the </w:t>
      </w:r>
      <w:r w:rsidR="00280000" w:rsidRPr="004C5271">
        <w:rPr>
          <w:rFonts w:asciiTheme="majorBidi" w:hAnsiTheme="majorBidi" w:cstheme="majorBidi"/>
          <w:lang w:val="en-AU"/>
        </w:rPr>
        <w:t>F</w:t>
      </w:r>
      <w:r w:rsidR="00785FCD" w:rsidRPr="004C5271">
        <w:rPr>
          <w:rFonts w:asciiTheme="majorBidi" w:hAnsiTheme="majorBidi" w:cstheme="majorBidi"/>
          <w:lang w:val="en-AU"/>
        </w:rPr>
        <w:t xml:space="preserve">amily </w:t>
      </w:r>
      <w:r w:rsidR="00280000" w:rsidRPr="004C5271">
        <w:rPr>
          <w:rFonts w:asciiTheme="majorBidi" w:hAnsiTheme="majorBidi" w:cstheme="majorBidi"/>
          <w:lang w:val="en-AU"/>
        </w:rPr>
        <w:t>C</w:t>
      </w:r>
      <w:r w:rsidR="00785FCD" w:rsidRPr="004C5271">
        <w:rPr>
          <w:rFonts w:asciiTheme="majorBidi" w:hAnsiTheme="majorBidi" w:cstheme="majorBidi"/>
          <w:lang w:val="en-AU"/>
        </w:rPr>
        <w:t xml:space="preserve">ourt </w:t>
      </w:r>
      <w:r w:rsidR="00777222" w:rsidRPr="004C5271">
        <w:rPr>
          <w:rFonts w:asciiTheme="majorBidi" w:hAnsiTheme="majorBidi" w:cstheme="majorBidi"/>
          <w:lang w:val="en-AU"/>
        </w:rPr>
        <w:t xml:space="preserve">is that it </w:t>
      </w:r>
      <w:r w:rsidR="00785FCD" w:rsidRPr="004C5271">
        <w:rPr>
          <w:rFonts w:asciiTheme="majorBidi" w:hAnsiTheme="majorBidi" w:cstheme="majorBidi"/>
          <w:lang w:val="en-AU"/>
        </w:rPr>
        <w:t>addresses</w:t>
      </w:r>
      <w:r w:rsidR="00DB05FF" w:rsidRPr="004C5271">
        <w:rPr>
          <w:rFonts w:asciiTheme="majorBidi" w:hAnsiTheme="majorBidi" w:cstheme="majorBidi"/>
          <w:lang w:val="en-AU"/>
        </w:rPr>
        <w:t xml:space="preserve"> concerns that some respondents raised about the </w:t>
      </w:r>
      <w:r w:rsidR="009D247D" w:rsidRPr="004C5271">
        <w:rPr>
          <w:rFonts w:asciiTheme="majorBidi" w:hAnsiTheme="majorBidi" w:cstheme="majorBidi"/>
          <w:lang w:val="en-AU"/>
        </w:rPr>
        <w:t>availability of non-estate assets t</w:t>
      </w:r>
      <w:r w:rsidR="00DB05FF" w:rsidRPr="004C5271">
        <w:rPr>
          <w:rFonts w:asciiTheme="majorBidi" w:hAnsiTheme="majorBidi" w:cstheme="majorBidi"/>
          <w:lang w:val="en-AU"/>
        </w:rPr>
        <w:t xml:space="preserve">o financially independent </w:t>
      </w:r>
      <w:r w:rsidR="009D247D" w:rsidRPr="004C5271">
        <w:rPr>
          <w:rFonts w:asciiTheme="majorBidi" w:hAnsiTheme="majorBidi" w:cstheme="majorBidi"/>
          <w:lang w:val="en-AU"/>
        </w:rPr>
        <w:t>claimants</w:t>
      </w:r>
      <w:r w:rsidR="00DB05FF" w:rsidRPr="004C5271">
        <w:rPr>
          <w:rFonts w:asciiTheme="majorBidi" w:hAnsiTheme="majorBidi" w:cstheme="majorBidi"/>
          <w:lang w:val="en-AU"/>
        </w:rPr>
        <w:t>.</w:t>
      </w:r>
    </w:p>
    <w:p w14:paraId="3993F005" w14:textId="66A017E1" w:rsidR="00785FCD" w:rsidRPr="004C5271" w:rsidRDefault="00785FCD" w:rsidP="00126F9A">
      <w:pPr>
        <w:pStyle w:val="NormalNumberedTextTLRI"/>
        <w:rPr>
          <w:rFonts w:asciiTheme="majorBidi" w:hAnsiTheme="majorBidi" w:cstheme="majorBidi"/>
          <w:lang w:val="en-AU"/>
        </w:rPr>
      </w:pPr>
      <w:r w:rsidRPr="004C5271">
        <w:rPr>
          <w:rFonts w:asciiTheme="majorBidi" w:hAnsiTheme="majorBidi" w:cstheme="majorBidi"/>
          <w:lang w:val="en-AU"/>
        </w:rPr>
        <w:t>For these reasons, there would seem to be merit in further evaluating the potential role that the</w:t>
      </w:r>
      <w:r w:rsidRPr="004C5271">
        <w:rPr>
          <w:rFonts w:asciiTheme="majorBidi" w:hAnsiTheme="majorBidi" w:cstheme="majorBidi"/>
          <w:i/>
          <w:iCs/>
          <w:lang w:val="en-AU"/>
        </w:rPr>
        <w:t xml:space="preserve"> FLA</w:t>
      </w:r>
      <w:r w:rsidRPr="004C5271">
        <w:rPr>
          <w:rFonts w:asciiTheme="majorBidi" w:hAnsiTheme="majorBidi" w:cstheme="majorBidi"/>
          <w:lang w:val="en-AU"/>
        </w:rPr>
        <w:t xml:space="preserve"> could play in resolving the division of assets between spouses after death </w:t>
      </w:r>
      <w:r w:rsidR="00F41560" w:rsidRPr="004C5271">
        <w:rPr>
          <w:rFonts w:asciiTheme="majorBidi" w:hAnsiTheme="majorBidi" w:cstheme="majorBidi"/>
          <w:lang w:val="en-AU"/>
        </w:rPr>
        <w:t>where</w:t>
      </w:r>
      <w:r w:rsidRPr="004C5271">
        <w:rPr>
          <w:rFonts w:asciiTheme="majorBidi" w:hAnsiTheme="majorBidi" w:cstheme="majorBidi"/>
          <w:lang w:val="en-AU"/>
        </w:rPr>
        <w:t xml:space="preserve"> family court proceedings </w:t>
      </w:r>
      <w:r w:rsidR="00D005DB" w:rsidRPr="004C5271">
        <w:rPr>
          <w:rFonts w:asciiTheme="majorBidi" w:hAnsiTheme="majorBidi" w:cstheme="majorBidi"/>
          <w:lang w:val="en-AU"/>
        </w:rPr>
        <w:t>have not</w:t>
      </w:r>
      <w:r w:rsidRPr="004C5271">
        <w:rPr>
          <w:rFonts w:asciiTheme="majorBidi" w:hAnsiTheme="majorBidi" w:cstheme="majorBidi"/>
          <w:lang w:val="en-AU"/>
        </w:rPr>
        <w:t xml:space="preserve"> been commenced prior to a spouse’s death. Whilst the ALRC recently undertook an extensive review of the family law system in Australia, its </w:t>
      </w:r>
      <w:r w:rsidR="00280000" w:rsidRPr="004C5271">
        <w:rPr>
          <w:rFonts w:asciiTheme="majorBidi" w:hAnsiTheme="majorBidi" w:cstheme="majorBidi"/>
          <w:lang w:val="en-AU"/>
        </w:rPr>
        <w:t>f</w:t>
      </w:r>
      <w:r w:rsidR="00F41560" w:rsidRPr="004C5271">
        <w:rPr>
          <w:rFonts w:asciiTheme="majorBidi" w:hAnsiTheme="majorBidi" w:cstheme="majorBidi"/>
          <w:lang w:val="en-AU"/>
        </w:rPr>
        <w:t xml:space="preserve">inal </w:t>
      </w:r>
      <w:r w:rsidR="00280000" w:rsidRPr="004C5271">
        <w:rPr>
          <w:rFonts w:asciiTheme="majorBidi" w:hAnsiTheme="majorBidi" w:cstheme="majorBidi"/>
          <w:lang w:val="en-AU"/>
        </w:rPr>
        <w:t>r</w:t>
      </w:r>
      <w:r w:rsidRPr="004C5271">
        <w:rPr>
          <w:rFonts w:asciiTheme="majorBidi" w:hAnsiTheme="majorBidi" w:cstheme="majorBidi"/>
          <w:lang w:val="en-AU"/>
        </w:rPr>
        <w:t xml:space="preserve">eport did not discuss </w:t>
      </w:r>
      <w:r w:rsidR="00F41560" w:rsidRPr="004C5271">
        <w:rPr>
          <w:rFonts w:asciiTheme="majorBidi" w:hAnsiTheme="majorBidi" w:cstheme="majorBidi"/>
          <w:lang w:val="en-AU"/>
        </w:rPr>
        <w:t>a</w:t>
      </w:r>
      <w:r w:rsidRPr="004C5271">
        <w:rPr>
          <w:rFonts w:asciiTheme="majorBidi" w:hAnsiTheme="majorBidi" w:cstheme="majorBidi"/>
          <w:lang w:val="en-AU"/>
        </w:rPr>
        <w:t xml:space="preserve"> potential exten</w:t>
      </w:r>
      <w:r w:rsidR="00F41560" w:rsidRPr="004C5271">
        <w:rPr>
          <w:rFonts w:asciiTheme="majorBidi" w:hAnsiTheme="majorBidi" w:cstheme="majorBidi"/>
          <w:lang w:val="en-AU"/>
        </w:rPr>
        <w:t xml:space="preserve">ded </w:t>
      </w:r>
      <w:r w:rsidRPr="004C5271">
        <w:rPr>
          <w:rFonts w:asciiTheme="majorBidi" w:hAnsiTheme="majorBidi" w:cstheme="majorBidi"/>
          <w:lang w:val="en-AU"/>
        </w:rPr>
        <w:t xml:space="preserve">role </w:t>
      </w:r>
      <w:r w:rsidR="00F41560" w:rsidRPr="004C5271">
        <w:rPr>
          <w:rFonts w:asciiTheme="majorBidi" w:hAnsiTheme="majorBidi" w:cstheme="majorBidi"/>
          <w:lang w:val="en-AU"/>
        </w:rPr>
        <w:t>for</w:t>
      </w:r>
      <w:r w:rsidRPr="004C5271">
        <w:rPr>
          <w:rFonts w:asciiTheme="majorBidi" w:hAnsiTheme="majorBidi" w:cstheme="majorBidi"/>
          <w:lang w:val="en-AU"/>
        </w:rPr>
        <w:t xml:space="preserve"> the</w:t>
      </w:r>
      <w:r w:rsidRPr="004C5271">
        <w:rPr>
          <w:rFonts w:asciiTheme="majorBidi" w:hAnsiTheme="majorBidi" w:cstheme="majorBidi"/>
          <w:i/>
          <w:iCs/>
          <w:lang w:val="en-AU"/>
        </w:rPr>
        <w:t xml:space="preserve"> FLA</w:t>
      </w:r>
      <w:r w:rsidRPr="004C5271">
        <w:rPr>
          <w:rFonts w:asciiTheme="majorBidi" w:hAnsiTheme="majorBidi" w:cstheme="majorBidi"/>
          <w:lang w:val="en-AU"/>
        </w:rPr>
        <w:t xml:space="preserve"> to </w:t>
      </w:r>
      <w:r w:rsidR="00F41560" w:rsidRPr="004C5271">
        <w:rPr>
          <w:rFonts w:asciiTheme="majorBidi" w:hAnsiTheme="majorBidi" w:cstheme="majorBidi"/>
          <w:lang w:val="en-AU"/>
        </w:rPr>
        <w:t xml:space="preserve">deal with </w:t>
      </w:r>
      <w:r w:rsidRPr="004C5271">
        <w:rPr>
          <w:rFonts w:asciiTheme="majorBidi" w:hAnsiTheme="majorBidi" w:cstheme="majorBidi"/>
          <w:lang w:val="en-AU"/>
        </w:rPr>
        <w:t>the division of assets after death where proceedings are not already on foot.</w:t>
      </w:r>
      <w:r w:rsidRPr="004C5271">
        <w:rPr>
          <w:rStyle w:val="FootnoteReference"/>
          <w:rFonts w:asciiTheme="majorBidi" w:hAnsiTheme="majorBidi" w:cstheme="majorBidi"/>
          <w:lang w:val="en-AU"/>
        </w:rPr>
        <w:footnoteReference w:id="435"/>
      </w:r>
      <w:r w:rsidRPr="004C5271">
        <w:rPr>
          <w:rFonts w:asciiTheme="majorBidi" w:hAnsiTheme="majorBidi" w:cstheme="majorBidi"/>
          <w:lang w:val="en-AU"/>
        </w:rPr>
        <w:t xml:space="preserve"> It is outside the scope of this review to consider this issue further, noting in particular the fact that the</w:t>
      </w:r>
      <w:r w:rsidRPr="004C5271">
        <w:rPr>
          <w:rFonts w:asciiTheme="majorBidi" w:hAnsiTheme="majorBidi" w:cstheme="majorBidi"/>
          <w:i/>
          <w:iCs/>
          <w:lang w:val="en-AU"/>
        </w:rPr>
        <w:t xml:space="preserve"> FLA</w:t>
      </w:r>
      <w:r w:rsidRPr="004C5271">
        <w:rPr>
          <w:rFonts w:asciiTheme="majorBidi" w:hAnsiTheme="majorBidi" w:cstheme="majorBidi"/>
          <w:lang w:val="en-AU"/>
        </w:rPr>
        <w:t xml:space="preserve"> is </w:t>
      </w:r>
      <w:r w:rsidR="00280000" w:rsidRPr="004C5271">
        <w:rPr>
          <w:rFonts w:asciiTheme="majorBidi" w:hAnsiTheme="majorBidi" w:cstheme="majorBidi"/>
          <w:lang w:val="en-AU"/>
        </w:rPr>
        <w:t>f</w:t>
      </w:r>
      <w:r w:rsidRPr="004C5271">
        <w:rPr>
          <w:rFonts w:asciiTheme="majorBidi" w:hAnsiTheme="majorBidi" w:cstheme="majorBidi"/>
          <w:lang w:val="en-AU"/>
        </w:rPr>
        <w:t xml:space="preserve">ederal legislation and not a matter </w:t>
      </w:r>
      <w:r w:rsidR="00F41560" w:rsidRPr="004C5271">
        <w:rPr>
          <w:rFonts w:asciiTheme="majorBidi" w:hAnsiTheme="majorBidi" w:cstheme="majorBidi"/>
          <w:lang w:val="en-AU"/>
        </w:rPr>
        <w:t>falling</w:t>
      </w:r>
      <w:r w:rsidRPr="004C5271">
        <w:rPr>
          <w:rFonts w:asciiTheme="majorBidi" w:hAnsiTheme="majorBidi" w:cstheme="majorBidi"/>
          <w:lang w:val="en-AU"/>
        </w:rPr>
        <w:t xml:space="preserve"> within the ambit of the Institute’s role. The Institute highlights </w:t>
      </w:r>
      <w:r w:rsidR="00F41560" w:rsidRPr="004C5271">
        <w:rPr>
          <w:rFonts w:asciiTheme="majorBidi" w:hAnsiTheme="majorBidi" w:cstheme="majorBidi"/>
          <w:lang w:val="en-AU"/>
        </w:rPr>
        <w:t>these matters</w:t>
      </w:r>
      <w:r w:rsidRPr="004C5271">
        <w:rPr>
          <w:rFonts w:asciiTheme="majorBidi" w:hAnsiTheme="majorBidi" w:cstheme="majorBidi"/>
          <w:lang w:val="en-AU"/>
        </w:rPr>
        <w:t xml:space="preserve">, however, to demonstrate that some jurisdictions </w:t>
      </w:r>
      <w:r w:rsidR="00F41560" w:rsidRPr="004C5271">
        <w:rPr>
          <w:rFonts w:asciiTheme="majorBidi" w:hAnsiTheme="majorBidi" w:cstheme="majorBidi"/>
          <w:lang w:val="en-AU"/>
        </w:rPr>
        <w:t xml:space="preserve">adopt different policy responses to resolve the issues raised in this Report. </w:t>
      </w:r>
    </w:p>
    <w:p w14:paraId="3C768035" w14:textId="790CE916" w:rsidR="00F4271B" w:rsidRPr="004C5271" w:rsidRDefault="00D36D0E" w:rsidP="00AE2B8C">
      <w:pPr>
        <w:pStyle w:val="Sub-HeadingTLRI"/>
      </w:pPr>
      <w:r w:rsidRPr="004C5271">
        <w:t>Inequitable access and utilisation of estate planning strategies</w:t>
      </w:r>
    </w:p>
    <w:p w14:paraId="12648345" w14:textId="39B2D9AB" w:rsidR="003A60D1" w:rsidRPr="004C5271" w:rsidRDefault="003A60D1" w:rsidP="00D36D0E">
      <w:pPr>
        <w:pStyle w:val="NormalNumberedTextTLRI"/>
        <w:rPr>
          <w:rFonts w:asciiTheme="majorBidi" w:hAnsiTheme="majorBidi" w:cstheme="majorBidi"/>
          <w:lang w:val="en-AU"/>
        </w:rPr>
      </w:pPr>
      <w:bookmarkStart w:id="201" w:name="_Ref13504433"/>
      <w:r w:rsidRPr="004C5271">
        <w:rPr>
          <w:rFonts w:asciiTheme="majorBidi" w:hAnsiTheme="majorBidi" w:cstheme="majorBidi"/>
          <w:lang w:val="en-AU"/>
        </w:rPr>
        <w:t xml:space="preserve">The joint submission of Christine Schokman, Dexter Marcenko and Michael Flanagan </w:t>
      </w:r>
      <w:r w:rsidR="00293825" w:rsidRPr="004C5271">
        <w:rPr>
          <w:rFonts w:asciiTheme="majorBidi" w:hAnsiTheme="majorBidi" w:cstheme="majorBidi"/>
          <w:lang w:val="en-AU"/>
        </w:rPr>
        <w:t>stated</w:t>
      </w:r>
      <w:r w:rsidRPr="004C5271">
        <w:rPr>
          <w:rFonts w:asciiTheme="majorBidi" w:hAnsiTheme="majorBidi" w:cstheme="majorBidi"/>
          <w:lang w:val="en-AU"/>
        </w:rPr>
        <w:t xml:space="preserve"> that</w:t>
      </w:r>
      <w:r w:rsidR="00293825" w:rsidRPr="004C5271">
        <w:rPr>
          <w:rFonts w:asciiTheme="majorBidi" w:hAnsiTheme="majorBidi" w:cstheme="majorBidi"/>
          <w:lang w:val="en-AU"/>
        </w:rPr>
        <w:t xml:space="preserve"> some</w:t>
      </w:r>
      <w:r w:rsidRPr="004C5271">
        <w:rPr>
          <w:rFonts w:asciiTheme="majorBidi" w:hAnsiTheme="majorBidi" w:cstheme="majorBidi"/>
          <w:lang w:val="en-AU"/>
        </w:rPr>
        <w:t xml:space="preserve"> individuals </w:t>
      </w:r>
      <w:r w:rsidR="00293825" w:rsidRPr="004C5271">
        <w:rPr>
          <w:rFonts w:asciiTheme="majorBidi" w:hAnsiTheme="majorBidi" w:cstheme="majorBidi"/>
          <w:lang w:val="en-AU"/>
        </w:rPr>
        <w:t>have</w:t>
      </w:r>
      <w:r w:rsidRPr="004C5271">
        <w:rPr>
          <w:rFonts w:asciiTheme="majorBidi" w:hAnsiTheme="majorBidi" w:cstheme="majorBidi"/>
          <w:lang w:val="en-AU"/>
        </w:rPr>
        <w:t xml:space="preserve"> unequal access to obtain and utilise estate planning advice and that this can lead to inequitable outcomes. </w:t>
      </w:r>
      <w:r w:rsidR="00EF47B1" w:rsidRPr="004C5271">
        <w:rPr>
          <w:rFonts w:asciiTheme="majorBidi" w:hAnsiTheme="majorBidi" w:cstheme="majorBidi"/>
          <w:lang w:val="en-AU"/>
        </w:rPr>
        <w:t>This</w:t>
      </w:r>
      <w:r w:rsidRPr="004C5271">
        <w:rPr>
          <w:rFonts w:asciiTheme="majorBidi" w:hAnsiTheme="majorBidi" w:cstheme="majorBidi"/>
          <w:lang w:val="en-AU"/>
        </w:rPr>
        <w:t xml:space="preserve"> can arise:</w:t>
      </w:r>
      <w:bookmarkEnd w:id="201"/>
    </w:p>
    <w:p w14:paraId="2AAE6F1F" w14:textId="374D7252" w:rsidR="003A60D1" w:rsidRPr="004C5271" w:rsidRDefault="003A60D1" w:rsidP="003A60D1">
      <w:pPr>
        <w:pStyle w:val="DotPointTLRI"/>
        <w:rPr>
          <w:rFonts w:asciiTheme="majorBidi" w:hAnsiTheme="majorBidi" w:cstheme="majorBidi"/>
          <w:lang w:val="en-AU"/>
        </w:rPr>
      </w:pPr>
      <w:r w:rsidRPr="004C5271">
        <w:rPr>
          <w:rFonts w:asciiTheme="majorBidi" w:hAnsiTheme="majorBidi" w:cstheme="majorBidi"/>
          <w:lang w:val="en-AU"/>
        </w:rPr>
        <w:t>for will</w:t>
      </w:r>
      <w:r w:rsidR="000B7F3C" w:rsidRPr="004C5271">
        <w:rPr>
          <w:rFonts w:asciiTheme="majorBidi" w:hAnsiTheme="majorBidi" w:cstheme="majorBidi"/>
          <w:lang w:val="en-AU"/>
        </w:rPr>
        <w:t>-</w:t>
      </w:r>
      <w:r w:rsidRPr="004C5271">
        <w:rPr>
          <w:rFonts w:asciiTheme="majorBidi" w:hAnsiTheme="majorBidi" w:cstheme="majorBidi"/>
          <w:lang w:val="en-AU"/>
        </w:rPr>
        <w:t xml:space="preserve">makers, as those unable to afford legal advice may not be able to obtain advice, or then </w:t>
      </w:r>
      <w:r w:rsidR="00293825" w:rsidRPr="004C5271">
        <w:rPr>
          <w:rFonts w:asciiTheme="majorBidi" w:hAnsiTheme="majorBidi" w:cstheme="majorBidi"/>
          <w:lang w:val="en-AU"/>
        </w:rPr>
        <w:t>implement</w:t>
      </w:r>
      <w:r w:rsidRPr="004C5271">
        <w:rPr>
          <w:rFonts w:asciiTheme="majorBidi" w:hAnsiTheme="majorBidi" w:cstheme="majorBidi"/>
          <w:lang w:val="en-AU"/>
        </w:rPr>
        <w:t xml:space="preserve"> recommend</w:t>
      </w:r>
      <w:r w:rsidR="00EF47B1" w:rsidRPr="004C5271">
        <w:rPr>
          <w:rFonts w:asciiTheme="majorBidi" w:hAnsiTheme="majorBidi" w:cstheme="majorBidi"/>
          <w:lang w:val="en-AU"/>
        </w:rPr>
        <w:t xml:space="preserve">ations </w:t>
      </w:r>
      <w:r w:rsidRPr="004C5271">
        <w:rPr>
          <w:rFonts w:asciiTheme="majorBidi" w:hAnsiTheme="majorBidi" w:cstheme="majorBidi"/>
          <w:lang w:val="en-AU"/>
        </w:rPr>
        <w:t xml:space="preserve">to structure their affairs to </w:t>
      </w:r>
      <w:r w:rsidR="00EF47B1" w:rsidRPr="004C5271">
        <w:rPr>
          <w:rFonts w:asciiTheme="majorBidi" w:hAnsiTheme="majorBidi" w:cstheme="majorBidi"/>
          <w:lang w:val="en-AU"/>
        </w:rPr>
        <w:t>minimise</w:t>
      </w:r>
      <w:r w:rsidRPr="004C5271">
        <w:rPr>
          <w:rFonts w:asciiTheme="majorBidi" w:hAnsiTheme="majorBidi" w:cstheme="majorBidi"/>
          <w:lang w:val="en-AU"/>
        </w:rPr>
        <w:t xml:space="preserve"> assets at risk; or</w:t>
      </w:r>
    </w:p>
    <w:p w14:paraId="752283FF" w14:textId="27D5E9C5" w:rsidR="003A60D1" w:rsidRPr="004C5271" w:rsidRDefault="003A60D1" w:rsidP="003A60D1">
      <w:pPr>
        <w:pStyle w:val="DotPointTLRI"/>
        <w:rPr>
          <w:rFonts w:asciiTheme="majorBidi" w:hAnsiTheme="majorBidi" w:cstheme="majorBidi"/>
          <w:lang w:val="en-AU"/>
        </w:rPr>
      </w:pPr>
      <w:r w:rsidRPr="004C5271">
        <w:rPr>
          <w:rFonts w:asciiTheme="majorBidi" w:hAnsiTheme="majorBidi" w:cstheme="majorBidi"/>
          <w:lang w:val="en-AU"/>
        </w:rPr>
        <w:t xml:space="preserve">for potential claimants, where </w:t>
      </w:r>
      <w:r w:rsidR="00EF47B1" w:rsidRPr="004C5271">
        <w:rPr>
          <w:rFonts w:asciiTheme="majorBidi" w:hAnsiTheme="majorBidi" w:cstheme="majorBidi"/>
          <w:lang w:val="en-AU"/>
        </w:rPr>
        <w:t>those</w:t>
      </w:r>
      <w:r w:rsidRPr="004C5271">
        <w:rPr>
          <w:rFonts w:asciiTheme="majorBidi" w:hAnsiTheme="majorBidi" w:cstheme="majorBidi"/>
          <w:lang w:val="en-AU"/>
        </w:rPr>
        <w:t xml:space="preserve"> in similar circumstances can </w:t>
      </w:r>
      <w:r w:rsidR="00EF47B1" w:rsidRPr="004C5271">
        <w:rPr>
          <w:rFonts w:asciiTheme="majorBidi" w:hAnsiTheme="majorBidi" w:cstheme="majorBidi"/>
          <w:lang w:val="en-AU"/>
        </w:rPr>
        <w:t>experience</w:t>
      </w:r>
      <w:r w:rsidRPr="004C5271">
        <w:rPr>
          <w:rFonts w:asciiTheme="majorBidi" w:hAnsiTheme="majorBidi" w:cstheme="majorBidi"/>
          <w:lang w:val="en-AU"/>
        </w:rPr>
        <w:t xml:space="preserve"> different </w:t>
      </w:r>
      <w:r w:rsidR="00EF47B1" w:rsidRPr="004C5271">
        <w:rPr>
          <w:rFonts w:asciiTheme="majorBidi" w:hAnsiTheme="majorBidi" w:cstheme="majorBidi"/>
          <w:lang w:val="en-AU"/>
        </w:rPr>
        <w:t>outcomes</w:t>
      </w:r>
      <w:r w:rsidRPr="004C5271">
        <w:rPr>
          <w:rFonts w:asciiTheme="majorBidi" w:hAnsiTheme="majorBidi" w:cstheme="majorBidi"/>
          <w:lang w:val="en-AU"/>
        </w:rPr>
        <w:t xml:space="preserve"> depending upon whether their parent or </w:t>
      </w:r>
      <w:r w:rsidRPr="004C5271">
        <w:rPr>
          <w:rFonts w:asciiTheme="majorBidi" w:hAnsiTheme="majorBidi" w:cstheme="majorBidi"/>
          <w:lang w:val="en-AU"/>
        </w:rPr>
        <w:lastRenderedPageBreak/>
        <w:t>spouse</w:t>
      </w:r>
      <w:r w:rsidR="00293825" w:rsidRPr="004C5271">
        <w:rPr>
          <w:rFonts w:asciiTheme="majorBidi" w:hAnsiTheme="majorBidi" w:cstheme="majorBidi"/>
          <w:lang w:val="en-AU"/>
        </w:rPr>
        <w:t xml:space="preserve"> sought advice and then</w:t>
      </w:r>
      <w:r w:rsidRPr="004C5271">
        <w:rPr>
          <w:rFonts w:asciiTheme="majorBidi" w:hAnsiTheme="majorBidi" w:cstheme="majorBidi"/>
          <w:lang w:val="en-AU"/>
        </w:rPr>
        <w:t xml:space="preserve"> structured their affairs to </w:t>
      </w:r>
      <w:r w:rsidR="00293825" w:rsidRPr="004C5271">
        <w:rPr>
          <w:rFonts w:asciiTheme="majorBidi" w:hAnsiTheme="majorBidi" w:cstheme="majorBidi"/>
          <w:lang w:val="en-AU"/>
        </w:rPr>
        <w:t>reduce the</w:t>
      </w:r>
      <w:r w:rsidRPr="004C5271">
        <w:rPr>
          <w:rFonts w:asciiTheme="majorBidi" w:hAnsiTheme="majorBidi" w:cstheme="majorBidi"/>
          <w:lang w:val="en-AU"/>
        </w:rPr>
        <w:t xml:space="preserve"> </w:t>
      </w:r>
      <w:r w:rsidR="00EF47B1" w:rsidRPr="004C5271">
        <w:rPr>
          <w:rFonts w:asciiTheme="majorBidi" w:hAnsiTheme="majorBidi" w:cstheme="majorBidi"/>
          <w:lang w:val="en-AU"/>
        </w:rPr>
        <w:t>assets within their estate</w:t>
      </w:r>
      <w:r w:rsidRPr="004C5271">
        <w:rPr>
          <w:rFonts w:asciiTheme="majorBidi" w:hAnsiTheme="majorBidi" w:cstheme="majorBidi"/>
          <w:lang w:val="en-AU"/>
        </w:rPr>
        <w:t>.</w:t>
      </w:r>
    </w:p>
    <w:p w14:paraId="69EBA0D7" w14:textId="00091FF9" w:rsidR="00214030" w:rsidRPr="004C5271" w:rsidRDefault="00090C65" w:rsidP="00EE5C30">
      <w:pPr>
        <w:pStyle w:val="NormalNumberedTextTLRI"/>
        <w:rPr>
          <w:rFonts w:asciiTheme="majorBidi" w:hAnsiTheme="majorBidi" w:cstheme="majorBidi"/>
          <w:lang w:val="en-AU"/>
        </w:rPr>
      </w:pPr>
      <w:bookmarkStart w:id="202" w:name="_Ref13302869"/>
      <w:r w:rsidRPr="004C5271">
        <w:rPr>
          <w:rFonts w:asciiTheme="majorBidi" w:hAnsiTheme="majorBidi" w:cstheme="majorBidi"/>
          <w:lang w:val="en-AU"/>
        </w:rPr>
        <w:t xml:space="preserve">It appears from the Institute’s consultation that many </w:t>
      </w:r>
      <w:r w:rsidR="00214030" w:rsidRPr="004C5271">
        <w:rPr>
          <w:rFonts w:asciiTheme="majorBidi" w:hAnsiTheme="majorBidi" w:cstheme="majorBidi"/>
          <w:lang w:val="en-AU"/>
        </w:rPr>
        <w:t xml:space="preserve">community </w:t>
      </w:r>
      <w:r w:rsidRPr="004C5271">
        <w:rPr>
          <w:rFonts w:asciiTheme="majorBidi" w:hAnsiTheme="majorBidi" w:cstheme="majorBidi"/>
          <w:lang w:val="en-AU"/>
        </w:rPr>
        <w:t xml:space="preserve">members </w:t>
      </w:r>
      <w:r w:rsidR="00214030" w:rsidRPr="004C5271">
        <w:rPr>
          <w:rFonts w:asciiTheme="majorBidi" w:hAnsiTheme="majorBidi" w:cstheme="majorBidi"/>
          <w:lang w:val="en-AU"/>
        </w:rPr>
        <w:t>are</w:t>
      </w:r>
      <w:r w:rsidRPr="004C5271">
        <w:rPr>
          <w:rFonts w:asciiTheme="majorBidi" w:hAnsiTheme="majorBidi" w:cstheme="majorBidi"/>
          <w:lang w:val="en-AU"/>
        </w:rPr>
        <w:t xml:space="preserve"> unaware of strategies that may be used to protect assets from challenge. For those </w:t>
      </w:r>
      <w:r w:rsidR="00293825" w:rsidRPr="004C5271">
        <w:rPr>
          <w:rFonts w:asciiTheme="majorBidi" w:hAnsiTheme="majorBidi" w:cstheme="majorBidi"/>
          <w:lang w:val="en-AU"/>
        </w:rPr>
        <w:t xml:space="preserve">aware, </w:t>
      </w:r>
      <w:r w:rsidR="00DD71F3" w:rsidRPr="004C5271">
        <w:rPr>
          <w:rFonts w:asciiTheme="majorBidi" w:hAnsiTheme="majorBidi" w:cstheme="majorBidi"/>
          <w:lang w:val="en-AU"/>
        </w:rPr>
        <w:t xml:space="preserve">obtaining advice can be </w:t>
      </w:r>
      <w:r w:rsidRPr="004C5271">
        <w:rPr>
          <w:rFonts w:asciiTheme="majorBidi" w:hAnsiTheme="majorBidi" w:cstheme="majorBidi"/>
          <w:lang w:val="en-AU"/>
        </w:rPr>
        <w:t xml:space="preserve">financially prohibitive </w:t>
      </w:r>
      <w:r w:rsidR="00DD71F3" w:rsidRPr="004C5271">
        <w:rPr>
          <w:rFonts w:asciiTheme="majorBidi" w:hAnsiTheme="majorBidi" w:cstheme="majorBidi"/>
          <w:lang w:val="en-AU"/>
        </w:rPr>
        <w:t>particularly for low-income earners. In some circumstances there may be other expenses incurred in structuring affairs to protect assets from challenge, notably capital gains tax or duty implications.</w:t>
      </w:r>
      <w:r w:rsidR="00E43403" w:rsidRPr="004C5271">
        <w:rPr>
          <w:rStyle w:val="FootnoteReference"/>
          <w:rFonts w:asciiTheme="majorBidi" w:hAnsiTheme="majorBidi" w:cstheme="majorBidi"/>
          <w:lang w:val="en-AU"/>
        </w:rPr>
        <w:footnoteReference w:id="436"/>
      </w:r>
      <w:r w:rsidR="00DD71F3" w:rsidRPr="004C5271">
        <w:rPr>
          <w:rFonts w:asciiTheme="majorBidi" w:hAnsiTheme="majorBidi" w:cstheme="majorBidi"/>
          <w:lang w:val="en-AU"/>
        </w:rPr>
        <w:t xml:space="preserve"> The result can be </w:t>
      </w:r>
      <w:r w:rsidR="00D75F33" w:rsidRPr="004C5271">
        <w:rPr>
          <w:rFonts w:asciiTheme="majorBidi" w:hAnsiTheme="majorBidi" w:cstheme="majorBidi"/>
          <w:lang w:val="en-AU"/>
        </w:rPr>
        <w:t>that</w:t>
      </w:r>
      <w:r w:rsidR="00DD71F3" w:rsidRPr="004C5271">
        <w:rPr>
          <w:rFonts w:asciiTheme="majorBidi" w:hAnsiTheme="majorBidi" w:cstheme="majorBidi"/>
          <w:lang w:val="en-AU"/>
        </w:rPr>
        <w:t xml:space="preserve"> wealthy individuals have greater access to obtain and rely upon estate planning advice than individuals in lower socio-economic groups.</w:t>
      </w:r>
      <w:r w:rsidR="00C650CC" w:rsidRPr="004C5271">
        <w:rPr>
          <w:rStyle w:val="FootnoteReference"/>
          <w:rFonts w:asciiTheme="majorBidi" w:hAnsiTheme="majorBidi" w:cstheme="majorBidi"/>
          <w:lang w:val="en-AU"/>
        </w:rPr>
        <w:footnoteReference w:id="437"/>
      </w:r>
      <w:r w:rsidR="00DD71F3" w:rsidRPr="004C5271">
        <w:rPr>
          <w:rFonts w:asciiTheme="majorBidi" w:hAnsiTheme="majorBidi" w:cstheme="majorBidi"/>
          <w:lang w:val="en-AU"/>
        </w:rPr>
        <w:t xml:space="preserve"> </w:t>
      </w:r>
      <w:r w:rsidR="00ED68CE" w:rsidRPr="004C5271">
        <w:rPr>
          <w:rFonts w:asciiTheme="majorBidi" w:hAnsiTheme="majorBidi" w:cstheme="majorBidi"/>
          <w:lang w:val="en-AU"/>
        </w:rPr>
        <w:t xml:space="preserve">Christine Schokman, Dexter Marcenko and Michael Flanagan demonstrated this </w:t>
      </w:r>
      <w:r w:rsidR="00D75F33" w:rsidRPr="004C5271">
        <w:rPr>
          <w:rFonts w:asciiTheme="majorBidi" w:hAnsiTheme="majorBidi" w:cstheme="majorBidi"/>
          <w:lang w:val="en-AU"/>
        </w:rPr>
        <w:t xml:space="preserve">problem </w:t>
      </w:r>
      <w:r w:rsidR="00ED68CE" w:rsidRPr="004C5271">
        <w:rPr>
          <w:rFonts w:asciiTheme="majorBidi" w:hAnsiTheme="majorBidi" w:cstheme="majorBidi"/>
          <w:lang w:val="en-AU"/>
        </w:rPr>
        <w:t>using the following example they had encountered:</w:t>
      </w:r>
      <w:bookmarkEnd w:id="202"/>
    </w:p>
    <w:p w14:paraId="2A1F31F3" w14:textId="5C4FE379" w:rsidR="00ED68CE" w:rsidRPr="004C5271" w:rsidRDefault="00ED68CE" w:rsidP="00F53E07">
      <w:pPr>
        <w:pStyle w:val="QuoteTLRI"/>
        <w:rPr>
          <w:rFonts w:asciiTheme="majorBidi" w:hAnsiTheme="majorBidi" w:cstheme="majorBidi"/>
        </w:rPr>
      </w:pPr>
      <w:r w:rsidRPr="004C5271">
        <w:rPr>
          <w:rFonts w:asciiTheme="majorBidi" w:hAnsiTheme="majorBidi" w:cstheme="majorBidi"/>
        </w:rPr>
        <w:t>Another recent example involved a testator who, just one year prior to his death, held an estate which would have been conservatively valued in excess of $12 million. He had one estranged son who, unlike the other children, was of illegitimate birth. The illegitimate son was raised with his half-siblings who were each the issue of a marriage. Our client instructed that he had been abused since infancy because of his bastardry and his father</w:t>
      </w:r>
      <w:r w:rsidR="00A7025F" w:rsidRPr="004C5271">
        <w:rPr>
          <w:rFonts w:asciiTheme="majorBidi" w:hAnsiTheme="majorBidi" w:cstheme="majorBidi"/>
        </w:rPr>
        <w:t>’</w:t>
      </w:r>
      <w:r w:rsidRPr="004C5271">
        <w:rPr>
          <w:rFonts w:asciiTheme="majorBidi" w:hAnsiTheme="majorBidi" w:cstheme="majorBidi"/>
        </w:rPr>
        <w:t xml:space="preserve">s shame. </w:t>
      </w:r>
    </w:p>
    <w:p w14:paraId="09CBF493" w14:textId="62F2F747" w:rsidR="00ED68CE" w:rsidRPr="004C5271" w:rsidRDefault="00ED68CE" w:rsidP="00F53E07">
      <w:pPr>
        <w:pStyle w:val="QuoteTLRI"/>
        <w:rPr>
          <w:rFonts w:asciiTheme="majorBidi" w:hAnsiTheme="majorBidi" w:cstheme="majorBidi"/>
        </w:rPr>
      </w:pPr>
      <w:r w:rsidRPr="004C5271">
        <w:rPr>
          <w:rFonts w:asciiTheme="majorBidi" w:hAnsiTheme="majorBidi" w:cstheme="majorBidi"/>
        </w:rPr>
        <w:t>The testator almost completely divested himself of his assets in the twelve months prior to his death. Our searches revealed that even in the 48 hours prior to his death the testator and his other children engaged in major share transfers.</w:t>
      </w:r>
    </w:p>
    <w:p w14:paraId="70724ED7" w14:textId="1A9C14C3" w:rsidR="00ED68CE" w:rsidRPr="004C5271" w:rsidRDefault="00ED68CE" w:rsidP="00F53E07">
      <w:pPr>
        <w:pStyle w:val="QuoteTLRI"/>
        <w:rPr>
          <w:rFonts w:asciiTheme="majorBidi" w:hAnsiTheme="majorBidi" w:cstheme="majorBidi"/>
        </w:rPr>
      </w:pPr>
      <w:r w:rsidRPr="004C5271">
        <w:rPr>
          <w:rFonts w:asciiTheme="majorBidi" w:hAnsiTheme="majorBidi" w:cstheme="majorBidi"/>
        </w:rPr>
        <w:t>There was no mystery as to his motivations for the inter vivos transactions. However, given that our client could not challenge the validity of those transactions, we conducted TFM proceedings on the basis that the estate was valued at approximately $150,000. He settled his TFM claim for a sum of approximately 1% of the value of his siblings</w:t>
      </w:r>
      <w:r w:rsidR="00A7025F" w:rsidRPr="004C5271">
        <w:rPr>
          <w:rFonts w:asciiTheme="majorBidi" w:hAnsiTheme="majorBidi" w:cstheme="majorBidi"/>
        </w:rPr>
        <w:t>’</w:t>
      </w:r>
      <w:r w:rsidRPr="004C5271">
        <w:rPr>
          <w:rFonts w:asciiTheme="majorBidi" w:hAnsiTheme="majorBidi" w:cstheme="majorBidi"/>
        </w:rPr>
        <w:t xml:space="preserve"> collective inter vivos inheritances. Our client </w:t>
      </w:r>
      <w:r w:rsidRPr="004C5271">
        <w:rPr>
          <w:rFonts w:asciiTheme="majorBidi" w:hAnsiTheme="majorBidi" w:cstheme="majorBidi"/>
        </w:rPr>
        <w:lastRenderedPageBreak/>
        <w:t>was living on a disability support pension and had five dependent children. Notwithstanding his estrangement, he had a strong moral claim against the depleted estate.</w:t>
      </w:r>
    </w:p>
    <w:p w14:paraId="6C478B15" w14:textId="77777777" w:rsidR="00ED68CE" w:rsidRPr="004C5271" w:rsidRDefault="00ED68CE" w:rsidP="00A7025F">
      <w:pPr>
        <w:pStyle w:val="QuoteTLRI"/>
        <w:rPr>
          <w:rFonts w:asciiTheme="majorBidi" w:hAnsiTheme="majorBidi" w:cstheme="majorBidi"/>
        </w:rPr>
      </w:pPr>
      <w:r w:rsidRPr="004C5271">
        <w:rPr>
          <w:rFonts w:asciiTheme="majorBidi" w:hAnsiTheme="majorBidi" w:cstheme="majorBidi"/>
        </w:rPr>
        <w:t>The lesson of this second example is that, quite often, it is the wealthiest of testators who have the means and the motive to engage commercial solicitors to protect their estates from applications under the Act.</w:t>
      </w:r>
    </w:p>
    <w:p w14:paraId="5FD78EBC" w14:textId="588DF0A8" w:rsidR="00ED1BF1" w:rsidRPr="004C5271" w:rsidRDefault="00337D53" w:rsidP="000E5E1A">
      <w:pPr>
        <w:pStyle w:val="NormalNumberedTextTLRI"/>
        <w:rPr>
          <w:rFonts w:asciiTheme="majorBidi" w:hAnsiTheme="majorBidi" w:cstheme="majorBidi"/>
          <w:lang w:val="en-AU"/>
        </w:rPr>
      </w:pPr>
      <w:r w:rsidRPr="004C5271">
        <w:rPr>
          <w:rFonts w:asciiTheme="majorBidi" w:hAnsiTheme="majorBidi" w:cstheme="majorBidi"/>
          <w:lang w:val="en-AU"/>
        </w:rPr>
        <w:t xml:space="preserve">As this </w:t>
      </w:r>
      <w:r w:rsidR="00E36671" w:rsidRPr="004C5271">
        <w:rPr>
          <w:rFonts w:asciiTheme="majorBidi" w:hAnsiTheme="majorBidi" w:cstheme="majorBidi"/>
          <w:lang w:val="en-AU"/>
        </w:rPr>
        <w:t>scenario</w:t>
      </w:r>
      <w:r w:rsidRPr="004C5271">
        <w:rPr>
          <w:rFonts w:asciiTheme="majorBidi" w:hAnsiTheme="majorBidi" w:cstheme="majorBidi"/>
          <w:lang w:val="en-AU"/>
        </w:rPr>
        <w:t xml:space="preserve"> demonstrates, p</w:t>
      </w:r>
      <w:r w:rsidR="00DD71F3" w:rsidRPr="004C5271">
        <w:rPr>
          <w:rFonts w:asciiTheme="majorBidi" w:hAnsiTheme="majorBidi" w:cstheme="majorBidi"/>
          <w:lang w:val="en-AU"/>
        </w:rPr>
        <w:t xml:space="preserve">otential claimants </w:t>
      </w:r>
      <w:r w:rsidR="00214030" w:rsidRPr="004C5271">
        <w:rPr>
          <w:rFonts w:asciiTheme="majorBidi" w:hAnsiTheme="majorBidi" w:cstheme="majorBidi"/>
          <w:lang w:val="en-AU"/>
        </w:rPr>
        <w:t>may</w:t>
      </w:r>
      <w:r w:rsidR="00F26FE6" w:rsidRPr="004C5271">
        <w:rPr>
          <w:rFonts w:asciiTheme="majorBidi" w:hAnsiTheme="majorBidi" w:cstheme="majorBidi"/>
          <w:lang w:val="en-AU"/>
        </w:rPr>
        <w:t xml:space="preserve"> have almost identical circumstances but </w:t>
      </w:r>
      <w:r w:rsidR="000916F6" w:rsidRPr="004C5271">
        <w:rPr>
          <w:rFonts w:asciiTheme="majorBidi" w:hAnsiTheme="majorBidi" w:cstheme="majorBidi"/>
          <w:lang w:val="en-AU"/>
        </w:rPr>
        <w:t xml:space="preserve">experience different outcomes depending upon whether their family member structured their affairs to remove assets from challenge. To provide an example, two daughters may </w:t>
      </w:r>
      <w:r w:rsidR="00EF47B1" w:rsidRPr="004C5271">
        <w:rPr>
          <w:rFonts w:asciiTheme="majorBidi" w:hAnsiTheme="majorBidi" w:cstheme="majorBidi"/>
          <w:lang w:val="en-AU"/>
        </w:rPr>
        <w:t xml:space="preserve">not receive anything from their </w:t>
      </w:r>
      <w:r w:rsidR="006479DE" w:rsidRPr="004C5271">
        <w:rPr>
          <w:rFonts w:asciiTheme="majorBidi" w:hAnsiTheme="majorBidi" w:cstheme="majorBidi"/>
          <w:lang w:val="en-AU"/>
        </w:rPr>
        <w:t xml:space="preserve">respective </w:t>
      </w:r>
      <w:r w:rsidR="00EF47B1" w:rsidRPr="004C5271">
        <w:rPr>
          <w:rFonts w:asciiTheme="majorBidi" w:hAnsiTheme="majorBidi" w:cstheme="majorBidi"/>
          <w:lang w:val="en-AU"/>
        </w:rPr>
        <w:t xml:space="preserve">mother’s estate whilst being </w:t>
      </w:r>
      <w:r w:rsidR="000916F6" w:rsidRPr="004C5271">
        <w:rPr>
          <w:rFonts w:asciiTheme="majorBidi" w:hAnsiTheme="majorBidi" w:cstheme="majorBidi"/>
          <w:lang w:val="en-AU"/>
        </w:rPr>
        <w:t xml:space="preserve">in significant financial need, reliant upon </w:t>
      </w:r>
      <w:r w:rsidR="006479DE" w:rsidRPr="004C5271">
        <w:rPr>
          <w:rFonts w:asciiTheme="majorBidi" w:hAnsiTheme="majorBidi" w:cstheme="majorBidi"/>
          <w:lang w:val="en-AU"/>
        </w:rPr>
        <w:t>g</w:t>
      </w:r>
      <w:r w:rsidR="000916F6" w:rsidRPr="004C5271">
        <w:rPr>
          <w:rFonts w:asciiTheme="majorBidi" w:hAnsiTheme="majorBidi" w:cstheme="majorBidi"/>
          <w:lang w:val="en-AU"/>
        </w:rPr>
        <w:t xml:space="preserve">overnment pensions and </w:t>
      </w:r>
      <w:r w:rsidR="00EF47B1" w:rsidRPr="004C5271">
        <w:rPr>
          <w:rFonts w:asciiTheme="majorBidi" w:hAnsiTheme="majorBidi" w:cstheme="majorBidi"/>
          <w:lang w:val="en-AU"/>
        </w:rPr>
        <w:t>un</w:t>
      </w:r>
      <w:r w:rsidR="000916F6" w:rsidRPr="004C5271">
        <w:rPr>
          <w:rFonts w:asciiTheme="majorBidi" w:hAnsiTheme="majorBidi" w:cstheme="majorBidi"/>
          <w:lang w:val="en-AU"/>
        </w:rPr>
        <w:t xml:space="preserve">likely to be able to work in the future. </w:t>
      </w:r>
      <w:r w:rsidR="00027493" w:rsidRPr="004C5271">
        <w:rPr>
          <w:rFonts w:asciiTheme="majorBidi" w:hAnsiTheme="majorBidi" w:cstheme="majorBidi"/>
          <w:lang w:val="en-AU"/>
        </w:rPr>
        <w:t xml:space="preserve">In one case, the mother obtains advice and transfers ownership of her house to joint tenancy and transfers her term deposits to joint accounts. The other mother does not, so that at her death her estate includes her home and term deposits. The first daughter is prevented from pursuing a family provision claim because there is no estate to claim. The second daughter is able to pursue a claim as there are assets </w:t>
      </w:r>
      <w:r w:rsidR="0049302D" w:rsidRPr="004C5271">
        <w:rPr>
          <w:rFonts w:asciiTheme="majorBidi" w:hAnsiTheme="majorBidi" w:cstheme="majorBidi"/>
          <w:lang w:val="en-AU"/>
        </w:rPr>
        <w:t xml:space="preserve">available </w:t>
      </w:r>
      <w:r w:rsidR="00027493" w:rsidRPr="004C5271">
        <w:rPr>
          <w:rFonts w:asciiTheme="majorBidi" w:hAnsiTheme="majorBidi" w:cstheme="majorBidi"/>
          <w:lang w:val="en-AU"/>
        </w:rPr>
        <w:t xml:space="preserve">in </w:t>
      </w:r>
      <w:r w:rsidR="00EF47B1" w:rsidRPr="004C5271">
        <w:rPr>
          <w:rFonts w:asciiTheme="majorBidi" w:hAnsiTheme="majorBidi" w:cstheme="majorBidi"/>
          <w:lang w:val="en-AU"/>
        </w:rPr>
        <w:t>her</w:t>
      </w:r>
      <w:r w:rsidR="00D75F33" w:rsidRPr="004C5271">
        <w:rPr>
          <w:rFonts w:asciiTheme="majorBidi" w:hAnsiTheme="majorBidi" w:cstheme="majorBidi"/>
          <w:lang w:val="en-AU"/>
        </w:rPr>
        <w:t xml:space="preserve"> mother’s</w:t>
      </w:r>
      <w:r w:rsidR="00027493" w:rsidRPr="004C5271">
        <w:rPr>
          <w:rFonts w:asciiTheme="majorBidi" w:hAnsiTheme="majorBidi" w:cstheme="majorBidi"/>
          <w:lang w:val="en-AU"/>
        </w:rPr>
        <w:t xml:space="preserve"> estate. It might be that the second daughter’s claim</w:t>
      </w:r>
      <w:r w:rsidR="00C40905" w:rsidRPr="004C5271">
        <w:rPr>
          <w:rFonts w:asciiTheme="majorBidi" w:hAnsiTheme="majorBidi" w:cstheme="majorBidi"/>
          <w:lang w:val="en-AU"/>
        </w:rPr>
        <w:t xml:space="preserve"> is ultimately unsuccessful. </w:t>
      </w:r>
      <w:r w:rsidR="00E36671" w:rsidRPr="004C5271">
        <w:rPr>
          <w:rFonts w:asciiTheme="majorBidi" w:hAnsiTheme="majorBidi" w:cstheme="majorBidi"/>
          <w:lang w:val="en-AU"/>
        </w:rPr>
        <w:t>It illustrates</w:t>
      </w:r>
      <w:r w:rsidR="00C40905" w:rsidRPr="004C5271">
        <w:rPr>
          <w:rFonts w:asciiTheme="majorBidi" w:hAnsiTheme="majorBidi" w:cstheme="majorBidi"/>
          <w:lang w:val="en-AU"/>
        </w:rPr>
        <w:t xml:space="preserve">, however, the fact that one daughter </w:t>
      </w:r>
      <w:r w:rsidR="00D75F33" w:rsidRPr="004C5271">
        <w:rPr>
          <w:rFonts w:asciiTheme="majorBidi" w:hAnsiTheme="majorBidi" w:cstheme="majorBidi"/>
          <w:lang w:val="en-AU"/>
        </w:rPr>
        <w:t>may</w:t>
      </w:r>
      <w:r w:rsidR="00C40905" w:rsidRPr="004C5271">
        <w:rPr>
          <w:rFonts w:asciiTheme="majorBidi" w:hAnsiTheme="majorBidi" w:cstheme="majorBidi"/>
          <w:lang w:val="en-AU"/>
        </w:rPr>
        <w:t xml:space="preserve"> pursue </w:t>
      </w:r>
      <w:r w:rsidR="00D75F33" w:rsidRPr="004C5271">
        <w:rPr>
          <w:rFonts w:asciiTheme="majorBidi" w:hAnsiTheme="majorBidi" w:cstheme="majorBidi"/>
          <w:lang w:val="en-AU"/>
        </w:rPr>
        <w:t xml:space="preserve">an ultimately successful </w:t>
      </w:r>
      <w:r w:rsidR="00C40905" w:rsidRPr="004C5271">
        <w:rPr>
          <w:rFonts w:asciiTheme="majorBidi" w:hAnsiTheme="majorBidi" w:cstheme="majorBidi"/>
          <w:lang w:val="en-AU"/>
        </w:rPr>
        <w:t xml:space="preserve">claim for further provision whilst the other daughter, in almost identical circumstances, </w:t>
      </w:r>
      <w:r w:rsidR="00734085" w:rsidRPr="004C5271">
        <w:rPr>
          <w:rFonts w:asciiTheme="majorBidi" w:hAnsiTheme="majorBidi" w:cstheme="majorBidi"/>
          <w:lang w:val="en-AU"/>
        </w:rPr>
        <w:t>is unable</w:t>
      </w:r>
      <w:r w:rsidR="00C40905" w:rsidRPr="004C5271">
        <w:rPr>
          <w:rFonts w:asciiTheme="majorBidi" w:hAnsiTheme="majorBidi" w:cstheme="majorBidi"/>
          <w:lang w:val="en-AU"/>
        </w:rPr>
        <w:t xml:space="preserve"> to</w:t>
      </w:r>
      <w:r w:rsidR="00D75F33" w:rsidRPr="004C5271">
        <w:rPr>
          <w:rFonts w:asciiTheme="majorBidi" w:hAnsiTheme="majorBidi" w:cstheme="majorBidi"/>
          <w:lang w:val="en-AU"/>
        </w:rPr>
        <w:t xml:space="preserve"> do so</w:t>
      </w:r>
      <w:r w:rsidR="00857D74" w:rsidRPr="004C5271">
        <w:rPr>
          <w:rFonts w:asciiTheme="majorBidi" w:hAnsiTheme="majorBidi" w:cstheme="majorBidi"/>
          <w:lang w:val="en-AU"/>
        </w:rPr>
        <w:t>.</w:t>
      </w:r>
      <w:r w:rsidR="00D75F33" w:rsidRPr="004C5271">
        <w:rPr>
          <w:rFonts w:asciiTheme="majorBidi" w:hAnsiTheme="majorBidi" w:cstheme="majorBidi"/>
          <w:lang w:val="en-AU"/>
        </w:rPr>
        <w:t xml:space="preserve"> This results in a breach of the fundamental human rights principle that all people should be equal before the law.</w:t>
      </w:r>
      <w:r w:rsidR="00045F49" w:rsidRPr="004C5271">
        <w:rPr>
          <w:rFonts w:asciiTheme="majorBidi" w:hAnsiTheme="majorBidi" w:cstheme="majorBidi"/>
          <w:lang w:val="en-AU"/>
        </w:rPr>
        <w:t xml:space="preserve"> </w:t>
      </w:r>
      <w:r w:rsidR="000E0A3E" w:rsidRPr="004C5271">
        <w:rPr>
          <w:rFonts w:asciiTheme="majorBidi" w:hAnsiTheme="majorBidi" w:cstheme="majorBidi"/>
          <w:lang w:val="en-AU"/>
        </w:rPr>
        <w:t xml:space="preserve">On the other hand, </w:t>
      </w:r>
      <w:r w:rsidR="00ED1BF1" w:rsidRPr="004C5271">
        <w:rPr>
          <w:rFonts w:asciiTheme="majorBidi" w:hAnsiTheme="majorBidi" w:cstheme="majorBidi"/>
          <w:lang w:val="en-AU"/>
        </w:rPr>
        <w:t xml:space="preserve">the </w:t>
      </w:r>
      <w:r w:rsidR="00ED1BF1" w:rsidRPr="004C5271">
        <w:rPr>
          <w:rFonts w:asciiTheme="majorBidi" w:hAnsiTheme="majorBidi" w:cstheme="majorBidi"/>
          <w:i/>
          <w:iCs/>
          <w:lang w:val="en-AU"/>
        </w:rPr>
        <w:t>TFM Act</w:t>
      </w:r>
      <w:r w:rsidR="00ED1BF1" w:rsidRPr="004C5271">
        <w:rPr>
          <w:rFonts w:asciiTheme="majorBidi" w:hAnsiTheme="majorBidi" w:cstheme="majorBidi"/>
          <w:lang w:val="en-AU"/>
        </w:rPr>
        <w:t xml:space="preserve"> already treats individuals differently by limiting the classes of applicants able to apply for provision. Similarly, individuals in financial need can encounter different outcomes because, for example, one might have a parent who is wealthy whilst another’s parent does not have any assets of substance able to be claimed irrespective of the availability of notional estate legislation. </w:t>
      </w:r>
      <w:r w:rsidR="00E36671" w:rsidRPr="004C5271">
        <w:rPr>
          <w:rFonts w:asciiTheme="majorBidi" w:hAnsiTheme="majorBidi" w:cstheme="majorBidi"/>
          <w:lang w:val="en-AU"/>
        </w:rPr>
        <w:t>It is thus more an example of people coming to the law from unequal positions rather than the law creating unequal outcomes.</w:t>
      </w:r>
    </w:p>
    <w:p w14:paraId="150D5E72" w14:textId="78F0CA06" w:rsidR="00DD71F3" w:rsidRPr="004C5271" w:rsidRDefault="00E36671" w:rsidP="000E5E1A">
      <w:pPr>
        <w:pStyle w:val="NormalNumberedTextTLRI"/>
        <w:rPr>
          <w:rFonts w:asciiTheme="majorBidi" w:hAnsiTheme="majorBidi" w:cstheme="majorBidi"/>
          <w:lang w:val="en-AU"/>
        </w:rPr>
      </w:pPr>
      <w:r w:rsidRPr="004C5271">
        <w:rPr>
          <w:rFonts w:asciiTheme="majorBidi" w:hAnsiTheme="majorBidi" w:cstheme="majorBidi"/>
          <w:lang w:val="en-AU"/>
        </w:rPr>
        <w:lastRenderedPageBreak/>
        <w:t>B</w:t>
      </w:r>
      <w:r w:rsidR="000E0A3E" w:rsidRPr="004C5271">
        <w:rPr>
          <w:rFonts w:asciiTheme="majorBidi" w:hAnsiTheme="majorBidi" w:cstheme="majorBidi"/>
          <w:lang w:val="en-AU"/>
        </w:rPr>
        <w:t xml:space="preserve">alanced with individuals’ rights to be treated equally before the law </w:t>
      </w:r>
      <w:r w:rsidR="00914EC4" w:rsidRPr="004C5271">
        <w:rPr>
          <w:rFonts w:asciiTheme="majorBidi" w:hAnsiTheme="majorBidi" w:cstheme="majorBidi"/>
          <w:lang w:val="en-AU"/>
        </w:rPr>
        <w:t xml:space="preserve">is the </w:t>
      </w:r>
      <w:r w:rsidR="00045F49" w:rsidRPr="004C5271">
        <w:rPr>
          <w:rFonts w:asciiTheme="majorBidi" w:hAnsiTheme="majorBidi" w:cstheme="majorBidi"/>
          <w:lang w:val="en-AU"/>
        </w:rPr>
        <w:t xml:space="preserve">competing </w:t>
      </w:r>
      <w:r w:rsidR="00914EC4" w:rsidRPr="004C5271">
        <w:rPr>
          <w:rFonts w:asciiTheme="majorBidi" w:hAnsiTheme="majorBidi" w:cstheme="majorBidi"/>
          <w:lang w:val="en-AU"/>
        </w:rPr>
        <w:t xml:space="preserve">common law </w:t>
      </w:r>
      <w:r w:rsidR="00045F49" w:rsidRPr="004C5271">
        <w:rPr>
          <w:rFonts w:asciiTheme="majorBidi" w:hAnsiTheme="majorBidi" w:cstheme="majorBidi"/>
          <w:lang w:val="en-AU"/>
        </w:rPr>
        <w:t>right to the use and enjoyment of property.</w:t>
      </w:r>
      <w:r w:rsidR="004D0982" w:rsidRPr="004C5271">
        <w:rPr>
          <w:rStyle w:val="FootnoteReference"/>
          <w:rFonts w:asciiTheme="majorBidi" w:hAnsiTheme="majorBidi" w:cstheme="majorBidi"/>
          <w:lang w:val="en-AU"/>
        </w:rPr>
        <w:footnoteReference w:id="438"/>
      </w:r>
      <w:r w:rsidR="00045F49" w:rsidRPr="004C5271">
        <w:rPr>
          <w:rFonts w:asciiTheme="majorBidi" w:hAnsiTheme="majorBidi" w:cstheme="majorBidi"/>
          <w:lang w:val="en-AU"/>
        </w:rPr>
        <w:t xml:space="preserve"> This right applies not only to will</w:t>
      </w:r>
      <w:r w:rsidR="000B7F3C" w:rsidRPr="004C5271">
        <w:rPr>
          <w:rFonts w:asciiTheme="majorBidi" w:hAnsiTheme="majorBidi" w:cstheme="majorBidi"/>
          <w:lang w:val="en-AU"/>
        </w:rPr>
        <w:t>-</w:t>
      </w:r>
      <w:r w:rsidR="00045F49" w:rsidRPr="004C5271">
        <w:rPr>
          <w:rFonts w:asciiTheme="majorBidi" w:hAnsiTheme="majorBidi" w:cstheme="majorBidi"/>
          <w:lang w:val="en-AU"/>
        </w:rPr>
        <w:t xml:space="preserve">makers who may wish to make gifts of their assets during their lifetime, but also recipients of assets who may be deprived </w:t>
      </w:r>
      <w:r w:rsidR="004D0982" w:rsidRPr="004C5271">
        <w:rPr>
          <w:rFonts w:asciiTheme="majorBidi" w:hAnsiTheme="majorBidi" w:cstheme="majorBidi"/>
          <w:lang w:val="en-AU"/>
        </w:rPr>
        <w:t>of the right to enjoy their property.</w:t>
      </w:r>
      <w:r w:rsidR="004D0982" w:rsidRPr="004C5271">
        <w:rPr>
          <w:rStyle w:val="FootnoteReference"/>
          <w:rFonts w:asciiTheme="majorBidi" w:hAnsiTheme="majorBidi" w:cstheme="majorBidi"/>
          <w:lang w:val="en-AU"/>
        </w:rPr>
        <w:footnoteReference w:id="439"/>
      </w:r>
      <w:r w:rsidR="00E41CD3" w:rsidRPr="004C5271">
        <w:rPr>
          <w:rFonts w:asciiTheme="majorBidi" w:hAnsiTheme="majorBidi" w:cstheme="majorBidi"/>
          <w:lang w:val="en-AU"/>
        </w:rPr>
        <w:t xml:space="preserve"> This factor was discussed further at [</w:t>
      </w:r>
      <w:r w:rsidR="006479DE" w:rsidRPr="004C5271">
        <w:rPr>
          <w:rFonts w:asciiTheme="majorBidi" w:hAnsiTheme="majorBidi" w:cstheme="majorBidi"/>
          <w:lang w:val="en-AU"/>
        </w:rPr>
        <w:fldChar w:fldCharType="begin"/>
      </w:r>
      <w:r w:rsidR="006479DE" w:rsidRPr="004C5271">
        <w:rPr>
          <w:rFonts w:asciiTheme="majorBidi" w:hAnsiTheme="majorBidi" w:cstheme="majorBidi"/>
          <w:lang w:val="en-AU"/>
        </w:rPr>
        <w:instrText xml:space="preserve"> REF _Ref13490724 \r \h </w:instrText>
      </w:r>
      <w:r w:rsidR="004C5271">
        <w:rPr>
          <w:rFonts w:asciiTheme="majorBidi" w:hAnsiTheme="majorBidi" w:cstheme="majorBidi"/>
          <w:lang w:val="en-AU"/>
        </w:rPr>
        <w:instrText xml:space="preserve"> \* MERGEFORMAT </w:instrText>
      </w:r>
      <w:r w:rsidR="006479DE" w:rsidRPr="004C5271">
        <w:rPr>
          <w:rFonts w:asciiTheme="majorBidi" w:hAnsiTheme="majorBidi" w:cstheme="majorBidi"/>
          <w:lang w:val="en-AU"/>
        </w:rPr>
      </w:r>
      <w:r w:rsidR="006479DE"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5.5.11</w:t>
      </w:r>
      <w:r w:rsidR="006479DE" w:rsidRPr="004C5271">
        <w:rPr>
          <w:rFonts w:asciiTheme="majorBidi" w:hAnsiTheme="majorBidi" w:cstheme="majorBidi"/>
          <w:lang w:val="en-AU"/>
        </w:rPr>
        <w:fldChar w:fldCharType="end"/>
      </w:r>
      <w:r w:rsidR="00E41CD3" w:rsidRPr="004C5271">
        <w:rPr>
          <w:rFonts w:asciiTheme="majorBidi" w:hAnsiTheme="majorBidi" w:cstheme="majorBidi"/>
          <w:lang w:val="en-AU"/>
        </w:rPr>
        <w:t>].</w:t>
      </w:r>
    </w:p>
    <w:p w14:paraId="3CC277FD" w14:textId="542FA468" w:rsidR="00734085" w:rsidRPr="004C5271" w:rsidRDefault="00337D53" w:rsidP="00734085">
      <w:pPr>
        <w:pStyle w:val="NormalNumberedTextTLRI"/>
        <w:rPr>
          <w:rFonts w:asciiTheme="majorBidi" w:hAnsiTheme="majorBidi" w:cstheme="majorBidi"/>
          <w:lang w:val="en-AU"/>
        </w:rPr>
      </w:pPr>
      <w:bookmarkStart w:id="203" w:name="_Ref13503642"/>
      <w:r w:rsidRPr="004C5271">
        <w:rPr>
          <w:rFonts w:asciiTheme="majorBidi" w:hAnsiTheme="majorBidi" w:cstheme="majorBidi"/>
          <w:lang w:val="en-AU"/>
        </w:rPr>
        <w:t>Christine Schokman, Dexter Marcenko and Michael Flanagan made the point that s</w:t>
      </w:r>
      <w:r w:rsidR="0049302D" w:rsidRPr="004C5271">
        <w:rPr>
          <w:rFonts w:asciiTheme="majorBidi" w:hAnsiTheme="majorBidi" w:cstheme="majorBidi"/>
          <w:lang w:val="en-AU"/>
        </w:rPr>
        <w:t xml:space="preserve">ometimes unequal outcomes can occur without it being the deceased’s intention. Individuals purchasing properties jointly may not appreciate </w:t>
      </w:r>
      <w:r w:rsidR="00CD3AB9" w:rsidRPr="004C5271">
        <w:rPr>
          <w:rFonts w:asciiTheme="majorBidi" w:hAnsiTheme="majorBidi" w:cstheme="majorBidi"/>
          <w:lang w:val="en-AU"/>
        </w:rPr>
        <w:t xml:space="preserve">the different consequences </w:t>
      </w:r>
      <w:r w:rsidR="00E51ADD" w:rsidRPr="004C5271">
        <w:rPr>
          <w:rFonts w:asciiTheme="majorBidi" w:hAnsiTheme="majorBidi" w:cstheme="majorBidi"/>
          <w:lang w:val="en-AU"/>
        </w:rPr>
        <w:t>between</w:t>
      </w:r>
      <w:r w:rsidR="00CD3AB9" w:rsidRPr="004C5271">
        <w:rPr>
          <w:rFonts w:asciiTheme="majorBidi" w:hAnsiTheme="majorBidi" w:cstheme="majorBidi"/>
          <w:lang w:val="en-AU"/>
        </w:rPr>
        <w:t xml:space="preserve"> joint tenancy or tenancy in common ownership.</w:t>
      </w:r>
      <w:r w:rsidR="005E0DEA" w:rsidRPr="004C5271">
        <w:rPr>
          <w:rStyle w:val="FootnoteReference"/>
          <w:rFonts w:asciiTheme="majorBidi" w:hAnsiTheme="majorBidi" w:cstheme="majorBidi"/>
          <w:lang w:val="en-AU"/>
        </w:rPr>
        <w:footnoteReference w:id="440"/>
      </w:r>
      <w:r w:rsidR="00CD3AB9" w:rsidRPr="004C5271">
        <w:rPr>
          <w:rFonts w:asciiTheme="majorBidi" w:hAnsiTheme="majorBidi" w:cstheme="majorBidi"/>
          <w:lang w:val="en-AU"/>
        </w:rPr>
        <w:t xml:space="preserve"> Or individuals may have purchased property some years </w:t>
      </w:r>
      <w:r w:rsidR="00E51ADD" w:rsidRPr="004C5271">
        <w:rPr>
          <w:rFonts w:asciiTheme="majorBidi" w:hAnsiTheme="majorBidi" w:cstheme="majorBidi"/>
          <w:lang w:val="en-AU"/>
        </w:rPr>
        <w:t>before</w:t>
      </w:r>
      <w:r w:rsidR="00CD3AB9" w:rsidRPr="004C5271">
        <w:rPr>
          <w:rFonts w:asciiTheme="majorBidi" w:hAnsiTheme="majorBidi" w:cstheme="majorBidi"/>
          <w:lang w:val="en-AU"/>
        </w:rPr>
        <w:t xml:space="preserve"> and fail to recall the form of ownership or its legal consequences. </w:t>
      </w:r>
      <w:r w:rsidR="00214030" w:rsidRPr="004C5271">
        <w:rPr>
          <w:rFonts w:asciiTheme="majorBidi" w:hAnsiTheme="majorBidi" w:cstheme="majorBidi"/>
          <w:lang w:val="en-AU"/>
        </w:rPr>
        <w:t xml:space="preserve">These matters were </w:t>
      </w:r>
      <w:r w:rsidR="00D75F33" w:rsidRPr="004C5271">
        <w:rPr>
          <w:rFonts w:asciiTheme="majorBidi" w:hAnsiTheme="majorBidi" w:cstheme="majorBidi"/>
          <w:lang w:val="en-AU"/>
        </w:rPr>
        <w:t xml:space="preserve">noted </w:t>
      </w:r>
      <w:r w:rsidR="00734085" w:rsidRPr="004C5271">
        <w:rPr>
          <w:rFonts w:asciiTheme="majorBidi" w:hAnsiTheme="majorBidi" w:cstheme="majorBidi"/>
          <w:lang w:val="en-AU"/>
        </w:rPr>
        <w:t xml:space="preserve">by the Law Commission </w:t>
      </w:r>
      <w:r w:rsidR="00914EC4" w:rsidRPr="004C5271">
        <w:rPr>
          <w:rFonts w:asciiTheme="majorBidi" w:hAnsiTheme="majorBidi" w:cstheme="majorBidi"/>
          <w:lang w:val="en-AU"/>
        </w:rPr>
        <w:t>(</w:t>
      </w:r>
      <w:r w:rsidR="00734085" w:rsidRPr="004C5271">
        <w:rPr>
          <w:rFonts w:asciiTheme="majorBidi" w:hAnsiTheme="majorBidi" w:cstheme="majorBidi"/>
          <w:lang w:val="en-AU"/>
        </w:rPr>
        <w:t>England</w:t>
      </w:r>
      <w:r w:rsidR="00914EC4" w:rsidRPr="004C5271">
        <w:rPr>
          <w:rFonts w:asciiTheme="majorBidi" w:hAnsiTheme="majorBidi" w:cstheme="majorBidi"/>
          <w:lang w:val="en-AU"/>
        </w:rPr>
        <w:t xml:space="preserve"> &amp; Wales)</w:t>
      </w:r>
      <w:r w:rsidR="00734085" w:rsidRPr="004C5271">
        <w:rPr>
          <w:rFonts w:asciiTheme="majorBidi" w:hAnsiTheme="majorBidi" w:cstheme="majorBidi"/>
          <w:lang w:val="en-AU"/>
        </w:rPr>
        <w:t xml:space="preserve"> as part of its justification for recommending that joint tenancy property be included within its family provision scheme.</w:t>
      </w:r>
      <w:r w:rsidR="00734085" w:rsidRPr="00015A9C">
        <w:rPr>
          <w:rStyle w:val="FootnoteReference"/>
        </w:rPr>
        <w:footnoteReference w:id="441"/>
      </w:r>
      <w:bookmarkEnd w:id="203"/>
    </w:p>
    <w:p w14:paraId="51C8068C" w14:textId="3196FADD" w:rsidR="0000188F" w:rsidRPr="004C5271" w:rsidRDefault="00CA07E1" w:rsidP="00734085">
      <w:pPr>
        <w:pStyle w:val="NormalNumberedTextTLRI"/>
        <w:rPr>
          <w:rFonts w:asciiTheme="majorBidi" w:hAnsiTheme="majorBidi" w:cstheme="majorBidi"/>
          <w:lang w:val="en-AU"/>
        </w:rPr>
      </w:pPr>
      <w:bookmarkStart w:id="204" w:name="_Ref13302887"/>
      <w:r w:rsidRPr="004C5271">
        <w:rPr>
          <w:rFonts w:asciiTheme="majorBidi" w:hAnsiTheme="majorBidi" w:cstheme="majorBidi"/>
          <w:lang w:val="en-AU"/>
        </w:rPr>
        <w:t xml:space="preserve">Another example is </w:t>
      </w:r>
      <w:r w:rsidR="00734085" w:rsidRPr="004C5271">
        <w:rPr>
          <w:rFonts w:asciiTheme="majorBidi" w:hAnsiTheme="majorBidi" w:cstheme="majorBidi"/>
          <w:lang w:val="en-AU"/>
        </w:rPr>
        <w:t xml:space="preserve">where individuals may not intentionally structure their affairs so that </w:t>
      </w:r>
      <w:r w:rsidR="00E51ADD" w:rsidRPr="004C5271">
        <w:rPr>
          <w:rFonts w:asciiTheme="majorBidi" w:hAnsiTheme="majorBidi" w:cstheme="majorBidi"/>
          <w:lang w:val="en-AU"/>
        </w:rPr>
        <w:t>their superannuation</w:t>
      </w:r>
      <w:r w:rsidR="00734085" w:rsidRPr="004C5271">
        <w:rPr>
          <w:rFonts w:asciiTheme="majorBidi" w:hAnsiTheme="majorBidi" w:cstheme="majorBidi"/>
          <w:lang w:val="en-AU"/>
        </w:rPr>
        <w:t xml:space="preserve"> fall</w:t>
      </w:r>
      <w:r w:rsidR="00D75F33" w:rsidRPr="004C5271">
        <w:rPr>
          <w:rFonts w:asciiTheme="majorBidi" w:hAnsiTheme="majorBidi" w:cstheme="majorBidi"/>
          <w:lang w:val="en-AU"/>
        </w:rPr>
        <w:t>s</w:t>
      </w:r>
      <w:r w:rsidR="00734085" w:rsidRPr="004C5271">
        <w:rPr>
          <w:rFonts w:asciiTheme="majorBidi" w:hAnsiTheme="majorBidi" w:cstheme="majorBidi"/>
          <w:lang w:val="en-AU"/>
        </w:rPr>
        <w:t xml:space="preserve"> within or outside their estate</w:t>
      </w:r>
      <w:r w:rsidRPr="004C5271">
        <w:rPr>
          <w:rFonts w:asciiTheme="majorBidi" w:hAnsiTheme="majorBidi" w:cstheme="majorBidi"/>
          <w:lang w:val="en-AU"/>
        </w:rPr>
        <w:t xml:space="preserve">. </w:t>
      </w:r>
      <w:r w:rsidR="00F20107" w:rsidRPr="004C5271">
        <w:rPr>
          <w:rFonts w:asciiTheme="majorBidi" w:hAnsiTheme="majorBidi" w:cstheme="majorBidi"/>
          <w:lang w:val="en-AU"/>
        </w:rPr>
        <w:t>This occurred in</w:t>
      </w:r>
      <w:r w:rsidR="00734085" w:rsidRPr="004C5271">
        <w:rPr>
          <w:rFonts w:asciiTheme="majorBidi" w:hAnsiTheme="majorBidi" w:cstheme="majorBidi"/>
          <w:lang w:val="en-AU"/>
        </w:rPr>
        <w:t xml:space="preserve"> the case of </w:t>
      </w:r>
      <w:r w:rsidR="00734085" w:rsidRPr="004C5271">
        <w:rPr>
          <w:rFonts w:asciiTheme="majorBidi" w:hAnsiTheme="majorBidi" w:cstheme="majorBidi"/>
          <w:i/>
          <w:iCs/>
          <w:lang w:val="en-AU"/>
        </w:rPr>
        <w:t>Re Grant</w:t>
      </w:r>
      <w:r w:rsidR="00734085" w:rsidRPr="00015A9C">
        <w:rPr>
          <w:rStyle w:val="FootnoteReference"/>
        </w:rPr>
        <w:footnoteReference w:id="442"/>
      </w:r>
      <w:r w:rsidR="00734085" w:rsidRPr="004C5271">
        <w:rPr>
          <w:rFonts w:asciiTheme="majorBidi" w:hAnsiTheme="majorBidi" w:cstheme="majorBidi"/>
          <w:lang w:val="en-AU"/>
        </w:rPr>
        <w:t xml:space="preserve"> where the </w:t>
      </w:r>
      <w:r w:rsidRPr="004C5271">
        <w:rPr>
          <w:rFonts w:asciiTheme="majorBidi" w:hAnsiTheme="majorBidi" w:cstheme="majorBidi"/>
          <w:lang w:val="en-AU"/>
        </w:rPr>
        <w:t>deceased had not made a binding or non-binding nomination although this was permissible under the rules of the fund.</w:t>
      </w:r>
      <w:r w:rsidRPr="004C5271">
        <w:rPr>
          <w:rStyle w:val="FootnoteReference"/>
          <w:rFonts w:asciiTheme="majorBidi" w:hAnsiTheme="majorBidi" w:cstheme="majorBidi"/>
        </w:rPr>
        <w:footnoteReference w:id="443"/>
      </w:r>
      <w:r w:rsidR="00734085" w:rsidRPr="004C5271">
        <w:rPr>
          <w:rFonts w:asciiTheme="majorBidi" w:hAnsiTheme="majorBidi" w:cstheme="majorBidi"/>
          <w:lang w:val="en-AU"/>
        </w:rPr>
        <w:t xml:space="preserve"> </w:t>
      </w:r>
      <w:r w:rsidR="00F318B7" w:rsidRPr="004C5271">
        <w:rPr>
          <w:rFonts w:asciiTheme="majorBidi" w:hAnsiTheme="majorBidi" w:cstheme="majorBidi"/>
          <w:lang w:val="en-AU"/>
        </w:rPr>
        <w:t xml:space="preserve">In </w:t>
      </w:r>
      <w:r w:rsidR="00337D53" w:rsidRPr="004C5271">
        <w:rPr>
          <w:rFonts w:asciiTheme="majorBidi" w:hAnsiTheme="majorBidi" w:cstheme="majorBidi"/>
          <w:lang w:val="en-AU"/>
        </w:rPr>
        <w:t>some</w:t>
      </w:r>
      <w:r w:rsidR="00F318B7" w:rsidRPr="004C5271">
        <w:rPr>
          <w:rFonts w:asciiTheme="majorBidi" w:hAnsiTheme="majorBidi" w:cstheme="majorBidi"/>
          <w:lang w:val="en-AU"/>
        </w:rPr>
        <w:t xml:space="preserve"> circumstances</w:t>
      </w:r>
      <w:r w:rsidR="00337D53" w:rsidRPr="004C5271">
        <w:rPr>
          <w:rFonts w:asciiTheme="majorBidi" w:hAnsiTheme="majorBidi" w:cstheme="majorBidi"/>
          <w:lang w:val="en-AU"/>
        </w:rPr>
        <w:t xml:space="preserve"> </w:t>
      </w:r>
      <w:r w:rsidR="00F318B7" w:rsidRPr="004C5271">
        <w:rPr>
          <w:rFonts w:asciiTheme="majorBidi" w:hAnsiTheme="majorBidi" w:cstheme="majorBidi"/>
          <w:lang w:val="en-AU"/>
        </w:rPr>
        <w:t>a trustee’s exercise of discretion about the payment of a member’s death benefits may be reviewable</w:t>
      </w:r>
      <w:r w:rsidR="00337D53" w:rsidRPr="004C5271">
        <w:rPr>
          <w:rFonts w:asciiTheme="majorBidi" w:hAnsiTheme="majorBidi" w:cstheme="majorBidi"/>
          <w:lang w:val="en-AU"/>
        </w:rPr>
        <w:t>, enabling</w:t>
      </w:r>
      <w:r w:rsidR="00F318B7" w:rsidRPr="004C5271">
        <w:rPr>
          <w:rFonts w:asciiTheme="majorBidi" w:hAnsiTheme="majorBidi" w:cstheme="majorBidi"/>
          <w:lang w:val="en-AU"/>
        </w:rPr>
        <w:t xml:space="preserve"> individual</w:t>
      </w:r>
      <w:r w:rsidR="00337D53" w:rsidRPr="004C5271">
        <w:rPr>
          <w:rFonts w:asciiTheme="majorBidi" w:hAnsiTheme="majorBidi" w:cstheme="majorBidi"/>
          <w:lang w:val="en-AU"/>
        </w:rPr>
        <w:t>s</w:t>
      </w:r>
      <w:r w:rsidR="00F318B7" w:rsidRPr="004C5271">
        <w:rPr>
          <w:rFonts w:asciiTheme="majorBidi" w:hAnsiTheme="majorBidi" w:cstheme="majorBidi"/>
          <w:lang w:val="en-AU"/>
        </w:rPr>
        <w:t xml:space="preserve"> </w:t>
      </w:r>
      <w:r w:rsidR="00337D53" w:rsidRPr="004C5271">
        <w:rPr>
          <w:rFonts w:asciiTheme="majorBidi" w:hAnsiTheme="majorBidi" w:cstheme="majorBidi"/>
          <w:lang w:val="en-AU"/>
        </w:rPr>
        <w:t>to</w:t>
      </w:r>
      <w:r w:rsidR="00F318B7" w:rsidRPr="004C5271">
        <w:rPr>
          <w:rFonts w:asciiTheme="majorBidi" w:hAnsiTheme="majorBidi" w:cstheme="majorBidi"/>
          <w:lang w:val="en-AU"/>
        </w:rPr>
        <w:t xml:space="preserve"> pursue </w:t>
      </w:r>
      <w:r w:rsidR="00337D53" w:rsidRPr="004C5271">
        <w:rPr>
          <w:rFonts w:asciiTheme="majorBidi" w:hAnsiTheme="majorBidi" w:cstheme="majorBidi"/>
          <w:lang w:val="en-AU"/>
        </w:rPr>
        <w:t>a</w:t>
      </w:r>
      <w:r w:rsidR="00F318B7" w:rsidRPr="004C5271">
        <w:rPr>
          <w:rFonts w:asciiTheme="majorBidi" w:hAnsiTheme="majorBidi" w:cstheme="majorBidi"/>
          <w:lang w:val="en-AU"/>
        </w:rPr>
        <w:t xml:space="preserve"> claim</w:t>
      </w:r>
      <w:r w:rsidR="00B95203" w:rsidRPr="004C5271">
        <w:rPr>
          <w:rFonts w:asciiTheme="majorBidi" w:hAnsiTheme="majorBidi" w:cstheme="majorBidi"/>
          <w:lang w:val="en-AU"/>
        </w:rPr>
        <w:t xml:space="preserve"> under superannuation legislation.</w:t>
      </w:r>
      <w:r w:rsidR="00B95203" w:rsidRPr="004C5271">
        <w:rPr>
          <w:rStyle w:val="FootnoteReference"/>
          <w:rFonts w:asciiTheme="majorBidi" w:hAnsiTheme="majorBidi" w:cstheme="majorBidi"/>
          <w:lang w:val="en-AU"/>
        </w:rPr>
        <w:footnoteReference w:id="444"/>
      </w:r>
      <w:r w:rsidR="0000188F" w:rsidRPr="004C5271">
        <w:rPr>
          <w:rFonts w:asciiTheme="majorBidi" w:hAnsiTheme="majorBidi" w:cstheme="majorBidi"/>
          <w:lang w:val="en-AU"/>
        </w:rPr>
        <w:t xml:space="preserve"> Nevertheless, Christine Schokman, Dexter Marcenko and Michael Flanagan’s submission provided an example where this was not possible:</w:t>
      </w:r>
      <w:bookmarkEnd w:id="204"/>
    </w:p>
    <w:p w14:paraId="01B00E64" w14:textId="29CABB62" w:rsidR="0000188F" w:rsidRPr="004C5271" w:rsidRDefault="0000188F" w:rsidP="009A6B8C">
      <w:pPr>
        <w:pStyle w:val="QuoteTLRI"/>
        <w:rPr>
          <w:rFonts w:asciiTheme="majorBidi" w:hAnsiTheme="majorBidi" w:cstheme="majorBidi"/>
        </w:rPr>
      </w:pPr>
      <w:r w:rsidRPr="004C5271">
        <w:rPr>
          <w:rFonts w:asciiTheme="majorBidi" w:hAnsiTheme="majorBidi" w:cstheme="majorBidi"/>
        </w:rPr>
        <w:lastRenderedPageBreak/>
        <w:t xml:space="preserve">We represented three children, two of whom were under the age of 18. The deceased had separated from their mother some two to three years before his death. His estate was modest but he held significant funds in his superannuation/death benefit scheme. </w:t>
      </w:r>
    </w:p>
    <w:p w14:paraId="5A24CA86" w14:textId="09FB6C62" w:rsidR="0000188F" w:rsidRPr="004C5271" w:rsidRDefault="0000188F" w:rsidP="009A6B8C">
      <w:pPr>
        <w:pStyle w:val="QuoteTLRI"/>
        <w:rPr>
          <w:rFonts w:asciiTheme="majorBidi" w:hAnsiTheme="majorBidi" w:cstheme="majorBidi"/>
        </w:rPr>
      </w:pPr>
      <w:r w:rsidRPr="004C5271">
        <w:rPr>
          <w:rFonts w:asciiTheme="majorBidi" w:hAnsiTheme="majorBidi" w:cstheme="majorBidi"/>
        </w:rPr>
        <w:t>The trustees of the scheme were left with no discretion other than to pay the funds to his current spouse (his de facto of just over two years). The Superannuation Complaints Tribunal had no jurisdiction to alter that distribution and the children were left with no support from him and no remedy. A discretion to consider notional estate would provide an avenue for addressing this dilemma.</w:t>
      </w:r>
    </w:p>
    <w:p w14:paraId="605E4B21" w14:textId="7FBCF6AA" w:rsidR="00734085" w:rsidRPr="004C5271" w:rsidRDefault="0000188F" w:rsidP="009A6B8C">
      <w:pPr>
        <w:pStyle w:val="QuoteTLRI"/>
        <w:rPr>
          <w:rFonts w:asciiTheme="majorBidi" w:hAnsiTheme="majorBidi" w:cstheme="majorBidi"/>
        </w:rPr>
      </w:pPr>
      <w:r w:rsidRPr="004C5271">
        <w:rPr>
          <w:rFonts w:asciiTheme="majorBidi" w:hAnsiTheme="majorBidi" w:cstheme="majorBidi"/>
        </w:rPr>
        <w:t xml:space="preserve">This illustrates the injustices to potential applicants which are unintended by a deceased but could be remedied by the availability of notional estate. Proceedings under the </w:t>
      </w:r>
      <w:r w:rsidRPr="004C5271">
        <w:rPr>
          <w:rFonts w:asciiTheme="majorBidi" w:hAnsiTheme="majorBidi" w:cstheme="majorBidi"/>
          <w:i/>
          <w:iCs/>
        </w:rPr>
        <w:t>Testator’s Family Maintenance Act</w:t>
      </w:r>
      <w:r w:rsidRPr="004C5271">
        <w:rPr>
          <w:rFonts w:asciiTheme="majorBidi" w:hAnsiTheme="majorBidi" w:cstheme="majorBidi"/>
        </w:rPr>
        <w:t xml:space="preserve"> are not always inconsistent with the desirability to give effect to one’s testamentary intentions. </w:t>
      </w:r>
    </w:p>
    <w:p w14:paraId="23C3C858" w14:textId="73EFC707" w:rsidR="0049302D" w:rsidRPr="004C5271" w:rsidRDefault="00734085" w:rsidP="00734085">
      <w:pPr>
        <w:pStyle w:val="NormalNumberedTextTLRI"/>
        <w:rPr>
          <w:rFonts w:asciiTheme="majorBidi" w:hAnsiTheme="majorBidi" w:cstheme="majorBidi"/>
          <w:lang w:val="en-AU"/>
        </w:rPr>
      </w:pPr>
      <w:r w:rsidRPr="004C5271">
        <w:rPr>
          <w:rFonts w:asciiTheme="majorBidi" w:hAnsiTheme="majorBidi" w:cstheme="majorBidi"/>
          <w:lang w:val="en-AU"/>
        </w:rPr>
        <w:t>A potential benefit of n</w:t>
      </w:r>
      <w:r w:rsidR="00CD3AB9" w:rsidRPr="004C5271">
        <w:rPr>
          <w:rFonts w:asciiTheme="majorBidi" w:hAnsiTheme="majorBidi" w:cstheme="majorBidi"/>
          <w:lang w:val="en-AU"/>
        </w:rPr>
        <w:t xml:space="preserve">otional estate legislation </w:t>
      </w:r>
      <w:r w:rsidRPr="004C5271">
        <w:rPr>
          <w:rFonts w:asciiTheme="majorBidi" w:hAnsiTheme="majorBidi" w:cstheme="majorBidi"/>
          <w:lang w:val="en-AU"/>
        </w:rPr>
        <w:t>is that it can</w:t>
      </w:r>
      <w:r w:rsidR="00CD3AB9" w:rsidRPr="004C5271">
        <w:rPr>
          <w:rFonts w:asciiTheme="majorBidi" w:hAnsiTheme="majorBidi" w:cstheme="majorBidi"/>
          <w:lang w:val="en-AU"/>
        </w:rPr>
        <w:t xml:space="preserve"> rectify </w:t>
      </w:r>
      <w:r w:rsidR="00754608" w:rsidRPr="004C5271">
        <w:rPr>
          <w:rFonts w:asciiTheme="majorBidi" w:hAnsiTheme="majorBidi" w:cstheme="majorBidi"/>
          <w:lang w:val="en-AU"/>
        </w:rPr>
        <w:t xml:space="preserve">such </w:t>
      </w:r>
      <w:r w:rsidRPr="004C5271">
        <w:rPr>
          <w:rFonts w:asciiTheme="majorBidi" w:hAnsiTheme="majorBidi" w:cstheme="majorBidi"/>
          <w:lang w:val="en-AU"/>
        </w:rPr>
        <w:t>‘</w:t>
      </w:r>
      <w:r w:rsidR="00CD3AB9" w:rsidRPr="004C5271">
        <w:rPr>
          <w:rFonts w:asciiTheme="majorBidi" w:hAnsiTheme="majorBidi" w:cstheme="majorBidi"/>
          <w:lang w:val="en-AU"/>
        </w:rPr>
        <w:t>irregularities</w:t>
      </w:r>
      <w:r w:rsidRPr="004C5271">
        <w:rPr>
          <w:rFonts w:asciiTheme="majorBidi" w:hAnsiTheme="majorBidi" w:cstheme="majorBidi"/>
          <w:lang w:val="en-AU"/>
        </w:rPr>
        <w:t>’ that arise by chance or circumstance rather than by design</w:t>
      </w:r>
      <w:r w:rsidR="00CD3AB9" w:rsidRPr="004C5271">
        <w:rPr>
          <w:rFonts w:asciiTheme="majorBidi" w:hAnsiTheme="majorBidi" w:cstheme="majorBidi"/>
          <w:lang w:val="en-AU"/>
        </w:rPr>
        <w:t>.</w:t>
      </w:r>
    </w:p>
    <w:p w14:paraId="183AD38C" w14:textId="77777777" w:rsidR="00F15EFA" w:rsidRPr="004C5271" w:rsidRDefault="00F15EFA" w:rsidP="00AE2B8C">
      <w:pPr>
        <w:pStyle w:val="Sub-HeadingTLRI"/>
      </w:pPr>
      <w:r w:rsidRPr="004C5271">
        <w:t xml:space="preserve">‘Fairness’ for estate beneficiaries </w:t>
      </w:r>
    </w:p>
    <w:p w14:paraId="5A764F81" w14:textId="38F05106" w:rsidR="00F15EFA" w:rsidRPr="004C5271" w:rsidRDefault="00337D53" w:rsidP="003C56CE">
      <w:pPr>
        <w:pStyle w:val="NormalNumberedTextTLRI"/>
        <w:rPr>
          <w:rFonts w:asciiTheme="majorBidi" w:hAnsiTheme="majorBidi" w:cstheme="majorBidi"/>
          <w:lang w:val="en-AU"/>
        </w:rPr>
      </w:pPr>
      <w:bookmarkStart w:id="205" w:name="_Ref13503864"/>
      <w:r w:rsidRPr="004C5271">
        <w:rPr>
          <w:rFonts w:asciiTheme="majorBidi" w:hAnsiTheme="majorBidi" w:cstheme="majorBidi"/>
          <w:lang w:val="en-AU"/>
        </w:rPr>
        <w:t xml:space="preserve">Whilst no submissions raised it, linked to the previous discussion is </w:t>
      </w:r>
      <w:r w:rsidR="0035299F" w:rsidRPr="004C5271">
        <w:rPr>
          <w:rFonts w:asciiTheme="majorBidi" w:hAnsiTheme="majorBidi" w:cstheme="majorBidi"/>
          <w:lang w:val="en-AU"/>
        </w:rPr>
        <w:t xml:space="preserve">the consideration </w:t>
      </w:r>
      <w:r w:rsidRPr="004C5271">
        <w:rPr>
          <w:rFonts w:asciiTheme="majorBidi" w:hAnsiTheme="majorBidi" w:cstheme="majorBidi"/>
          <w:lang w:val="en-AU"/>
        </w:rPr>
        <w:t xml:space="preserve">that </w:t>
      </w:r>
      <w:r w:rsidR="00F15EFA" w:rsidRPr="004C5271">
        <w:rPr>
          <w:rFonts w:asciiTheme="majorBidi" w:hAnsiTheme="majorBidi" w:cstheme="majorBidi"/>
          <w:lang w:val="en-AU"/>
        </w:rPr>
        <w:t xml:space="preserve">notional estate legislation </w:t>
      </w:r>
      <w:r w:rsidRPr="004C5271">
        <w:rPr>
          <w:rFonts w:asciiTheme="majorBidi" w:hAnsiTheme="majorBidi" w:cstheme="majorBidi"/>
          <w:lang w:val="en-AU"/>
        </w:rPr>
        <w:t xml:space="preserve">can </w:t>
      </w:r>
      <w:r w:rsidR="00F15EFA" w:rsidRPr="004C5271">
        <w:rPr>
          <w:rFonts w:asciiTheme="majorBidi" w:hAnsiTheme="majorBidi" w:cstheme="majorBidi"/>
          <w:lang w:val="en-AU"/>
        </w:rPr>
        <w:t xml:space="preserve">enable the burden of successful family provision claims to be shared equally between the beneficiaries of an estate and the ‘non-probate’ beneficiaries. A recent New South Wales case illustrates this </w:t>
      </w:r>
      <w:r w:rsidR="0035299F" w:rsidRPr="004C5271">
        <w:rPr>
          <w:rFonts w:asciiTheme="majorBidi" w:hAnsiTheme="majorBidi" w:cstheme="majorBidi"/>
          <w:lang w:val="en-AU"/>
        </w:rPr>
        <w:t>notion</w:t>
      </w:r>
      <w:r w:rsidR="00F15EFA" w:rsidRPr="004C5271">
        <w:rPr>
          <w:rFonts w:asciiTheme="majorBidi" w:hAnsiTheme="majorBidi" w:cstheme="majorBidi"/>
          <w:lang w:val="en-AU"/>
        </w:rPr>
        <w:t>.</w:t>
      </w:r>
      <w:r w:rsidR="00F15EFA" w:rsidRPr="004C5271">
        <w:rPr>
          <w:rStyle w:val="FootnoteReference"/>
          <w:rFonts w:asciiTheme="majorBidi" w:hAnsiTheme="majorBidi" w:cstheme="majorBidi"/>
          <w:lang w:val="en-AU"/>
        </w:rPr>
        <w:footnoteReference w:id="445"/>
      </w:r>
      <w:r w:rsidR="00F15EFA" w:rsidRPr="004C5271">
        <w:rPr>
          <w:rFonts w:asciiTheme="majorBidi" w:hAnsiTheme="majorBidi" w:cstheme="majorBidi"/>
          <w:lang w:val="en-AU"/>
        </w:rPr>
        <w:t xml:space="preserve"> In that case, a step-son filed a family provision claim against his step-father’s estate, asserting that his step-father’s superannuation (valued at approximately $858,000) be designated as notional estate. The beneficiaries named in the deceased’s will supported their step-brother’s claim for their father’s superannuation to be designated as notional estate.</w:t>
      </w:r>
      <w:r w:rsidR="00F15EFA" w:rsidRPr="004C5271">
        <w:rPr>
          <w:rStyle w:val="FootnoteReference"/>
          <w:rFonts w:asciiTheme="majorBidi" w:hAnsiTheme="majorBidi" w:cstheme="majorBidi"/>
          <w:lang w:val="en-AU"/>
        </w:rPr>
        <w:footnoteReference w:id="446"/>
      </w:r>
      <w:r w:rsidR="00F15EFA" w:rsidRPr="004C5271">
        <w:rPr>
          <w:rFonts w:asciiTheme="majorBidi" w:hAnsiTheme="majorBidi" w:cstheme="majorBidi"/>
          <w:lang w:val="en-AU"/>
        </w:rPr>
        <w:t xml:space="preserve"> Justice Lindsay made the observation that that argument had an </w:t>
      </w:r>
      <w:r w:rsidR="00692978" w:rsidRPr="004C5271">
        <w:rPr>
          <w:rFonts w:asciiTheme="majorBidi" w:hAnsiTheme="majorBidi" w:cstheme="majorBidi"/>
          <w:lang w:val="en-AU"/>
        </w:rPr>
        <w:t>‘</w:t>
      </w:r>
      <w:r w:rsidR="00F15EFA" w:rsidRPr="004C5271">
        <w:rPr>
          <w:rFonts w:asciiTheme="majorBidi" w:hAnsiTheme="majorBidi" w:cstheme="majorBidi"/>
          <w:lang w:val="en-AU"/>
        </w:rPr>
        <w:t>added attraction</w:t>
      </w:r>
      <w:r w:rsidR="00692978" w:rsidRPr="004C5271">
        <w:rPr>
          <w:rFonts w:asciiTheme="majorBidi" w:hAnsiTheme="majorBidi" w:cstheme="majorBidi"/>
          <w:lang w:val="en-AU"/>
        </w:rPr>
        <w:t>’</w:t>
      </w:r>
      <w:r w:rsidR="00F15EFA" w:rsidRPr="004C5271">
        <w:rPr>
          <w:rFonts w:asciiTheme="majorBidi" w:hAnsiTheme="majorBidi" w:cstheme="majorBidi"/>
          <w:lang w:val="en-AU"/>
        </w:rPr>
        <w:t xml:space="preserve"> for the beneficiaries as it would reduce the impact of any </w:t>
      </w:r>
      <w:r w:rsidR="00F15EFA" w:rsidRPr="004C5271">
        <w:rPr>
          <w:rFonts w:asciiTheme="majorBidi" w:hAnsiTheme="majorBidi" w:cstheme="majorBidi"/>
          <w:lang w:val="en-AU"/>
        </w:rPr>
        <w:lastRenderedPageBreak/>
        <w:t>order upon their gifts under the will.</w:t>
      </w:r>
      <w:r w:rsidR="00F15EFA" w:rsidRPr="004C5271">
        <w:rPr>
          <w:rStyle w:val="FootnoteReference"/>
          <w:rFonts w:asciiTheme="majorBidi" w:hAnsiTheme="majorBidi" w:cstheme="majorBidi"/>
          <w:lang w:val="en-AU"/>
        </w:rPr>
        <w:footnoteReference w:id="447"/>
      </w:r>
      <w:r w:rsidR="00F15EFA" w:rsidRPr="004C5271">
        <w:rPr>
          <w:rFonts w:asciiTheme="majorBidi" w:hAnsiTheme="majorBidi" w:cstheme="majorBidi"/>
          <w:lang w:val="en-AU"/>
        </w:rPr>
        <w:t xml:space="preserve"> The applicant was </w:t>
      </w:r>
      <w:r w:rsidRPr="004C5271">
        <w:rPr>
          <w:rFonts w:asciiTheme="majorBidi" w:hAnsiTheme="majorBidi" w:cstheme="majorBidi"/>
          <w:lang w:val="en-AU"/>
        </w:rPr>
        <w:t xml:space="preserve">ultimately </w:t>
      </w:r>
      <w:r w:rsidR="00F15EFA" w:rsidRPr="004C5271">
        <w:rPr>
          <w:rFonts w:asciiTheme="majorBidi" w:hAnsiTheme="majorBidi" w:cstheme="majorBidi"/>
          <w:lang w:val="en-AU"/>
        </w:rPr>
        <w:t xml:space="preserve">successful, with Justice Lindsay </w:t>
      </w:r>
      <w:r w:rsidR="00E36671" w:rsidRPr="004C5271">
        <w:rPr>
          <w:rFonts w:asciiTheme="majorBidi" w:hAnsiTheme="majorBidi" w:cstheme="majorBidi"/>
          <w:lang w:val="en-AU"/>
        </w:rPr>
        <w:t>ordering</w:t>
      </w:r>
      <w:r w:rsidR="00F15EFA" w:rsidRPr="004C5271">
        <w:rPr>
          <w:rFonts w:asciiTheme="majorBidi" w:hAnsiTheme="majorBidi" w:cstheme="majorBidi"/>
          <w:lang w:val="en-AU"/>
        </w:rPr>
        <w:t xml:space="preserve"> the superannuation as notional estate to fund provision for the successful claimant.</w:t>
      </w:r>
      <w:bookmarkEnd w:id="205"/>
    </w:p>
    <w:p w14:paraId="21E63321" w14:textId="77777777" w:rsidR="006E07AD" w:rsidRPr="004C5271" w:rsidRDefault="006E07AD" w:rsidP="00AE2B8C">
      <w:pPr>
        <w:pStyle w:val="Sub-HeadingTLRI"/>
      </w:pPr>
      <w:r w:rsidRPr="004C5271">
        <w:t>Burden on the state</w:t>
      </w:r>
    </w:p>
    <w:p w14:paraId="17444F89" w14:textId="2199D101" w:rsidR="006E07AD" w:rsidRPr="004C5271" w:rsidRDefault="006E07AD" w:rsidP="006E07AD">
      <w:pPr>
        <w:pStyle w:val="NormalNumberedTextTLRI"/>
        <w:rPr>
          <w:rFonts w:asciiTheme="majorBidi" w:hAnsiTheme="majorBidi" w:cstheme="majorBidi"/>
          <w:sz w:val="20"/>
          <w:lang w:val="en-AU"/>
        </w:rPr>
      </w:pPr>
      <w:bookmarkStart w:id="206" w:name="_Ref13503304"/>
      <w:r w:rsidRPr="004C5271">
        <w:rPr>
          <w:rFonts w:asciiTheme="majorBidi" w:hAnsiTheme="majorBidi" w:cstheme="majorBidi"/>
          <w:lang w:val="en-AU"/>
        </w:rPr>
        <w:t xml:space="preserve">Steven Bishop’s submission referred to the fact that, without notional estate legislation, eligible applicants in significant financial need can become or remain reliant upon </w:t>
      </w:r>
      <w:r w:rsidR="00107173" w:rsidRPr="004C5271">
        <w:rPr>
          <w:rFonts w:asciiTheme="majorBidi" w:hAnsiTheme="majorBidi" w:cstheme="majorBidi"/>
          <w:lang w:val="en-AU"/>
        </w:rPr>
        <w:t>g</w:t>
      </w:r>
      <w:r w:rsidRPr="004C5271">
        <w:rPr>
          <w:rFonts w:asciiTheme="majorBidi" w:hAnsiTheme="majorBidi" w:cstheme="majorBidi"/>
          <w:lang w:val="en-AU"/>
        </w:rPr>
        <w:t xml:space="preserve">overnment support. In this way, the absence of notional estate legislation </w:t>
      </w:r>
      <w:r w:rsidR="003D5CF9" w:rsidRPr="004C5271">
        <w:rPr>
          <w:rFonts w:asciiTheme="majorBidi" w:hAnsiTheme="majorBidi" w:cstheme="majorBidi"/>
          <w:lang w:val="en-AU"/>
        </w:rPr>
        <w:t>has an adverse impact upon</w:t>
      </w:r>
      <w:r w:rsidRPr="004C5271">
        <w:rPr>
          <w:rFonts w:asciiTheme="majorBidi" w:hAnsiTheme="majorBidi" w:cstheme="majorBidi"/>
          <w:lang w:val="en-AU"/>
        </w:rPr>
        <w:t xml:space="preserve"> not only the individual who is unable to bring a claim, but also the broader community.</w:t>
      </w:r>
      <w:bookmarkEnd w:id="206"/>
      <w:r w:rsidRPr="004C5271">
        <w:rPr>
          <w:rFonts w:asciiTheme="majorBidi" w:hAnsiTheme="majorBidi" w:cstheme="majorBidi"/>
          <w:lang w:val="en-AU"/>
        </w:rPr>
        <w:t xml:space="preserve"> </w:t>
      </w:r>
    </w:p>
    <w:p w14:paraId="32ABE661" w14:textId="0E1F4EAA" w:rsidR="006E07AD" w:rsidRPr="004C5271" w:rsidRDefault="006E07AD" w:rsidP="006E07AD">
      <w:pPr>
        <w:pStyle w:val="NormalNumberedTextTLRI"/>
        <w:rPr>
          <w:rFonts w:asciiTheme="majorBidi" w:hAnsiTheme="majorBidi" w:cstheme="majorBidi"/>
          <w:lang w:val="en-AU"/>
        </w:rPr>
      </w:pPr>
      <w:r w:rsidRPr="004C5271">
        <w:rPr>
          <w:rFonts w:asciiTheme="majorBidi" w:hAnsiTheme="majorBidi" w:cstheme="majorBidi"/>
          <w:lang w:val="en-AU"/>
        </w:rPr>
        <w:t xml:space="preserve">Mr Bishop provided the following example where he acted for a client in receipt of </w:t>
      </w:r>
      <w:r w:rsidR="00107173" w:rsidRPr="004C5271">
        <w:rPr>
          <w:rFonts w:asciiTheme="majorBidi" w:hAnsiTheme="majorBidi" w:cstheme="majorBidi"/>
          <w:lang w:val="en-AU"/>
        </w:rPr>
        <w:t>g</w:t>
      </w:r>
      <w:r w:rsidRPr="004C5271">
        <w:rPr>
          <w:rFonts w:asciiTheme="majorBidi" w:hAnsiTheme="majorBidi" w:cstheme="majorBidi"/>
          <w:lang w:val="en-AU"/>
        </w:rPr>
        <w:t>overnment assistance who was unable to pursue a claim:</w:t>
      </w:r>
    </w:p>
    <w:p w14:paraId="07B1E624" w14:textId="08E619CC" w:rsidR="006E07AD" w:rsidRPr="004C5271" w:rsidRDefault="006E07AD" w:rsidP="00107173">
      <w:pPr>
        <w:pStyle w:val="QuoteTLRI"/>
        <w:rPr>
          <w:rFonts w:asciiTheme="majorBidi" w:hAnsiTheme="majorBidi" w:cstheme="majorBidi"/>
        </w:rPr>
      </w:pPr>
      <w:r w:rsidRPr="004C5271">
        <w:rPr>
          <w:rFonts w:asciiTheme="majorBidi" w:hAnsiTheme="majorBidi" w:cstheme="majorBidi"/>
        </w:rPr>
        <w:t>In a matter upon which I gave advice, a Testator was reputed to have had, prior to disposing of it, property to the value of about $15,000,000.00. In accordance with advice received from a solicitor, he systematically disposed of the assets in his individual ownership so that upon death he was virtually penniless. He had left two children, one of whom was aged approximately 40 and who had been involved with drugs since the age of 15, and a burden on the tax payer since about the age of 18</w:t>
      </w:r>
      <w:r w:rsidR="00107173" w:rsidRPr="004C5271">
        <w:rPr>
          <w:rFonts w:asciiTheme="majorBidi" w:hAnsiTheme="majorBidi" w:cstheme="majorBidi"/>
        </w:rPr>
        <w:t xml:space="preserve"> </w:t>
      </w:r>
      <w:r w:rsidRPr="004C5271">
        <w:rPr>
          <w:rFonts w:asciiTheme="majorBidi" w:hAnsiTheme="majorBidi" w:cstheme="majorBidi"/>
        </w:rPr>
        <w:t>… Most importantly, the child with a drug problem will in all probability continue to be a burden on the tax payer in receipt of social security and in need of treatment and assistance from the various over strained services</w:t>
      </w:r>
      <w:r w:rsidR="00107173" w:rsidRPr="004C5271">
        <w:rPr>
          <w:rFonts w:asciiTheme="majorBidi" w:hAnsiTheme="majorBidi" w:cstheme="majorBidi"/>
        </w:rPr>
        <w:t xml:space="preserve"> </w:t>
      </w:r>
      <w:r w:rsidRPr="004C5271">
        <w:rPr>
          <w:rFonts w:asciiTheme="majorBidi" w:hAnsiTheme="majorBidi" w:cstheme="majorBidi"/>
        </w:rPr>
        <w:t>… a cost the tax payer should reasonabl</w:t>
      </w:r>
      <w:r w:rsidR="007A097B" w:rsidRPr="004C5271">
        <w:rPr>
          <w:rFonts w:asciiTheme="majorBidi" w:hAnsiTheme="majorBidi" w:cstheme="majorBidi"/>
        </w:rPr>
        <w:t>y</w:t>
      </w:r>
      <w:r w:rsidRPr="004C5271">
        <w:rPr>
          <w:rFonts w:asciiTheme="majorBidi" w:hAnsiTheme="majorBidi" w:cstheme="majorBidi"/>
        </w:rPr>
        <w:t xml:space="preserve"> expect to have been met by his deceased father.</w:t>
      </w:r>
    </w:p>
    <w:p w14:paraId="4ED6B0D2" w14:textId="77777777" w:rsidR="006E07AD" w:rsidRPr="004C5271" w:rsidRDefault="006E07AD" w:rsidP="006E07AD">
      <w:pPr>
        <w:pStyle w:val="NormalNumberedTextTLRI"/>
        <w:rPr>
          <w:rFonts w:asciiTheme="majorBidi" w:hAnsiTheme="majorBidi" w:cstheme="majorBidi"/>
          <w:lang w:val="en-AU"/>
        </w:rPr>
      </w:pPr>
      <w:r w:rsidRPr="004C5271">
        <w:rPr>
          <w:rFonts w:asciiTheme="majorBidi" w:hAnsiTheme="majorBidi" w:cstheme="majorBidi"/>
          <w:lang w:val="en-AU"/>
        </w:rPr>
        <w:t xml:space="preserve">Justin McMullen expressed a contrary view, submitting that the potential impact upon tax-payer resources does not justify enactment of notional estate provisions: </w:t>
      </w:r>
    </w:p>
    <w:p w14:paraId="1D4A358B" w14:textId="11CA0D57" w:rsidR="006E07AD" w:rsidRPr="004C5271" w:rsidRDefault="006E07AD" w:rsidP="00C83A9B">
      <w:pPr>
        <w:pStyle w:val="QuoteTLRI"/>
        <w:rPr>
          <w:rFonts w:asciiTheme="majorBidi" w:hAnsiTheme="majorBidi" w:cstheme="majorBidi"/>
        </w:rPr>
      </w:pPr>
      <w:r w:rsidRPr="004C5271">
        <w:rPr>
          <w:rFonts w:asciiTheme="majorBidi" w:hAnsiTheme="majorBidi" w:cstheme="majorBidi"/>
        </w:rPr>
        <w:t xml:space="preserve">it is not a reasonable argument that protection of the public purse is an appropriate public policy reason to justify the removal of the long held right of a person to utilise their assets in any manner they choose. There is no law today requiring a testator to make </w:t>
      </w:r>
      <w:r w:rsidRPr="004C5271">
        <w:rPr>
          <w:rFonts w:asciiTheme="majorBidi" w:hAnsiTheme="majorBidi" w:cstheme="majorBidi"/>
        </w:rPr>
        <w:lastRenderedPageBreak/>
        <w:t xml:space="preserve">provision for their spouse or adult child during the testator’s lifetime </w:t>
      </w:r>
      <w:r w:rsidR="00C83A9B" w:rsidRPr="004C5271">
        <w:rPr>
          <w:rFonts w:asciiTheme="majorBidi" w:hAnsiTheme="majorBidi" w:cstheme="majorBidi"/>
        </w:rPr>
        <w:t>—</w:t>
      </w:r>
      <w:r w:rsidRPr="004C5271">
        <w:rPr>
          <w:rFonts w:asciiTheme="majorBidi" w:hAnsiTheme="majorBidi" w:cstheme="majorBidi"/>
        </w:rPr>
        <w:t xml:space="preserve"> why should it be so upon their death.</w:t>
      </w:r>
    </w:p>
    <w:p w14:paraId="62FCD960" w14:textId="08377754" w:rsidR="00D36D0E" w:rsidRPr="004C5271" w:rsidRDefault="00D36D0E" w:rsidP="00AE2B8C">
      <w:pPr>
        <w:pStyle w:val="Sub-HeadingTLRI"/>
      </w:pPr>
      <w:r w:rsidRPr="004C5271">
        <w:t xml:space="preserve">Conclusion </w:t>
      </w:r>
    </w:p>
    <w:p w14:paraId="181A004E" w14:textId="564021D9" w:rsidR="00BC71B1" w:rsidRPr="004C5271" w:rsidRDefault="00BC71B1" w:rsidP="0033303C">
      <w:pPr>
        <w:pStyle w:val="NormalNumberedTextTLRI"/>
        <w:rPr>
          <w:rFonts w:asciiTheme="majorBidi" w:hAnsiTheme="majorBidi" w:cstheme="majorBidi"/>
          <w:lang w:val="en-AU"/>
        </w:rPr>
      </w:pPr>
      <w:r w:rsidRPr="004C5271">
        <w:rPr>
          <w:rFonts w:asciiTheme="majorBidi" w:hAnsiTheme="majorBidi" w:cstheme="majorBidi"/>
          <w:lang w:val="en-AU"/>
        </w:rPr>
        <w:t xml:space="preserve">In summary, </w:t>
      </w:r>
      <w:r w:rsidR="0007109E" w:rsidRPr="004C5271">
        <w:rPr>
          <w:rFonts w:asciiTheme="majorBidi" w:hAnsiTheme="majorBidi" w:cstheme="majorBidi"/>
          <w:lang w:val="en-AU"/>
        </w:rPr>
        <w:t xml:space="preserve">submissions were split reasonably equally between those who supported notional estate legislation and those who opposed reform. There was no </w:t>
      </w:r>
      <w:r w:rsidR="00850834" w:rsidRPr="004C5271">
        <w:rPr>
          <w:rFonts w:asciiTheme="majorBidi" w:hAnsiTheme="majorBidi" w:cstheme="majorBidi"/>
          <w:lang w:val="en-AU"/>
        </w:rPr>
        <w:t>absolute majority in support of either option</w:t>
      </w:r>
      <w:r w:rsidR="0007109E" w:rsidRPr="004C5271">
        <w:rPr>
          <w:rFonts w:asciiTheme="majorBidi" w:hAnsiTheme="majorBidi" w:cstheme="majorBidi"/>
          <w:lang w:val="en-AU"/>
        </w:rPr>
        <w:t xml:space="preserve">. </w:t>
      </w:r>
      <w:r w:rsidR="006E07AD" w:rsidRPr="004C5271">
        <w:rPr>
          <w:rFonts w:asciiTheme="majorBidi" w:hAnsiTheme="majorBidi" w:cstheme="majorBidi"/>
          <w:lang w:val="en-AU"/>
        </w:rPr>
        <w:t xml:space="preserve">The Law Society noted that its </w:t>
      </w:r>
      <w:r w:rsidR="00E36671" w:rsidRPr="004C5271">
        <w:rPr>
          <w:rFonts w:asciiTheme="majorBidi" w:hAnsiTheme="majorBidi" w:cstheme="majorBidi"/>
          <w:lang w:val="en-AU"/>
        </w:rPr>
        <w:t>C</w:t>
      </w:r>
      <w:r w:rsidR="006E07AD" w:rsidRPr="004C5271">
        <w:rPr>
          <w:rFonts w:asciiTheme="majorBidi" w:hAnsiTheme="majorBidi" w:cstheme="majorBidi"/>
          <w:lang w:val="en-AU"/>
        </w:rPr>
        <w:t xml:space="preserve">ommittees had expressed a range of views, </w:t>
      </w:r>
      <w:r w:rsidR="00E33AB6" w:rsidRPr="004C5271">
        <w:rPr>
          <w:rFonts w:asciiTheme="majorBidi" w:hAnsiTheme="majorBidi" w:cstheme="majorBidi"/>
          <w:lang w:val="en-AU"/>
        </w:rPr>
        <w:t xml:space="preserve">even within committee memberships, </w:t>
      </w:r>
      <w:r w:rsidR="006E07AD" w:rsidRPr="004C5271">
        <w:rPr>
          <w:rFonts w:asciiTheme="majorBidi" w:hAnsiTheme="majorBidi" w:cstheme="majorBidi"/>
          <w:lang w:val="en-AU"/>
        </w:rPr>
        <w:t xml:space="preserve">reflecting the </w:t>
      </w:r>
      <w:r w:rsidR="008B1190" w:rsidRPr="004C5271">
        <w:rPr>
          <w:rFonts w:asciiTheme="majorBidi" w:hAnsiTheme="majorBidi" w:cstheme="majorBidi"/>
          <w:lang w:val="en-AU"/>
        </w:rPr>
        <w:t>‘</w:t>
      </w:r>
      <w:r w:rsidR="006E07AD" w:rsidRPr="004C5271">
        <w:rPr>
          <w:rFonts w:asciiTheme="majorBidi" w:hAnsiTheme="majorBidi" w:cstheme="majorBidi"/>
          <w:lang w:val="en-AU"/>
        </w:rPr>
        <w:t>differing views in the community</w:t>
      </w:r>
      <w:r w:rsidR="008B1190" w:rsidRPr="004C5271">
        <w:rPr>
          <w:rFonts w:asciiTheme="majorBidi" w:hAnsiTheme="majorBidi" w:cstheme="majorBidi"/>
          <w:lang w:val="en-AU"/>
        </w:rPr>
        <w:t>’</w:t>
      </w:r>
      <w:r w:rsidR="006E07AD" w:rsidRPr="004C5271">
        <w:rPr>
          <w:rFonts w:asciiTheme="majorBidi" w:hAnsiTheme="majorBidi" w:cstheme="majorBidi"/>
          <w:lang w:val="en-AU"/>
        </w:rPr>
        <w:t xml:space="preserve">. It expressed the view that </w:t>
      </w:r>
      <w:r w:rsidR="008B1190" w:rsidRPr="004C5271">
        <w:rPr>
          <w:rFonts w:asciiTheme="majorBidi" w:hAnsiTheme="majorBidi" w:cstheme="majorBidi"/>
          <w:lang w:val="en-AU"/>
        </w:rPr>
        <w:t>‘[e]</w:t>
      </w:r>
      <w:r w:rsidR="006E07AD" w:rsidRPr="004C5271">
        <w:rPr>
          <w:rFonts w:asciiTheme="majorBidi" w:hAnsiTheme="majorBidi" w:cstheme="majorBidi"/>
          <w:lang w:val="en-AU"/>
        </w:rPr>
        <w:t>xamples of injustice have been provided that support both sides of the debate</w:t>
      </w:r>
      <w:r w:rsidR="008B1190" w:rsidRPr="004C5271">
        <w:rPr>
          <w:rFonts w:asciiTheme="majorBidi" w:hAnsiTheme="majorBidi" w:cstheme="majorBidi"/>
          <w:lang w:val="en-AU"/>
        </w:rPr>
        <w:t>.’</w:t>
      </w:r>
      <w:r w:rsidR="006E07AD" w:rsidRPr="004C5271">
        <w:rPr>
          <w:rFonts w:asciiTheme="majorBidi" w:hAnsiTheme="majorBidi" w:cstheme="majorBidi"/>
          <w:lang w:val="en-AU"/>
        </w:rPr>
        <w:t xml:space="preserve"> The Public Trustee similarly declined to make a submission, observing the conflicting positions between its role in acting for will</w:t>
      </w:r>
      <w:r w:rsidR="000B7F3C" w:rsidRPr="004C5271">
        <w:rPr>
          <w:rFonts w:asciiTheme="majorBidi" w:hAnsiTheme="majorBidi" w:cstheme="majorBidi"/>
          <w:lang w:val="en-AU"/>
        </w:rPr>
        <w:t>-</w:t>
      </w:r>
      <w:r w:rsidR="006E07AD" w:rsidRPr="004C5271">
        <w:rPr>
          <w:rFonts w:asciiTheme="majorBidi" w:hAnsiTheme="majorBidi" w:cstheme="majorBidi"/>
          <w:lang w:val="en-AU"/>
        </w:rPr>
        <w:t>makers, potential claimants and legal personal representatives of an estate. This demonstrates that public opinion about the utility of notional estate legislation often depends upon an individual’s perspective</w:t>
      </w:r>
      <w:r w:rsidR="00020C24" w:rsidRPr="004C5271">
        <w:rPr>
          <w:rFonts w:asciiTheme="majorBidi" w:hAnsiTheme="majorBidi" w:cstheme="majorBidi"/>
          <w:lang w:val="en-AU"/>
        </w:rPr>
        <w:t xml:space="preserve"> based upon their own experiences with the law</w:t>
      </w:r>
      <w:r w:rsidR="006E07AD" w:rsidRPr="004C5271">
        <w:rPr>
          <w:rFonts w:asciiTheme="majorBidi" w:hAnsiTheme="majorBidi" w:cstheme="majorBidi"/>
          <w:lang w:val="en-AU"/>
        </w:rPr>
        <w:t xml:space="preserve">. </w:t>
      </w:r>
    </w:p>
    <w:p w14:paraId="6AC14F0E" w14:textId="0CD64662" w:rsidR="00880F23" w:rsidRPr="004C5271" w:rsidRDefault="00FF373C" w:rsidP="00161265">
      <w:pPr>
        <w:pStyle w:val="NumberedHeadingTLRI"/>
        <w:rPr>
          <w:rFonts w:asciiTheme="majorBidi" w:hAnsiTheme="majorBidi" w:cstheme="majorBidi"/>
          <w:lang w:val="en-AU"/>
        </w:rPr>
      </w:pPr>
      <w:bookmarkStart w:id="207" w:name="_Toc12268970"/>
      <w:r w:rsidRPr="004C5271">
        <w:rPr>
          <w:rFonts w:asciiTheme="majorBidi" w:hAnsiTheme="majorBidi" w:cstheme="majorBidi"/>
          <w:lang w:val="en-AU"/>
        </w:rPr>
        <w:t xml:space="preserve">The </w:t>
      </w:r>
      <w:r w:rsidR="00035A02" w:rsidRPr="004C5271">
        <w:rPr>
          <w:rFonts w:asciiTheme="majorBidi" w:hAnsiTheme="majorBidi" w:cstheme="majorBidi"/>
          <w:lang w:val="en-AU"/>
        </w:rPr>
        <w:t>New South Wales provisions</w:t>
      </w:r>
      <w:r w:rsidR="00E47B5F" w:rsidRPr="007C706E">
        <w:rPr>
          <w:rStyle w:val="FootnoteReference"/>
          <w:rFonts w:asciiTheme="majorBidi" w:hAnsiTheme="majorBidi" w:cstheme="majorBidi"/>
          <w:b w:val="0"/>
          <w:bCs/>
        </w:rPr>
        <w:footnoteReference w:id="448"/>
      </w:r>
      <w:bookmarkEnd w:id="207"/>
    </w:p>
    <w:p w14:paraId="01FE3E38" w14:textId="76070812" w:rsidR="002B050F" w:rsidRPr="004C5271" w:rsidRDefault="00AC48D2" w:rsidP="00AC48D2">
      <w:pPr>
        <w:pStyle w:val="NormalNumberedTextTLRI"/>
        <w:rPr>
          <w:rFonts w:asciiTheme="majorBidi" w:hAnsiTheme="majorBidi" w:cstheme="majorBidi"/>
          <w:sz w:val="20"/>
          <w:lang w:val="en-AU"/>
        </w:rPr>
      </w:pPr>
      <w:r w:rsidRPr="004C5271">
        <w:rPr>
          <w:rFonts w:asciiTheme="majorBidi" w:hAnsiTheme="majorBidi" w:cstheme="majorBidi"/>
          <w:lang w:val="en-AU"/>
        </w:rPr>
        <w:t>T</w:t>
      </w:r>
      <w:r w:rsidR="00FD3323" w:rsidRPr="004C5271">
        <w:rPr>
          <w:rFonts w:asciiTheme="majorBidi" w:hAnsiTheme="majorBidi" w:cstheme="majorBidi"/>
          <w:lang w:val="en-AU"/>
        </w:rPr>
        <w:t>o</w:t>
      </w:r>
      <w:r w:rsidR="00426D2F" w:rsidRPr="004C5271">
        <w:rPr>
          <w:rFonts w:asciiTheme="majorBidi" w:hAnsiTheme="majorBidi" w:cstheme="majorBidi"/>
          <w:lang w:val="en-AU"/>
        </w:rPr>
        <w:t xml:space="preserve"> </w:t>
      </w:r>
      <w:r w:rsidR="005E1FE6" w:rsidRPr="004C5271">
        <w:rPr>
          <w:rFonts w:asciiTheme="majorBidi" w:hAnsiTheme="majorBidi" w:cstheme="majorBidi"/>
          <w:lang w:val="en-AU"/>
        </w:rPr>
        <w:t>consider</w:t>
      </w:r>
      <w:r w:rsidR="00426D2F" w:rsidRPr="004C5271">
        <w:rPr>
          <w:rFonts w:asciiTheme="majorBidi" w:hAnsiTheme="majorBidi" w:cstheme="majorBidi"/>
          <w:lang w:val="en-AU"/>
        </w:rPr>
        <w:t xml:space="preserve"> </w:t>
      </w:r>
      <w:r w:rsidR="000F0CCE" w:rsidRPr="004C5271">
        <w:rPr>
          <w:rFonts w:asciiTheme="majorBidi" w:hAnsiTheme="majorBidi" w:cstheme="majorBidi"/>
          <w:lang w:val="en-AU"/>
        </w:rPr>
        <w:t xml:space="preserve">fully </w:t>
      </w:r>
      <w:r w:rsidR="00426D2F" w:rsidRPr="004C5271">
        <w:rPr>
          <w:rFonts w:asciiTheme="majorBidi" w:hAnsiTheme="majorBidi" w:cstheme="majorBidi"/>
          <w:lang w:val="en-AU"/>
        </w:rPr>
        <w:t xml:space="preserve">the question whether Tasmania should introduce notional estate legislation, it is necessary to </w:t>
      </w:r>
      <w:r w:rsidR="00235349" w:rsidRPr="004C5271">
        <w:rPr>
          <w:rFonts w:asciiTheme="majorBidi" w:hAnsiTheme="majorBidi" w:cstheme="majorBidi"/>
          <w:lang w:val="en-AU"/>
        </w:rPr>
        <w:t xml:space="preserve">articulate what those provisions might look like. </w:t>
      </w:r>
      <w:r w:rsidRPr="004C5271">
        <w:rPr>
          <w:rFonts w:asciiTheme="majorBidi" w:hAnsiTheme="majorBidi" w:cstheme="majorBidi"/>
          <w:lang w:val="en-AU"/>
        </w:rPr>
        <w:t>The Issues Paper</w:t>
      </w:r>
      <w:r w:rsidR="00BC71B1" w:rsidRPr="004C5271">
        <w:rPr>
          <w:rFonts w:asciiTheme="majorBidi" w:hAnsiTheme="majorBidi" w:cstheme="majorBidi"/>
          <w:lang w:val="en-AU"/>
        </w:rPr>
        <w:t xml:space="preserve"> noted that o</w:t>
      </w:r>
      <w:r w:rsidR="00235349" w:rsidRPr="004C5271">
        <w:rPr>
          <w:rFonts w:asciiTheme="majorBidi" w:hAnsiTheme="majorBidi" w:cstheme="majorBidi"/>
          <w:lang w:val="en-AU"/>
        </w:rPr>
        <w:t xml:space="preserve">ne option would be </w:t>
      </w:r>
      <w:r w:rsidR="000F0CCE" w:rsidRPr="004C5271">
        <w:rPr>
          <w:rFonts w:asciiTheme="majorBidi" w:hAnsiTheme="majorBidi" w:cstheme="majorBidi"/>
          <w:lang w:val="en-AU"/>
        </w:rPr>
        <w:t xml:space="preserve">simply </w:t>
      </w:r>
      <w:r w:rsidR="00235349" w:rsidRPr="004C5271">
        <w:rPr>
          <w:rFonts w:asciiTheme="majorBidi" w:hAnsiTheme="majorBidi" w:cstheme="majorBidi"/>
          <w:lang w:val="en-AU"/>
        </w:rPr>
        <w:t xml:space="preserve">to introduce </w:t>
      </w:r>
      <w:r w:rsidRPr="004C5271">
        <w:rPr>
          <w:rFonts w:asciiTheme="majorBidi" w:hAnsiTheme="majorBidi" w:cstheme="majorBidi"/>
          <w:lang w:val="en-AU"/>
        </w:rPr>
        <w:t xml:space="preserve">identical </w:t>
      </w:r>
      <w:r w:rsidR="00734085" w:rsidRPr="004C5271">
        <w:rPr>
          <w:rFonts w:asciiTheme="majorBidi" w:hAnsiTheme="majorBidi" w:cstheme="majorBidi"/>
          <w:lang w:val="en-AU"/>
        </w:rPr>
        <w:t xml:space="preserve">provisions to those in </w:t>
      </w:r>
      <w:r w:rsidR="009B63BC" w:rsidRPr="004C5271">
        <w:rPr>
          <w:rFonts w:asciiTheme="majorBidi" w:hAnsiTheme="majorBidi" w:cstheme="majorBidi"/>
          <w:lang w:val="en-AU"/>
        </w:rPr>
        <w:t>New South Wales</w:t>
      </w:r>
      <w:r w:rsidR="00235349" w:rsidRPr="004C5271">
        <w:rPr>
          <w:rFonts w:asciiTheme="majorBidi" w:hAnsiTheme="majorBidi" w:cstheme="majorBidi"/>
          <w:lang w:val="en-AU"/>
        </w:rPr>
        <w:t xml:space="preserve">. These </w:t>
      </w:r>
      <w:r w:rsidR="00914EC4" w:rsidRPr="004C5271">
        <w:rPr>
          <w:rFonts w:asciiTheme="majorBidi" w:hAnsiTheme="majorBidi" w:cstheme="majorBidi"/>
          <w:lang w:val="en-AU"/>
        </w:rPr>
        <w:t xml:space="preserve">provisions </w:t>
      </w:r>
      <w:r w:rsidR="00235349" w:rsidRPr="004C5271">
        <w:rPr>
          <w:rFonts w:asciiTheme="majorBidi" w:hAnsiTheme="majorBidi" w:cstheme="majorBidi"/>
          <w:lang w:val="en-AU"/>
        </w:rPr>
        <w:t>are consistent with the National Committee’s recommendations about the approach that national uniform succession laws should take.</w:t>
      </w:r>
      <w:r w:rsidR="00E33AB6" w:rsidRPr="004C5271">
        <w:rPr>
          <w:rStyle w:val="FootnoteReference"/>
          <w:rFonts w:asciiTheme="majorBidi" w:hAnsiTheme="majorBidi" w:cstheme="majorBidi"/>
          <w:lang w:val="en-AU"/>
        </w:rPr>
        <w:footnoteReference w:id="449"/>
      </w:r>
      <w:r w:rsidR="00235349" w:rsidRPr="004C5271">
        <w:rPr>
          <w:rFonts w:asciiTheme="majorBidi" w:hAnsiTheme="majorBidi" w:cstheme="majorBidi"/>
          <w:lang w:val="en-AU"/>
        </w:rPr>
        <w:t xml:space="preserve"> </w:t>
      </w:r>
      <w:r w:rsidR="00D46DE6" w:rsidRPr="004C5271">
        <w:rPr>
          <w:rFonts w:asciiTheme="majorBidi" w:hAnsiTheme="majorBidi" w:cstheme="majorBidi"/>
          <w:lang w:val="en-AU"/>
        </w:rPr>
        <w:t>There has</w:t>
      </w:r>
      <w:r w:rsidR="008B1190" w:rsidRPr="004C5271">
        <w:rPr>
          <w:rFonts w:asciiTheme="majorBidi" w:hAnsiTheme="majorBidi" w:cstheme="majorBidi"/>
          <w:lang w:val="en-AU"/>
        </w:rPr>
        <w:t>,</w:t>
      </w:r>
      <w:r w:rsidR="00D46DE6" w:rsidRPr="004C5271">
        <w:rPr>
          <w:rFonts w:asciiTheme="majorBidi" w:hAnsiTheme="majorBidi" w:cstheme="majorBidi"/>
          <w:lang w:val="en-AU"/>
        </w:rPr>
        <w:t xml:space="preserve"> however, been some criticism made about how these provisions were developed and drafted based </w:t>
      </w:r>
      <w:r w:rsidR="00914EC4" w:rsidRPr="004C5271">
        <w:rPr>
          <w:rFonts w:asciiTheme="majorBidi" w:hAnsiTheme="majorBidi" w:cstheme="majorBidi"/>
          <w:lang w:val="en-AU"/>
        </w:rPr>
        <w:t xml:space="preserve">upon </w:t>
      </w:r>
      <w:r w:rsidR="00D46DE6" w:rsidRPr="004C5271">
        <w:rPr>
          <w:rFonts w:asciiTheme="majorBidi" w:hAnsiTheme="majorBidi" w:cstheme="majorBidi"/>
          <w:lang w:val="en-AU"/>
        </w:rPr>
        <w:t>the former death duty provisions.</w:t>
      </w:r>
      <w:r w:rsidR="00D46DE6" w:rsidRPr="004C5271">
        <w:rPr>
          <w:rStyle w:val="FootnoteReference"/>
          <w:rFonts w:asciiTheme="majorBidi" w:hAnsiTheme="majorBidi" w:cstheme="majorBidi"/>
          <w:lang w:val="en-AU"/>
        </w:rPr>
        <w:footnoteReference w:id="450"/>
      </w:r>
    </w:p>
    <w:p w14:paraId="67F0B7FD" w14:textId="2EFEE2D1" w:rsidR="00035A02" w:rsidRPr="004C5271" w:rsidRDefault="003F71C0" w:rsidP="003F71C0">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The Issues Paper asked </w:t>
      </w:r>
      <w:r w:rsidR="00235349" w:rsidRPr="004C5271">
        <w:rPr>
          <w:rFonts w:asciiTheme="majorBidi" w:hAnsiTheme="majorBidi" w:cstheme="majorBidi"/>
          <w:lang w:val="en-AU"/>
        </w:rPr>
        <w:t xml:space="preserve">whether </w:t>
      </w:r>
      <w:r w:rsidRPr="004C5271">
        <w:rPr>
          <w:rFonts w:asciiTheme="majorBidi" w:hAnsiTheme="majorBidi" w:cstheme="majorBidi"/>
          <w:lang w:val="en-AU"/>
        </w:rPr>
        <w:t xml:space="preserve">stakeholders considered the NSW </w:t>
      </w:r>
      <w:r w:rsidRPr="004C5271">
        <w:rPr>
          <w:rFonts w:asciiTheme="majorBidi" w:hAnsiTheme="majorBidi" w:cstheme="majorBidi"/>
          <w:i/>
          <w:iCs/>
          <w:lang w:val="en-AU"/>
        </w:rPr>
        <w:t>Succession Act</w:t>
      </w:r>
      <w:r w:rsidRPr="004C5271">
        <w:rPr>
          <w:rFonts w:asciiTheme="majorBidi" w:hAnsiTheme="majorBidi" w:cstheme="majorBidi"/>
          <w:lang w:val="en-AU"/>
        </w:rPr>
        <w:t xml:space="preserve"> was an appropriate precedent </w:t>
      </w:r>
      <w:r w:rsidR="00493FCB" w:rsidRPr="004C5271">
        <w:rPr>
          <w:rFonts w:asciiTheme="majorBidi" w:hAnsiTheme="majorBidi" w:cstheme="majorBidi"/>
          <w:lang w:val="en-AU"/>
        </w:rPr>
        <w:t>or whether there</w:t>
      </w:r>
      <w:r w:rsidR="00235349" w:rsidRPr="004C5271">
        <w:rPr>
          <w:rFonts w:asciiTheme="majorBidi" w:hAnsiTheme="majorBidi" w:cstheme="majorBidi"/>
          <w:lang w:val="en-AU"/>
        </w:rPr>
        <w:t xml:space="preserve"> are any </w:t>
      </w:r>
      <w:r w:rsidR="00493FCB" w:rsidRPr="004C5271">
        <w:rPr>
          <w:rFonts w:asciiTheme="majorBidi" w:hAnsiTheme="majorBidi" w:cstheme="majorBidi"/>
          <w:lang w:val="en-AU"/>
        </w:rPr>
        <w:t xml:space="preserve">perceived </w:t>
      </w:r>
      <w:r w:rsidR="00235349" w:rsidRPr="004C5271">
        <w:rPr>
          <w:rFonts w:asciiTheme="majorBidi" w:hAnsiTheme="majorBidi" w:cstheme="majorBidi"/>
          <w:lang w:val="en-AU"/>
        </w:rPr>
        <w:t xml:space="preserve">difficulties with </w:t>
      </w:r>
      <w:r w:rsidR="006A7926" w:rsidRPr="004C5271">
        <w:rPr>
          <w:rFonts w:asciiTheme="majorBidi" w:hAnsiTheme="majorBidi" w:cstheme="majorBidi"/>
          <w:lang w:val="en-AU"/>
        </w:rPr>
        <w:t>the Act</w:t>
      </w:r>
      <w:r w:rsidR="00235349" w:rsidRPr="004C5271">
        <w:rPr>
          <w:rFonts w:asciiTheme="majorBidi" w:hAnsiTheme="majorBidi" w:cstheme="majorBidi"/>
          <w:lang w:val="en-AU"/>
        </w:rPr>
        <w:t>.</w:t>
      </w:r>
    </w:p>
    <w:p w14:paraId="49356B03" w14:textId="2A4D74B0" w:rsidR="00035A02" w:rsidRPr="004C5271" w:rsidRDefault="00035A02" w:rsidP="00862510">
      <w:pPr>
        <w:pStyle w:val="NumberlessNormalText"/>
        <w:pBdr>
          <w:top w:val="single" w:sz="4" w:space="1" w:color="auto"/>
          <w:left w:val="single" w:sz="4" w:space="1" w:color="auto"/>
          <w:bottom w:val="single" w:sz="4" w:space="1" w:color="auto"/>
          <w:right w:val="single" w:sz="4" w:space="1" w:color="auto"/>
        </w:pBdr>
        <w:rPr>
          <w:rFonts w:asciiTheme="majorBidi" w:hAnsiTheme="majorBidi" w:cstheme="majorBidi"/>
          <w:b/>
          <w:bCs/>
          <w:lang w:val="en-AU"/>
        </w:rPr>
      </w:pPr>
      <w:bookmarkStart w:id="208" w:name="Question5"/>
      <w:r w:rsidRPr="004C5271">
        <w:rPr>
          <w:rFonts w:asciiTheme="majorBidi" w:hAnsiTheme="majorBidi" w:cstheme="majorBidi"/>
          <w:b/>
          <w:bCs/>
          <w:lang w:val="en-AU"/>
        </w:rPr>
        <w:t xml:space="preserve">Question </w:t>
      </w:r>
      <w:r w:rsidR="00E51E39" w:rsidRPr="004C5271">
        <w:rPr>
          <w:rFonts w:asciiTheme="majorBidi" w:hAnsiTheme="majorBidi" w:cstheme="majorBidi"/>
          <w:b/>
          <w:bCs/>
          <w:lang w:val="en-AU"/>
        </w:rPr>
        <w:t>5</w:t>
      </w:r>
    </w:p>
    <w:bookmarkEnd w:id="208"/>
    <w:p w14:paraId="65FC10C1" w14:textId="566E492F" w:rsidR="0093045E" w:rsidRPr="004C5271" w:rsidRDefault="0093045E" w:rsidP="00862510">
      <w:pPr>
        <w:pStyle w:val="NumberlessNormalText"/>
        <w:pBdr>
          <w:top w:val="single" w:sz="4" w:space="1" w:color="auto"/>
          <w:left w:val="single" w:sz="4" w:space="1" w:color="auto"/>
          <w:bottom w:val="single" w:sz="4" w:space="1" w:color="auto"/>
          <w:right w:val="single" w:sz="4" w:space="1" w:color="auto"/>
        </w:pBdr>
        <w:rPr>
          <w:rFonts w:asciiTheme="majorBidi" w:hAnsiTheme="majorBidi" w:cstheme="majorBidi"/>
          <w:lang w:val="en-AU"/>
        </w:rPr>
      </w:pPr>
      <w:r w:rsidRPr="004C5271">
        <w:rPr>
          <w:rFonts w:asciiTheme="majorBidi" w:hAnsiTheme="majorBidi" w:cstheme="majorBidi"/>
          <w:lang w:val="en-AU"/>
        </w:rPr>
        <w:t>If notional estate provisions were introduced in Tasmania, should the New South Wales legislation be used as a precedent? If so, are there any parts of the</w:t>
      </w:r>
      <w:r w:rsidR="008D69F1" w:rsidRPr="004C5271">
        <w:rPr>
          <w:rFonts w:asciiTheme="majorBidi" w:hAnsiTheme="majorBidi" w:cstheme="majorBidi"/>
          <w:lang w:val="en-AU"/>
        </w:rPr>
        <w:t>se</w:t>
      </w:r>
      <w:r w:rsidR="00CF5FFA" w:rsidRPr="004C5271">
        <w:rPr>
          <w:rFonts w:asciiTheme="majorBidi" w:hAnsiTheme="majorBidi" w:cstheme="majorBidi"/>
          <w:lang w:val="en-AU"/>
        </w:rPr>
        <w:t xml:space="preserve"> </w:t>
      </w:r>
      <w:r w:rsidRPr="004C5271">
        <w:rPr>
          <w:rFonts w:asciiTheme="majorBidi" w:hAnsiTheme="majorBidi" w:cstheme="majorBidi"/>
          <w:lang w:val="en-AU"/>
        </w:rPr>
        <w:t xml:space="preserve">provisions that you think should be changed? For example, do you consider that there is a need to make any change to: </w:t>
      </w:r>
    </w:p>
    <w:p w14:paraId="34A2BEAA" w14:textId="4E55086F" w:rsidR="0093045E" w:rsidRPr="004C5271" w:rsidRDefault="00862510" w:rsidP="00862510">
      <w:pPr>
        <w:pStyle w:val="NumberlessNormalText"/>
        <w:pBdr>
          <w:top w:val="single" w:sz="4" w:space="1" w:color="auto"/>
          <w:left w:val="single" w:sz="4" w:space="1" w:color="auto"/>
          <w:bottom w:val="single" w:sz="4" w:space="1" w:color="auto"/>
          <w:right w:val="single" w:sz="4" w:space="1" w:color="auto"/>
        </w:pBdr>
        <w:tabs>
          <w:tab w:val="clear" w:pos="709"/>
          <w:tab w:val="left" w:pos="284"/>
        </w:tabs>
        <w:ind w:left="709" w:hanging="709"/>
        <w:rPr>
          <w:rFonts w:asciiTheme="majorBidi" w:hAnsiTheme="majorBidi" w:cstheme="majorBidi"/>
          <w:lang w:val="en-AU"/>
        </w:rPr>
      </w:pPr>
      <w:r w:rsidRPr="004C5271">
        <w:rPr>
          <w:rFonts w:asciiTheme="majorBidi" w:hAnsiTheme="majorBidi" w:cstheme="majorBidi"/>
          <w:lang w:val="en-AU"/>
        </w:rPr>
        <w:tab/>
        <w:t>(a)</w:t>
      </w:r>
      <w:r w:rsidRPr="004C5271">
        <w:rPr>
          <w:rFonts w:asciiTheme="majorBidi" w:hAnsiTheme="majorBidi" w:cstheme="majorBidi"/>
          <w:lang w:val="en-AU"/>
        </w:rPr>
        <w:tab/>
      </w:r>
      <w:r w:rsidR="00035A02" w:rsidRPr="004C5271">
        <w:rPr>
          <w:rFonts w:asciiTheme="majorBidi" w:hAnsiTheme="majorBidi" w:cstheme="majorBidi"/>
          <w:lang w:val="en-AU"/>
        </w:rPr>
        <w:t xml:space="preserve">the types of property that </w:t>
      </w:r>
      <w:r w:rsidR="008B513A" w:rsidRPr="004C5271">
        <w:rPr>
          <w:rFonts w:asciiTheme="majorBidi" w:hAnsiTheme="majorBidi" w:cstheme="majorBidi"/>
          <w:lang w:val="en-AU"/>
        </w:rPr>
        <w:t>may be affected</w:t>
      </w:r>
      <w:r w:rsidR="00035A02" w:rsidRPr="004C5271">
        <w:rPr>
          <w:rFonts w:asciiTheme="majorBidi" w:hAnsiTheme="majorBidi" w:cstheme="majorBidi"/>
          <w:lang w:val="en-AU"/>
        </w:rPr>
        <w:t>;</w:t>
      </w:r>
    </w:p>
    <w:p w14:paraId="72247394" w14:textId="135B4243" w:rsidR="0093045E" w:rsidRPr="004C5271" w:rsidRDefault="00862510" w:rsidP="00862510">
      <w:pPr>
        <w:pStyle w:val="NumberlessNormalText"/>
        <w:pBdr>
          <w:top w:val="single" w:sz="4" w:space="1" w:color="auto"/>
          <w:left w:val="single" w:sz="4" w:space="1" w:color="auto"/>
          <w:bottom w:val="single" w:sz="4" w:space="1" w:color="auto"/>
          <w:right w:val="single" w:sz="4" w:space="1" w:color="auto"/>
        </w:pBdr>
        <w:tabs>
          <w:tab w:val="clear" w:pos="709"/>
          <w:tab w:val="left" w:pos="284"/>
        </w:tabs>
        <w:ind w:left="709" w:hanging="709"/>
        <w:rPr>
          <w:rFonts w:asciiTheme="majorBidi" w:hAnsiTheme="majorBidi" w:cstheme="majorBidi"/>
          <w:lang w:val="en-AU"/>
        </w:rPr>
      </w:pPr>
      <w:r w:rsidRPr="004C5271">
        <w:rPr>
          <w:rFonts w:asciiTheme="majorBidi" w:hAnsiTheme="majorBidi" w:cstheme="majorBidi"/>
          <w:lang w:val="en-AU"/>
        </w:rPr>
        <w:tab/>
        <w:t>(b)</w:t>
      </w:r>
      <w:r w:rsidRPr="004C5271">
        <w:rPr>
          <w:rFonts w:asciiTheme="majorBidi" w:hAnsiTheme="majorBidi" w:cstheme="majorBidi"/>
          <w:lang w:val="en-AU"/>
        </w:rPr>
        <w:tab/>
      </w:r>
      <w:r w:rsidR="00035A02" w:rsidRPr="004C5271">
        <w:rPr>
          <w:rFonts w:asciiTheme="majorBidi" w:hAnsiTheme="majorBidi" w:cstheme="majorBidi"/>
          <w:lang w:val="en-AU"/>
        </w:rPr>
        <w:t>the acts (or failures to act) captured;</w:t>
      </w:r>
    </w:p>
    <w:p w14:paraId="3AB6E997" w14:textId="25110540" w:rsidR="0093045E" w:rsidRPr="004C5271" w:rsidRDefault="00862510" w:rsidP="00862510">
      <w:pPr>
        <w:pStyle w:val="NumberlessNormalText"/>
        <w:pBdr>
          <w:top w:val="single" w:sz="4" w:space="1" w:color="auto"/>
          <w:left w:val="single" w:sz="4" w:space="1" w:color="auto"/>
          <w:bottom w:val="single" w:sz="4" w:space="1" w:color="auto"/>
          <w:right w:val="single" w:sz="4" w:space="1" w:color="auto"/>
        </w:pBdr>
        <w:tabs>
          <w:tab w:val="clear" w:pos="709"/>
          <w:tab w:val="left" w:pos="284"/>
        </w:tabs>
        <w:ind w:left="709" w:hanging="709"/>
        <w:rPr>
          <w:rFonts w:asciiTheme="majorBidi" w:hAnsiTheme="majorBidi" w:cstheme="majorBidi"/>
          <w:lang w:val="en-AU"/>
        </w:rPr>
      </w:pPr>
      <w:r w:rsidRPr="004C5271">
        <w:rPr>
          <w:rFonts w:asciiTheme="majorBidi" w:hAnsiTheme="majorBidi" w:cstheme="majorBidi"/>
          <w:lang w:val="en-AU"/>
        </w:rPr>
        <w:tab/>
        <w:t>(c)</w:t>
      </w:r>
      <w:r w:rsidRPr="004C5271">
        <w:rPr>
          <w:rFonts w:asciiTheme="majorBidi" w:hAnsiTheme="majorBidi" w:cstheme="majorBidi"/>
          <w:lang w:val="en-AU"/>
        </w:rPr>
        <w:tab/>
      </w:r>
      <w:r w:rsidR="00035A02" w:rsidRPr="004C5271">
        <w:rPr>
          <w:rFonts w:asciiTheme="majorBidi" w:hAnsiTheme="majorBidi" w:cstheme="majorBidi"/>
          <w:lang w:val="en-AU"/>
        </w:rPr>
        <w:t>the relevance of a person’s intentions;</w:t>
      </w:r>
    </w:p>
    <w:p w14:paraId="72F3DC62" w14:textId="2CA9826D" w:rsidR="0093045E" w:rsidRPr="004C5271" w:rsidRDefault="00862510" w:rsidP="00862510">
      <w:pPr>
        <w:pStyle w:val="NumberlessNormalText"/>
        <w:pBdr>
          <w:top w:val="single" w:sz="4" w:space="1" w:color="auto"/>
          <w:left w:val="single" w:sz="4" w:space="1" w:color="auto"/>
          <w:bottom w:val="single" w:sz="4" w:space="1" w:color="auto"/>
          <w:right w:val="single" w:sz="4" w:space="1" w:color="auto"/>
        </w:pBdr>
        <w:tabs>
          <w:tab w:val="clear" w:pos="709"/>
          <w:tab w:val="left" w:pos="284"/>
        </w:tabs>
        <w:ind w:left="709" w:hanging="709"/>
        <w:rPr>
          <w:rFonts w:asciiTheme="majorBidi" w:hAnsiTheme="majorBidi" w:cstheme="majorBidi"/>
          <w:lang w:val="en-AU"/>
        </w:rPr>
      </w:pPr>
      <w:r w:rsidRPr="004C5271">
        <w:rPr>
          <w:rFonts w:asciiTheme="majorBidi" w:hAnsiTheme="majorBidi" w:cstheme="majorBidi"/>
          <w:lang w:val="en-AU"/>
        </w:rPr>
        <w:tab/>
        <w:t>(d)</w:t>
      </w:r>
      <w:r w:rsidRPr="004C5271">
        <w:rPr>
          <w:rFonts w:asciiTheme="majorBidi" w:hAnsiTheme="majorBidi" w:cstheme="majorBidi"/>
          <w:lang w:val="en-AU"/>
        </w:rPr>
        <w:tab/>
      </w:r>
      <w:r w:rsidR="00035A02" w:rsidRPr="004C5271">
        <w:rPr>
          <w:rFonts w:asciiTheme="majorBidi" w:hAnsiTheme="majorBidi" w:cstheme="majorBidi"/>
          <w:lang w:val="en-AU"/>
        </w:rPr>
        <w:t xml:space="preserve">the period of time in which a relevant property </w:t>
      </w:r>
      <w:r w:rsidR="000C726F" w:rsidRPr="004C5271">
        <w:rPr>
          <w:rFonts w:asciiTheme="majorBidi" w:hAnsiTheme="majorBidi" w:cstheme="majorBidi"/>
          <w:lang w:val="en-AU"/>
        </w:rPr>
        <w:t>transaction</w:t>
      </w:r>
      <w:r w:rsidR="00035A02" w:rsidRPr="004C5271">
        <w:rPr>
          <w:rFonts w:asciiTheme="majorBidi" w:hAnsiTheme="majorBidi" w:cstheme="majorBidi"/>
          <w:lang w:val="en-AU"/>
        </w:rPr>
        <w:t xml:space="preserve"> occurs that is covered;</w:t>
      </w:r>
    </w:p>
    <w:p w14:paraId="10B9DF95" w14:textId="7BB1D727" w:rsidR="0093045E" w:rsidRPr="004C5271" w:rsidRDefault="00862510" w:rsidP="00862510">
      <w:pPr>
        <w:pStyle w:val="NumberlessNormalText"/>
        <w:pBdr>
          <w:top w:val="single" w:sz="4" w:space="1" w:color="auto"/>
          <w:left w:val="single" w:sz="4" w:space="1" w:color="auto"/>
          <w:bottom w:val="single" w:sz="4" w:space="1" w:color="auto"/>
          <w:right w:val="single" w:sz="4" w:space="1" w:color="auto"/>
        </w:pBdr>
        <w:tabs>
          <w:tab w:val="clear" w:pos="709"/>
          <w:tab w:val="left" w:pos="284"/>
        </w:tabs>
        <w:ind w:left="709" w:hanging="709"/>
        <w:rPr>
          <w:rFonts w:asciiTheme="majorBidi" w:hAnsiTheme="majorBidi" w:cstheme="majorBidi"/>
          <w:lang w:val="en-AU"/>
        </w:rPr>
      </w:pPr>
      <w:r w:rsidRPr="004C5271">
        <w:rPr>
          <w:rFonts w:asciiTheme="majorBidi" w:hAnsiTheme="majorBidi" w:cstheme="majorBidi"/>
          <w:lang w:val="en-AU"/>
        </w:rPr>
        <w:tab/>
        <w:t>(e)</w:t>
      </w:r>
      <w:r w:rsidRPr="004C5271">
        <w:rPr>
          <w:rFonts w:asciiTheme="majorBidi" w:hAnsiTheme="majorBidi" w:cstheme="majorBidi"/>
          <w:lang w:val="en-AU"/>
        </w:rPr>
        <w:tab/>
      </w:r>
      <w:r w:rsidR="00035A02" w:rsidRPr="004C5271">
        <w:rPr>
          <w:rFonts w:asciiTheme="majorBidi" w:hAnsiTheme="majorBidi" w:cstheme="majorBidi"/>
          <w:lang w:val="en-AU"/>
        </w:rPr>
        <w:t>the circumstances in which a notional estate order may be made; or</w:t>
      </w:r>
    </w:p>
    <w:p w14:paraId="48BE40C9" w14:textId="0EFBE54C" w:rsidR="00035A02" w:rsidRPr="004C5271" w:rsidRDefault="00862510" w:rsidP="00862510">
      <w:pPr>
        <w:pStyle w:val="NumberlessNormalText"/>
        <w:pBdr>
          <w:top w:val="single" w:sz="4" w:space="1" w:color="auto"/>
          <w:left w:val="single" w:sz="4" w:space="1" w:color="auto"/>
          <w:bottom w:val="single" w:sz="4" w:space="1" w:color="auto"/>
          <w:right w:val="single" w:sz="4" w:space="1" w:color="auto"/>
        </w:pBdr>
        <w:tabs>
          <w:tab w:val="clear" w:pos="709"/>
          <w:tab w:val="left" w:pos="284"/>
        </w:tabs>
        <w:ind w:left="709" w:hanging="709"/>
        <w:rPr>
          <w:rFonts w:asciiTheme="majorBidi" w:hAnsiTheme="majorBidi" w:cstheme="majorBidi"/>
          <w:lang w:val="en-AU"/>
        </w:rPr>
      </w:pPr>
      <w:r w:rsidRPr="004C5271">
        <w:rPr>
          <w:rFonts w:asciiTheme="majorBidi" w:hAnsiTheme="majorBidi" w:cstheme="majorBidi"/>
          <w:lang w:val="en-AU"/>
        </w:rPr>
        <w:tab/>
        <w:t>(f)</w:t>
      </w:r>
      <w:r w:rsidRPr="004C5271">
        <w:rPr>
          <w:rFonts w:asciiTheme="majorBidi" w:hAnsiTheme="majorBidi" w:cstheme="majorBidi"/>
          <w:lang w:val="en-AU"/>
        </w:rPr>
        <w:tab/>
      </w:r>
      <w:r w:rsidR="00035A02" w:rsidRPr="004C5271">
        <w:rPr>
          <w:rFonts w:asciiTheme="majorBidi" w:hAnsiTheme="majorBidi" w:cstheme="majorBidi"/>
          <w:lang w:val="en-AU"/>
        </w:rPr>
        <w:t>any other provisions.</w:t>
      </w:r>
    </w:p>
    <w:p w14:paraId="4C107D68" w14:textId="17307663" w:rsidR="0081219F" w:rsidRPr="004C5271" w:rsidRDefault="002B2942" w:rsidP="00606E57">
      <w:pPr>
        <w:pStyle w:val="NormalNumberedTextTLRI"/>
        <w:rPr>
          <w:rFonts w:asciiTheme="majorBidi" w:hAnsiTheme="majorBidi" w:cstheme="majorBidi"/>
          <w:lang w:val="en-AU"/>
        </w:rPr>
      </w:pPr>
      <w:r w:rsidRPr="004C5271">
        <w:rPr>
          <w:rFonts w:asciiTheme="majorBidi" w:hAnsiTheme="majorBidi" w:cstheme="majorBidi"/>
          <w:lang w:val="en-AU"/>
        </w:rPr>
        <w:t>Fifteen</w:t>
      </w:r>
      <w:r w:rsidR="00606E57" w:rsidRPr="004C5271">
        <w:rPr>
          <w:rFonts w:asciiTheme="majorBidi" w:hAnsiTheme="majorBidi" w:cstheme="majorBidi"/>
          <w:lang w:val="en-AU"/>
        </w:rPr>
        <w:t xml:space="preserve"> </w:t>
      </w:r>
      <w:r w:rsidR="006B2DD0" w:rsidRPr="004C5271">
        <w:rPr>
          <w:rFonts w:asciiTheme="majorBidi" w:hAnsiTheme="majorBidi" w:cstheme="majorBidi"/>
          <w:lang w:val="en-AU"/>
        </w:rPr>
        <w:t>submissions</w:t>
      </w:r>
      <w:r w:rsidR="00606E57" w:rsidRPr="004C5271">
        <w:rPr>
          <w:rFonts w:asciiTheme="majorBidi" w:hAnsiTheme="majorBidi" w:cstheme="majorBidi"/>
          <w:lang w:val="en-AU"/>
        </w:rPr>
        <w:t xml:space="preserve"> addressed this question.</w:t>
      </w:r>
      <w:r w:rsidR="004C70FA" w:rsidRPr="004C5271">
        <w:rPr>
          <w:rStyle w:val="FootnoteReference"/>
          <w:rFonts w:asciiTheme="majorBidi" w:hAnsiTheme="majorBidi" w:cstheme="majorBidi"/>
          <w:lang w:val="en-AU"/>
        </w:rPr>
        <w:footnoteReference w:id="451"/>
      </w:r>
      <w:r w:rsidR="00606E57" w:rsidRPr="004C5271">
        <w:rPr>
          <w:rFonts w:asciiTheme="majorBidi" w:hAnsiTheme="majorBidi" w:cstheme="majorBidi"/>
          <w:lang w:val="en-AU"/>
        </w:rPr>
        <w:t xml:space="preserve"> </w:t>
      </w:r>
      <w:r w:rsidR="004C70FA" w:rsidRPr="004C5271">
        <w:rPr>
          <w:rFonts w:asciiTheme="majorBidi" w:hAnsiTheme="majorBidi" w:cstheme="majorBidi"/>
          <w:lang w:val="en-AU"/>
        </w:rPr>
        <w:t xml:space="preserve">Whilst not all respondents agreed that Tasmania should enact notional estate provisions, </w:t>
      </w:r>
      <w:r w:rsidR="006B2DD0" w:rsidRPr="004C5271">
        <w:rPr>
          <w:rFonts w:asciiTheme="majorBidi" w:hAnsiTheme="majorBidi" w:cstheme="majorBidi"/>
          <w:lang w:val="en-AU"/>
        </w:rPr>
        <w:lastRenderedPageBreak/>
        <w:t>eight</w:t>
      </w:r>
      <w:r w:rsidR="006B2DD0" w:rsidRPr="004C5271">
        <w:rPr>
          <w:rStyle w:val="FootnoteReference"/>
          <w:rFonts w:asciiTheme="majorBidi" w:hAnsiTheme="majorBidi" w:cstheme="majorBidi"/>
          <w:lang w:val="en-AU"/>
        </w:rPr>
        <w:footnoteReference w:id="452"/>
      </w:r>
      <w:r w:rsidR="006B2DD0" w:rsidRPr="004C5271">
        <w:rPr>
          <w:rFonts w:asciiTheme="majorBidi" w:hAnsiTheme="majorBidi" w:cstheme="majorBidi"/>
          <w:lang w:val="en-AU"/>
        </w:rPr>
        <w:t xml:space="preserve"> </w:t>
      </w:r>
      <w:r w:rsidR="00606E57" w:rsidRPr="004C5271">
        <w:rPr>
          <w:rFonts w:asciiTheme="majorBidi" w:hAnsiTheme="majorBidi" w:cstheme="majorBidi"/>
          <w:lang w:val="en-AU"/>
        </w:rPr>
        <w:t>considered that</w:t>
      </w:r>
      <w:r w:rsidR="00E1419D" w:rsidRPr="004C5271">
        <w:rPr>
          <w:rFonts w:asciiTheme="majorBidi" w:hAnsiTheme="majorBidi" w:cstheme="majorBidi"/>
          <w:lang w:val="en-AU"/>
        </w:rPr>
        <w:t>, if notional estate laws were introduced,</w:t>
      </w:r>
      <w:r w:rsidR="00606E57" w:rsidRPr="004C5271">
        <w:rPr>
          <w:rFonts w:asciiTheme="majorBidi" w:hAnsiTheme="majorBidi" w:cstheme="majorBidi"/>
          <w:lang w:val="en-AU"/>
        </w:rPr>
        <w:t xml:space="preserve"> the </w:t>
      </w:r>
      <w:r w:rsidR="00020C24" w:rsidRPr="004C5271">
        <w:rPr>
          <w:rFonts w:asciiTheme="majorBidi" w:hAnsiTheme="majorBidi" w:cstheme="majorBidi"/>
          <w:lang w:val="en-AU"/>
        </w:rPr>
        <w:t xml:space="preserve">NSW </w:t>
      </w:r>
      <w:r w:rsidR="00020C24" w:rsidRPr="004C5271">
        <w:rPr>
          <w:rFonts w:asciiTheme="majorBidi" w:hAnsiTheme="majorBidi" w:cstheme="majorBidi"/>
          <w:i/>
          <w:iCs/>
          <w:lang w:val="en-AU"/>
        </w:rPr>
        <w:t>Succession Act</w:t>
      </w:r>
      <w:r w:rsidR="00606E57" w:rsidRPr="004C5271">
        <w:rPr>
          <w:rFonts w:asciiTheme="majorBidi" w:hAnsiTheme="majorBidi" w:cstheme="majorBidi"/>
          <w:lang w:val="en-AU"/>
        </w:rPr>
        <w:t xml:space="preserve"> </w:t>
      </w:r>
      <w:r w:rsidR="00E1419D" w:rsidRPr="004C5271">
        <w:rPr>
          <w:rFonts w:asciiTheme="majorBidi" w:hAnsiTheme="majorBidi" w:cstheme="majorBidi"/>
          <w:lang w:val="en-AU"/>
        </w:rPr>
        <w:t>should be</w:t>
      </w:r>
      <w:r w:rsidR="00606E57" w:rsidRPr="004C5271">
        <w:rPr>
          <w:rFonts w:asciiTheme="majorBidi" w:hAnsiTheme="majorBidi" w:cstheme="majorBidi"/>
          <w:lang w:val="en-AU"/>
        </w:rPr>
        <w:t xml:space="preserve"> use</w:t>
      </w:r>
      <w:r w:rsidR="00E1419D" w:rsidRPr="004C5271">
        <w:rPr>
          <w:rFonts w:asciiTheme="majorBidi" w:hAnsiTheme="majorBidi" w:cstheme="majorBidi"/>
          <w:lang w:val="en-AU"/>
        </w:rPr>
        <w:t>d</w:t>
      </w:r>
      <w:r w:rsidR="00606E57" w:rsidRPr="004C5271">
        <w:rPr>
          <w:rFonts w:asciiTheme="majorBidi" w:hAnsiTheme="majorBidi" w:cstheme="majorBidi"/>
          <w:lang w:val="en-AU"/>
        </w:rPr>
        <w:t xml:space="preserve"> as a </w:t>
      </w:r>
      <w:r w:rsidR="00E36671" w:rsidRPr="004C5271">
        <w:rPr>
          <w:rFonts w:asciiTheme="majorBidi" w:hAnsiTheme="majorBidi" w:cstheme="majorBidi"/>
          <w:lang w:val="en-AU"/>
        </w:rPr>
        <w:t>base for legislative reform</w:t>
      </w:r>
      <w:r w:rsidR="00DB4970" w:rsidRPr="004C5271">
        <w:rPr>
          <w:rFonts w:asciiTheme="majorBidi" w:hAnsiTheme="majorBidi" w:cstheme="majorBidi"/>
          <w:lang w:val="en-AU"/>
        </w:rPr>
        <w:t>.</w:t>
      </w:r>
      <w:r w:rsidR="00606E57" w:rsidRPr="004C5271">
        <w:rPr>
          <w:rFonts w:asciiTheme="majorBidi" w:hAnsiTheme="majorBidi" w:cstheme="majorBidi"/>
          <w:lang w:val="en-AU"/>
        </w:rPr>
        <w:t xml:space="preserve"> </w:t>
      </w:r>
      <w:r w:rsidR="0081219F" w:rsidRPr="004C5271">
        <w:rPr>
          <w:rFonts w:asciiTheme="majorBidi" w:hAnsiTheme="majorBidi" w:cstheme="majorBidi"/>
          <w:lang w:val="en-AU"/>
        </w:rPr>
        <w:t xml:space="preserve">Steven Bishop made the following comments about the utility of </w:t>
      </w:r>
      <w:r w:rsidR="00020C24" w:rsidRPr="004C5271">
        <w:rPr>
          <w:rFonts w:asciiTheme="majorBidi" w:hAnsiTheme="majorBidi" w:cstheme="majorBidi"/>
          <w:lang w:val="en-AU"/>
        </w:rPr>
        <w:t>doing so</w:t>
      </w:r>
      <w:r w:rsidR="0081219F" w:rsidRPr="004C5271">
        <w:rPr>
          <w:rFonts w:asciiTheme="majorBidi" w:hAnsiTheme="majorBidi" w:cstheme="majorBidi"/>
          <w:lang w:val="en-AU"/>
        </w:rPr>
        <w:t>:</w:t>
      </w:r>
    </w:p>
    <w:p w14:paraId="237C88C7" w14:textId="0BF05978" w:rsidR="0081219F" w:rsidRPr="004C5271" w:rsidRDefault="0081219F" w:rsidP="00330081">
      <w:pPr>
        <w:pStyle w:val="QuoteTLRI"/>
        <w:rPr>
          <w:rFonts w:asciiTheme="majorBidi" w:hAnsiTheme="majorBidi" w:cstheme="majorBidi"/>
        </w:rPr>
      </w:pPr>
      <w:r w:rsidRPr="004C5271">
        <w:rPr>
          <w:rFonts w:asciiTheme="majorBidi" w:hAnsiTheme="majorBidi" w:cstheme="majorBidi"/>
        </w:rPr>
        <w:t xml:space="preserve">It is ridiculous that in this day and age in a modern nation such as Australia there should be State differences in important laws. I cannot conceive of any changes that </w:t>
      </w:r>
      <w:r w:rsidR="000F0CCE" w:rsidRPr="004C5271">
        <w:rPr>
          <w:rFonts w:asciiTheme="majorBidi" w:hAnsiTheme="majorBidi" w:cstheme="majorBidi"/>
        </w:rPr>
        <w:t xml:space="preserve">are </w:t>
      </w:r>
      <w:r w:rsidRPr="004C5271">
        <w:rPr>
          <w:rFonts w:asciiTheme="majorBidi" w:hAnsiTheme="majorBidi" w:cstheme="majorBidi"/>
        </w:rPr>
        <w:t>of such monumental significance that they require different provisions for different Australians.</w:t>
      </w:r>
    </w:p>
    <w:p w14:paraId="7D2874F5" w14:textId="1EA5196D" w:rsidR="0081219F" w:rsidRPr="004C5271" w:rsidRDefault="0081219F" w:rsidP="00330081">
      <w:pPr>
        <w:pStyle w:val="QuoteTLRI"/>
        <w:rPr>
          <w:rFonts w:asciiTheme="majorBidi" w:hAnsiTheme="majorBidi" w:cstheme="majorBidi"/>
        </w:rPr>
      </w:pPr>
      <w:r w:rsidRPr="004C5271">
        <w:rPr>
          <w:rFonts w:asciiTheme="majorBidi" w:hAnsiTheme="majorBidi" w:cstheme="majorBidi"/>
        </w:rPr>
        <w:t>Adopting the New South Wales Provisions will enable access to a considerable body of pre-existing jurisprudence for the guidance of the profession. Of course</w:t>
      </w:r>
      <w:r w:rsidR="000F0CCE" w:rsidRPr="004C5271">
        <w:rPr>
          <w:rFonts w:asciiTheme="majorBidi" w:hAnsiTheme="majorBidi" w:cstheme="majorBidi"/>
        </w:rPr>
        <w:t>,</w:t>
      </w:r>
      <w:r w:rsidRPr="004C5271">
        <w:rPr>
          <w:rFonts w:asciiTheme="majorBidi" w:hAnsiTheme="majorBidi" w:cstheme="majorBidi"/>
        </w:rPr>
        <w:t xml:space="preserve"> this includes judicial decisions, but also the text books and learned papers that we already have anyway.</w:t>
      </w:r>
      <w:r w:rsidRPr="004C5271">
        <w:rPr>
          <w:rStyle w:val="FootnoteReference"/>
          <w:rFonts w:asciiTheme="majorBidi" w:hAnsiTheme="majorBidi" w:cstheme="majorBidi"/>
        </w:rPr>
        <w:footnoteReference w:id="453"/>
      </w:r>
    </w:p>
    <w:p w14:paraId="24612827" w14:textId="64AB0061" w:rsidR="00AC48D2" w:rsidRPr="004C5271" w:rsidRDefault="00E1419D" w:rsidP="003C56CE">
      <w:pPr>
        <w:pStyle w:val="NormalNumberedTextTLRI"/>
        <w:rPr>
          <w:rFonts w:asciiTheme="majorBidi" w:hAnsiTheme="majorBidi" w:cstheme="majorBidi"/>
          <w:lang w:val="en-AU"/>
        </w:rPr>
      </w:pPr>
      <w:r w:rsidRPr="004C5271">
        <w:rPr>
          <w:rFonts w:asciiTheme="majorBidi" w:hAnsiTheme="majorBidi" w:cstheme="majorBidi"/>
          <w:lang w:val="en-AU"/>
        </w:rPr>
        <w:t xml:space="preserve">The Elder Law Committee also expressed the view that it would </w:t>
      </w:r>
      <w:r w:rsidR="00037295" w:rsidRPr="004C5271">
        <w:rPr>
          <w:rFonts w:asciiTheme="majorBidi" w:hAnsiTheme="majorBidi" w:cstheme="majorBidi"/>
          <w:lang w:val="en-AU"/>
        </w:rPr>
        <w:t>‘</w:t>
      </w:r>
      <w:r w:rsidRPr="004C5271">
        <w:rPr>
          <w:rFonts w:asciiTheme="majorBidi" w:hAnsiTheme="majorBidi" w:cstheme="majorBidi"/>
          <w:lang w:val="en-AU"/>
        </w:rPr>
        <w:t>seem sensible</w:t>
      </w:r>
      <w:r w:rsidR="00037295" w:rsidRPr="004C5271">
        <w:rPr>
          <w:rFonts w:asciiTheme="majorBidi" w:hAnsiTheme="majorBidi" w:cstheme="majorBidi"/>
          <w:lang w:val="en-AU"/>
        </w:rPr>
        <w:t>’</w:t>
      </w:r>
      <w:r w:rsidRPr="004C5271">
        <w:rPr>
          <w:rFonts w:asciiTheme="majorBidi" w:hAnsiTheme="majorBidi" w:cstheme="majorBidi"/>
          <w:lang w:val="en-AU"/>
        </w:rPr>
        <w:t xml:space="preserve"> to have consistent legislation. </w:t>
      </w:r>
      <w:r w:rsidR="006B2DD0" w:rsidRPr="004C5271">
        <w:rPr>
          <w:rFonts w:asciiTheme="majorBidi" w:hAnsiTheme="majorBidi" w:cstheme="majorBidi"/>
          <w:lang w:val="en-AU"/>
        </w:rPr>
        <w:t>Th</w:t>
      </w:r>
      <w:r w:rsidR="00AC48D2" w:rsidRPr="004C5271">
        <w:rPr>
          <w:rFonts w:asciiTheme="majorBidi" w:hAnsiTheme="majorBidi" w:cstheme="majorBidi"/>
          <w:lang w:val="en-AU"/>
        </w:rPr>
        <w:t>e benefits of nationally consistent succession laws</w:t>
      </w:r>
      <w:r w:rsidR="006B2DD0" w:rsidRPr="004C5271">
        <w:rPr>
          <w:rFonts w:asciiTheme="majorBidi" w:hAnsiTheme="majorBidi" w:cstheme="majorBidi"/>
          <w:lang w:val="en-AU"/>
        </w:rPr>
        <w:t xml:space="preserve"> have also been advocated previously</w:t>
      </w:r>
      <w:r w:rsidR="00AC48D2" w:rsidRPr="004C5271">
        <w:rPr>
          <w:rFonts w:asciiTheme="majorBidi" w:hAnsiTheme="majorBidi" w:cstheme="majorBidi"/>
          <w:lang w:val="en-AU"/>
        </w:rPr>
        <w:t>.</w:t>
      </w:r>
      <w:r w:rsidR="00AC48D2" w:rsidRPr="004C5271">
        <w:rPr>
          <w:rStyle w:val="FootnoteReference"/>
          <w:rFonts w:asciiTheme="majorBidi" w:hAnsiTheme="majorBidi" w:cstheme="majorBidi"/>
          <w:lang w:val="en-AU"/>
        </w:rPr>
        <w:footnoteReference w:id="454"/>
      </w:r>
    </w:p>
    <w:p w14:paraId="53A44FE3" w14:textId="1309B70F" w:rsidR="00405019" w:rsidRPr="004C5271" w:rsidRDefault="002B2942" w:rsidP="00606E57">
      <w:pPr>
        <w:pStyle w:val="NormalNumberedTextTLRI"/>
        <w:rPr>
          <w:rFonts w:asciiTheme="majorBidi" w:hAnsiTheme="majorBidi" w:cstheme="majorBidi"/>
          <w:lang w:val="en-AU"/>
        </w:rPr>
      </w:pPr>
      <w:r w:rsidRPr="004C5271">
        <w:rPr>
          <w:rFonts w:asciiTheme="majorBidi" w:hAnsiTheme="majorBidi" w:cstheme="majorBidi"/>
          <w:lang w:val="en-AU"/>
        </w:rPr>
        <w:t>Nine</w:t>
      </w:r>
      <w:r w:rsidR="006B2DD0" w:rsidRPr="004C5271">
        <w:rPr>
          <w:rFonts w:asciiTheme="majorBidi" w:hAnsiTheme="majorBidi" w:cstheme="majorBidi"/>
          <w:lang w:val="en-AU"/>
        </w:rPr>
        <w:t xml:space="preserve"> submissions</w:t>
      </w:r>
      <w:r w:rsidR="00405019" w:rsidRPr="004C5271">
        <w:rPr>
          <w:rStyle w:val="FootnoteReference"/>
          <w:rFonts w:asciiTheme="majorBidi" w:hAnsiTheme="majorBidi" w:cstheme="majorBidi"/>
          <w:lang w:val="en-AU"/>
        </w:rPr>
        <w:footnoteReference w:id="455"/>
      </w:r>
      <w:r w:rsidR="00DB4970" w:rsidRPr="004C5271">
        <w:rPr>
          <w:rFonts w:asciiTheme="majorBidi" w:hAnsiTheme="majorBidi" w:cstheme="majorBidi"/>
          <w:lang w:val="en-AU"/>
        </w:rPr>
        <w:t xml:space="preserve"> </w:t>
      </w:r>
      <w:r w:rsidR="00606E57" w:rsidRPr="004C5271">
        <w:rPr>
          <w:rFonts w:asciiTheme="majorBidi" w:hAnsiTheme="majorBidi" w:cstheme="majorBidi"/>
          <w:lang w:val="en-AU"/>
        </w:rPr>
        <w:t>express</w:t>
      </w:r>
      <w:r w:rsidR="00DB4970" w:rsidRPr="004C5271">
        <w:rPr>
          <w:rFonts w:asciiTheme="majorBidi" w:hAnsiTheme="majorBidi" w:cstheme="majorBidi"/>
          <w:lang w:val="en-AU"/>
        </w:rPr>
        <w:t>ed</w:t>
      </w:r>
      <w:r w:rsidR="00606E57" w:rsidRPr="004C5271">
        <w:rPr>
          <w:rFonts w:asciiTheme="majorBidi" w:hAnsiTheme="majorBidi" w:cstheme="majorBidi"/>
          <w:lang w:val="en-AU"/>
        </w:rPr>
        <w:t xml:space="preserve"> a view tha</w:t>
      </w:r>
      <w:r w:rsidR="00B3134A" w:rsidRPr="004C5271">
        <w:rPr>
          <w:rFonts w:asciiTheme="majorBidi" w:hAnsiTheme="majorBidi" w:cstheme="majorBidi"/>
          <w:lang w:val="en-AU"/>
        </w:rPr>
        <w:t xml:space="preserve">t, if notional estate legislation were introduced, </w:t>
      </w:r>
      <w:r w:rsidR="00E656AF" w:rsidRPr="004C5271">
        <w:rPr>
          <w:rFonts w:asciiTheme="majorBidi" w:hAnsiTheme="majorBidi" w:cstheme="majorBidi"/>
          <w:lang w:val="en-AU"/>
        </w:rPr>
        <w:t xml:space="preserve">there should be variations made to the </w:t>
      </w:r>
      <w:r w:rsidR="006B2DD0" w:rsidRPr="004C5271">
        <w:rPr>
          <w:rFonts w:asciiTheme="majorBidi" w:hAnsiTheme="majorBidi" w:cstheme="majorBidi"/>
          <w:lang w:val="en-AU"/>
        </w:rPr>
        <w:t>New South Wales</w:t>
      </w:r>
      <w:r w:rsidR="00E656AF" w:rsidRPr="004C5271">
        <w:rPr>
          <w:rFonts w:asciiTheme="majorBidi" w:hAnsiTheme="majorBidi" w:cstheme="majorBidi"/>
          <w:lang w:val="en-AU"/>
        </w:rPr>
        <w:t xml:space="preserve"> legislation. </w:t>
      </w:r>
      <w:r w:rsidR="00405019" w:rsidRPr="004C5271">
        <w:rPr>
          <w:rFonts w:asciiTheme="majorBidi" w:hAnsiTheme="majorBidi" w:cstheme="majorBidi"/>
          <w:lang w:val="en-AU"/>
        </w:rPr>
        <w:t>One respondent</w:t>
      </w:r>
      <w:r w:rsidR="00405019" w:rsidRPr="004C5271">
        <w:rPr>
          <w:rStyle w:val="FootnoteReference"/>
          <w:rFonts w:asciiTheme="majorBidi" w:hAnsiTheme="majorBidi" w:cstheme="majorBidi"/>
          <w:lang w:val="en-AU"/>
        </w:rPr>
        <w:footnoteReference w:id="456"/>
      </w:r>
      <w:r w:rsidR="00405019" w:rsidRPr="004C5271">
        <w:rPr>
          <w:rFonts w:asciiTheme="majorBidi" w:hAnsiTheme="majorBidi" w:cstheme="majorBidi"/>
          <w:lang w:val="en-AU"/>
        </w:rPr>
        <w:t xml:space="preserve"> disagreed that the New South Wales </w:t>
      </w:r>
      <w:r w:rsidR="00E36671" w:rsidRPr="004C5271">
        <w:rPr>
          <w:rFonts w:asciiTheme="majorBidi" w:hAnsiTheme="majorBidi" w:cstheme="majorBidi"/>
          <w:lang w:val="en-AU"/>
        </w:rPr>
        <w:t>approach</w:t>
      </w:r>
      <w:r w:rsidR="00405019" w:rsidRPr="004C5271">
        <w:rPr>
          <w:rFonts w:asciiTheme="majorBidi" w:hAnsiTheme="majorBidi" w:cstheme="majorBidi"/>
          <w:lang w:val="en-AU"/>
        </w:rPr>
        <w:t xml:space="preserve"> </w:t>
      </w:r>
      <w:r w:rsidR="000F0CCE" w:rsidRPr="004C5271">
        <w:rPr>
          <w:rFonts w:asciiTheme="majorBidi" w:hAnsiTheme="majorBidi" w:cstheme="majorBidi"/>
          <w:lang w:val="en-AU"/>
        </w:rPr>
        <w:t xml:space="preserve">should </w:t>
      </w:r>
      <w:r w:rsidR="00405019" w:rsidRPr="004C5271">
        <w:rPr>
          <w:rFonts w:asciiTheme="majorBidi" w:hAnsiTheme="majorBidi" w:cstheme="majorBidi"/>
          <w:lang w:val="en-AU"/>
        </w:rPr>
        <w:t xml:space="preserve">be </w:t>
      </w:r>
      <w:r w:rsidR="00E36671" w:rsidRPr="004C5271">
        <w:rPr>
          <w:rFonts w:asciiTheme="majorBidi" w:hAnsiTheme="majorBidi" w:cstheme="majorBidi"/>
          <w:lang w:val="en-AU"/>
        </w:rPr>
        <w:t>adopted</w:t>
      </w:r>
      <w:r w:rsidR="00405019" w:rsidRPr="004C5271">
        <w:rPr>
          <w:rFonts w:asciiTheme="majorBidi" w:hAnsiTheme="majorBidi" w:cstheme="majorBidi"/>
          <w:lang w:val="en-AU"/>
        </w:rPr>
        <w:t xml:space="preserve">. </w:t>
      </w:r>
    </w:p>
    <w:p w14:paraId="1699BFB2" w14:textId="5E15C665" w:rsidR="00606E57" w:rsidRPr="004C5271" w:rsidRDefault="00E36671" w:rsidP="00606E57">
      <w:pPr>
        <w:pStyle w:val="NormalNumberedTextTLRI"/>
        <w:rPr>
          <w:rFonts w:asciiTheme="majorBidi" w:hAnsiTheme="majorBidi" w:cstheme="majorBidi"/>
          <w:lang w:val="en-AU"/>
        </w:rPr>
      </w:pPr>
      <w:r w:rsidRPr="004C5271">
        <w:rPr>
          <w:rFonts w:asciiTheme="majorBidi" w:hAnsiTheme="majorBidi" w:cstheme="majorBidi"/>
          <w:lang w:val="en-AU"/>
        </w:rPr>
        <w:t>T</w:t>
      </w:r>
      <w:r w:rsidR="00405019" w:rsidRPr="004C5271">
        <w:rPr>
          <w:rFonts w:asciiTheme="majorBidi" w:hAnsiTheme="majorBidi" w:cstheme="majorBidi"/>
          <w:lang w:val="en-AU"/>
        </w:rPr>
        <w:t>he</w:t>
      </w:r>
      <w:r w:rsidR="00E656AF" w:rsidRPr="004C5271">
        <w:rPr>
          <w:rFonts w:asciiTheme="majorBidi" w:hAnsiTheme="majorBidi" w:cstheme="majorBidi"/>
          <w:lang w:val="en-AU"/>
        </w:rPr>
        <w:t xml:space="preserve"> following </w:t>
      </w:r>
      <w:r w:rsidR="000F0CCE" w:rsidRPr="004C5271">
        <w:rPr>
          <w:rFonts w:asciiTheme="majorBidi" w:hAnsiTheme="majorBidi" w:cstheme="majorBidi"/>
          <w:lang w:val="en-AU"/>
        </w:rPr>
        <w:t>concerns about</w:t>
      </w:r>
      <w:r w:rsidR="00405019" w:rsidRPr="004C5271">
        <w:rPr>
          <w:rFonts w:asciiTheme="majorBidi" w:hAnsiTheme="majorBidi" w:cstheme="majorBidi"/>
          <w:lang w:val="en-AU"/>
        </w:rPr>
        <w:t xml:space="preserve"> the New South Wales notional estate provisions</w:t>
      </w:r>
      <w:r w:rsidRPr="004C5271">
        <w:rPr>
          <w:rFonts w:asciiTheme="majorBidi" w:hAnsiTheme="majorBidi" w:cstheme="majorBidi"/>
          <w:lang w:val="en-AU"/>
        </w:rPr>
        <w:t xml:space="preserve"> were raised</w:t>
      </w:r>
      <w:r w:rsidR="00E656AF" w:rsidRPr="004C5271">
        <w:rPr>
          <w:rFonts w:asciiTheme="majorBidi" w:hAnsiTheme="majorBidi" w:cstheme="majorBidi"/>
          <w:lang w:val="en-AU"/>
        </w:rPr>
        <w:t>:</w:t>
      </w:r>
    </w:p>
    <w:p w14:paraId="02E7B909" w14:textId="04690AE7" w:rsidR="00F16D53" w:rsidRPr="004C5271" w:rsidRDefault="00F16D53" w:rsidP="00AE2B8C">
      <w:pPr>
        <w:pStyle w:val="Sub-HeadingTLRI"/>
      </w:pPr>
      <w:r w:rsidRPr="004C5271">
        <w:lastRenderedPageBreak/>
        <w:t>The types of property that may be affected</w:t>
      </w:r>
    </w:p>
    <w:p w14:paraId="6B6ED626" w14:textId="4C2194DC" w:rsidR="00405019" w:rsidRPr="004C5271" w:rsidRDefault="006B2DD0" w:rsidP="006B2DD0">
      <w:pPr>
        <w:pStyle w:val="NormalNumberedTextTLRI"/>
        <w:rPr>
          <w:rFonts w:asciiTheme="majorBidi" w:hAnsiTheme="majorBidi" w:cstheme="majorBidi"/>
          <w:lang w:val="en-AU"/>
        </w:rPr>
      </w:pPr>
      <w:r w:rsidRPr="004C5271">
        <w:rPr>
          <w:rFonts w:asciiTheme="majorBidi" w:hAnsiTheme="majorBidi" w:cstheme="majorBidi"/>
          <w:lang w:val="en-AU"/>
        </w:rPr>
        <w:t xml:space="preserve">Five respondents commented upon the property </w:t>
      </w:r>
      <w:r w:rsidR="00020C24" w:rsidRPr="004C5271">
        <w:rPr>
          <w:rFonts w:asciiTheme="majorBidi" w:hAnsiTheme="majorBidi" w:cstheme="majorBidi"/>
          <w:lang w:val="en-AU"/>
        </w:rPr>
        <w:t>covered</w:t>
      </w:r>
      <w:r w:rsidRPr="004C5271">
        <w:rPr>
          <w:rFonts w:asciiTheme="majorBidi" w:hAnsiTheme="majorBidi" w:cstheme="majorBidi"/>
          <w:lang w:val="en-AU"/>
        </w:rPr>
        <w:t xml:space="preserve"> by</w:t>
      </w:r>
      <w:r w:rsidR="00E36671" w:rsidRPr="004C5271">
        <w:rPr>
          <w:rFonts w:asciiTheme="majorBidi" w:hAnsiTheme="majorBidi" w:cstheme="majorBidi"/>
          <w:lang w:val="en-AU"/>
        </w:rPr>
        <w:t xml:space="preserve"> New South Wales</w:t>
      </w:r>
      <w:r w:rsidRPr="004C5271">
        <w:rPr>
          <w:rFonts w:asciiTheme="majorBidi" w:hAnsiTheme="majorBidi" w:cstheme="majorBidi"/>
          <w:lang w:val="en-AU"/>
        </w:rPr>
        <w:t xml:space="preserve"> notional estate order</w:t>
      </w:r>
      <w:r w:rsidR="00020C24" w:rsidRPr="004C5271">
        <w:rPr>
          <w:rFonts w:asciiTheme="majorBidi" w:hAnsiTheme="majorBidi" w:cstheme="majorBidi"/>
          <w:lang w:val="en-AU"/>
        </w:rPr>
        <w:t>s</w:t>
      </w:r>
      <w:r w:rsidRPr="004C5271">
        <w:rPr>
          <w:rFonts w:asciiTheme="majorBidi" w:hAnsiTheme="majorBidi" w:cstheme="majorBidi"/>
          <w:lang w:val="en-AU"/>
        </w:rPr>
        <w:t>.</w:t>
      </w:r>
      <w:r w:rsidR="00E33AB6" w:rsidRPr="004C5271">
        <w:rPr>
          <w:rStyle w:val="FootnoteReference"/>
          <w:rFonts w:asciiTheme="majorBidi" w:hAnsiTheme="majorBidi" w:cstheme="majorBidi"/>
          <w:lang w:val="en-AU"/>
        </w:rPr>
        <w:footnoteReference w:id="457"/>
      </w:r>
      <w:r w:rsidRPr="004C5271">
        <w:rPr>
          <w:rFonts w:asciiTheme="majorBidi" w:hAnsiTheme="majorBidi" w:cstheme="majorBidi"/>
          <w:lang w:val="en-AU"/>
        </w:rPr>
        <w:t xml:space="preserve"> Two expressed </w:t>
      </w:r>
      <w:r w:rsidR="00020C24" w:rsidRPr="004C5271">
        <w:rPr>
          <w:rFonts w:asciiTheme="majorBidi" w:hAnsiTheme="majorBidi" w:cstheme="majorBidi"/>
          <w:lang w:val="en-AU"/>
        </w:rPr>
        <w:t>a</w:t>
      </w:r>
      <w:r w:rsidRPr="004C5271">
        <w:rPr>
          <w:rFonts w:asciiTheme="majorBidi" w:hAnsiTheme="majorBidi" w:cstheme="majorBidi"/>
          <w:lang w:val="en-AU"/>
        </w:rPr>
        <w:t xml:space="preserve"> view that the types of property should be more specifically</w:t>
      </w:r>
      <w:r w:rsidR="00020C24" w:rsidRPr="004C5271">
        <w:rPr>
          <w:rFonts w:asciiTheme="majorBidi" w:hAnsiTheme="majorBidi" w:cstheme="majorBidi"/>
          <w:lang w:val="en-AU"/>
        </w:rPr>
        <w:t xml:space="preserve"> listed</w:t>
      </w:r>
      <w:r w:rsidRPr="004C5271">
        <w:rPr>
          <w:rFonts w:asciiTheme="majorBidi" w:hAnsiTheme="majorBidi" w:cstheme="majorBidi"/>
          <w:lang w:val="en-AU"/>
        </w:rPr>
        <w:t>.</w:t>
      </w:r>
      <w:r w:rsidRPr="004C5271">
        <w:rPr>
          <w:rStyle w:val="FootnoteReference"/>
          <w:rFonts w:asciiTheme="majorBidi" w:hAnsiTheme="majorBidi" w:cstheme="majorBidi"/>
          <w:lang w:val="en-AU"/>
        </w:rPr>
        <w:footnoteReference w:id="458"/>
      </w:r>
      <w:r w:rsidRPr="004C5271">
        <w:rPr>
          <w:rFonts w:asciiTheme="majorBidi" w:hAnsiTheme="majorBidi" w:cstheme="majorBidi"/>
          <w:lang w:val="en-AU"/>
        </w:rPr>
        <w:t xml:space="preserve"> </w:t>
      </w:r>
    </w:p>
    <w:p w14:paraId="4AD34CB4" w14:textId="6FC765FC" w:rsidR="006B2DD0" w:rsidRPr="004C5271" w:rsidRDefault="002B2942" w:rsidP="006B2DD0">
      <w:pPr>
        <w:pStyle w:val="NormalNumberedTextTLRI"/>
        <w:rPr>
          <w:rFonts w:asciiTheme="majorBidi" w:hAnsiTheme="majorBidi" w:cstheme="majorBidi"/>
          <w:lang w:val="en-AU"/>
        </w:rPr>
      </w:pPr>
      <w:r w:rsidRPr="004C5271">
        <w:rPr>
          <w:rFonts w:asciiTheme="majorBidi" w:hAnsiTheme="majorBidi" w:cstheme="majorBidi"/>
          <w:lang w:val="en-AU"/>
        </w:rPr>
        <w:t>Three</w:t>
      </w:r>
      <w:r w:rsidR="006B2DD0" w:rsidRPr="004C5271">
        <w:rPr>
          <w:rFonts w:asciiTheme="majorBidi" w:hAnsiTheme="majorBidi" w:cstheme="majorBidi"/>
          <w:lang w:val="en-AU"/>
        </w:rPr>
        <w:t xml:space="preserve"> submissions </w:t>
      </w:r>
      <w:r w:rsidR="00020C24" w:rsidRPr="004C5271">
        <w:rPr>
          <w:rFonts w:asciiTheme="majorBidi" w:hAnsiTheme="majorBidi" w:cstheme="majorBidi"/>
          <w:lang w:val="en-AU"/>
        </w:rPr>
        <w:t xml:space="preserve">stated that </w:t>
      </w:r>
      <w:r w:rsidR="006B2DD0" w:rsidRPr="004C5271">
        <w:rPr>
          <w:rFonts w:asciiTheme="majorBidi" w:hAnsiTheme="majorBidi" w:cstheme="majorBidi"/>
          <w:lang w:val="en-AU"/>
        </w:rPr>
        <w:t xml:space="preserve">notional estate legislation </w:t>
      </w:r>
      <w:r w:rsidR="00020C24" w:rsidRPr="004C5271">
        <w:rPr>
          <w:rFonts w:asciiTheme="majorBidi" w:hAnsiTheme="majorBidi" w:cstheme="majorBidi"/>
          <w:lang w:val="en-AU"/>
        </w:rPr>
        <w:t xml:space="preserve">should not apply </w:t>
      </w:r>
      <w:r w:rsidR="006B2DD0" w:rsidRPr="004C5271">
        <w:rPr>
          <w:rFonts w:asciiTheme="majorBidi" w:hAnsiTheme="majorBidi" w:cstheme="majorBidi"/>
          <w:lang w:val="en-AU"/>
        </w:rPr>
        <w:t>to superannuation.</w:t>
      </w:r>
      <w:r w:rsidR="006B2DD0" w:rsidRPr="004C5271">
        <w:rPr>
          <w:rStyle w:val="FootnoteReference"/>
          <w:rFonts w:asciiTheme="majorBidi" w:hAnsiTheme="majorBidi" w:cstheme="majorBidi"/>
          <w:lang w:val="en-AU"/>
        </w:rPr>
        <w:footnoteReference w:id="459"/>
      </w:r>
      <w:r w:rsidR="006B2DD0" w:rsidRPr="004C5271">
        <w:rPr>
          <w:rFonts w:asciiTheme="majorBidi" w:hAnsiTheme="majorBidi" w:cstheme="majorBidi"/>
          <w:lang w:val="en-AU"/>
        </w:rPr>
        <w:t xml:space="preserve"> This issue was discussed at [</w:t>
      </w:r>
      <w:r w:rsidR="00037295" w:rsidRPr="004C5271">
        <w:rPr>
          <w:rFonts w:asciiTheme="majorBidi" w:hAnsiTheme="majorBidi" w:cstheme="majorBidi"/>
          <w:lang w:val="en-AU"/>
        </w:rPr>
        <w:fldChar w:fldCharType="begin"/>
      </w:r>
      <w:r w:rsidR="00037295" w:rsidRPr="004C5271">
        <w:rPr>
          <w:rFonts w:asciiTheme="majorBidi" w:hAnsiTheme="majorBidi" w:cstheme="majorBidi"/>
          <w:lang w:val="en-AU"/>
        </w:rPr>
        <w:instrText xml:space="preserve"> REF _Ref13493184 \r \h </w:instrText>
      </w:r>
      <w:r w:rsidR="004C5271">
        <w:rPr>
          <w:rFonts w:asciiTheme="majorBidi" w:hAnsiTheme="majorBidi" w:cstheme="majorBidi"/>
          <w:lang w:val="en-AU"/>
        </w:rPr>
        <w:instrText xml:space="preserve"> \* MERGEFORMAT </w:instrText>
      </w:r>
      <w:r w:rsidR="00037295" w:rsidRPr="004C5271">
        <w:rPr>
          <w:rFonts w:asciiTheme="majorBidi" w:hAnsiTheme="majorBidi" w:cstheme="majorBidi"/>
          <w:lang w:val="en-AU"/>
        </w:rPr>
      </w:r>
      <w:r w:rsidR="00037295"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5.5.51</w:t>
      </w:r>
      <w:r w:rsidR="00037295" w:rsidRPr="004C5271">
        <w:rPr>
          <w:rFonts w:asciiTheme="majorBidi" w:hAnsiTheme="majorBidi" w:cstheme="majorBidi"/>
          <w:lang w:val="en-AU"/>
        </w:rPr>
        <w:fldChar w:fldCharType="end"/>
      </w:r>
      <w:r w:rsidR="006B2DD0" w:rsidRPr="004C5271">
        <w:rPr>
          <w:rFonts w:asciiTheme="majorBidi" w:hAnsiTheme="majorBidi" w:cstheme="majorBidi"/>
          <w:lang w:val="en-AU"/>
        </w:rPr>
        <w:t xml:space="preserve">]. </w:t>
      </w:r>
      <w:r w:rsidRPr="004C5271">
        <w:rPr>
          <w:rFonts w:asciiTheme="majorBidi" w:hAnsiTheme="majorBidi" w:cstheme="majorBidi"/>
          <w:lang w:val="en-AU"/>
        </w:rPr>
        <w:t>Four</w:t>
      </w:r>
      <w:r w:rsidR="006B2DD0" w:rsidRPr="004C5271">
        <w:rPr>
          <w:rFonts w:asciiTheme="majorBidi" w:hAnsiTheme="majorBidi" w:cstheme="majorBidi"/>
          <w:lang w:val="en-AU"/>
        </w:rPr>
        <w:t xml:space="preserve"> </w:t>
      </w:r>
      <w:r w:rsidR="00020C24" w:rsidRPr="004C5271">
        <w:rPr>
          <w:rFonts w:asciiTheme="majorBidi" w:hAnsiTheme="majorBidi" w:cstheme="majorBidi"/>
          <w:lang w:val="en-AU"/>
        </w:rPr>
        <w:t xml:space="preserve">stated </w:t>
      </w:r>
      <w:r w:rsidR="006B2DD0" w:rsidRPr="004C5271">
        <w:rPr>
          <w:rFonts w:asciiTheme="majorBidi" w:hAnsiTheme="majorBidi" w:cstheme="majorBidi"/>
          <w:lang w:val="en-AU"/>
        </w:rPr>
        <w:t>that notional estate provisions should not apply to trusts.</w:t>
      </w:r>
      <w:r w:rsidR="006B2DD0" w:rsidRPr="004C5271">
        <w:rPr>
          <w:rStyle w:val="FootnoteReference"/>
          <w:rFonts w:asciiTheme="majorBidi" w:hAnsiTheme="majorBidi" w:cstheme="majorBidi"/>
          <w:lang w:val="en-AU"/>
        </w:rPr>
        <w:footnoteReference w:id="460"/>
      </w:r>
      <w:r w:rsidR="006B2DD0" w:rsidRPr="004C5271">
        <w:rPr>
          <w:rFonts w:asciiTheme="majorBidi" w:hAnsiTheme="majorBidi" w:cstheme="majorBidi"/>
          <w:lang w:val="en-AU"/>
        </w:rPr>
        <w:t xml:space="preserve"> </w:t>
      </w:r>
      <w:r w:rsidR="00020C24" w:rsidRPr="004C5271">
        <w:rPr>
          <w:rFonts w:asciiTheme="majorBidi" w:hAnsiTheme="majorBidi" w:cstheme="majorBidi"/>
          <w:lang w:val="en-AU"/>
        </w:rPr>
        <w:t>T</w:t>
      </w:r>
      <w:r w:rsidR="006B2DD0" w:rsidRPr="004C5271">
        <w:rPr>
          <w:rFonts w:asciiTheme="majorBidi" w:hAnsiTheme="majorBidi" w:cstheme="majorBidi"/>
          <w:lang w:val="en-AU"/>
        </w:rPr>
        <w:t>h</w:t>
      </w:r>
      <w:r w:rsidR="006E14E4" w:rsidRPr="004C5271">
        <w:rPr>
          <w:rFonts w:asciiTheme="majorBidi" w:hAnsiTheme="majorBidi" w:cstheme="majorBidi"/>
          <w:lang w:val="en-AU"/>
        </w:rPr>
        <w:t>is matter was</w:t>
      </w:r>
      <w:r w:rsidR="00020C24" w:rsidRPr="004C5271">
        <w:rPr>
          <w:rFonts w:asciiTheme="majorBidi" w:hAnsiTheme="majorBidi" w:cstheme="majorBidi"/>
          <w:lang w:val="en-AU"/>
        </w:rPr>
        <w:t xml:space="preserve"> also</w:t>
      </w:r>
      <w:r w:rsidR="006E14E4" w:rsidRPr="004C5271">
        <w:rPr>
          <w:rFonts w:asciiTheme="majorBidi" w:hAnsiTheme="majorBidi" w:cstheme="majorBidi"/>
          <w:lang w:val="en-AU"/>
        </w:rPr>
        <w:t xml:space="preserve"> considered elsewhere in this </w:t>
      </w:r>
      <w:r w:rsidR="00020C24" w:rsidRPr="004C5271">
        <w:rPr>
          <w:rFonts w:asciiTheme="majorBidi" w:hAnsiTheme="majorBidi" w:cstheme="majorBidi"/>
          <w:lang w:val="en-AU"/>
        </w:rPr>
        <w:t>report</w:t>
      </w:r>
      <w:r w:rsidR="006E14E4" w:rsidRPr="004C5271">
        <w:rPr>
          <w:rFonts w:asciiTheme="majorBidi" w:hAnsiTheme="majorBidi" w:cstheme="majorBidi"/>
          <w:lang w:val="en-AU"/>
        </w:rPr>
        <w:t>.</w:t>
      </w:r>
      <w:r w:rsidR="006E14E4" w:rsidRPr="004C5271">
        <w:rPr>
          <w:rStyle w:val="FootnoteReference"/>
          <w:rFonts w:asciiTheme="majorBidi" w:hAnsiTheme="majorBidi" w:cstheme="majorBidi"/>
          <w:lang w:val="en-AU"/>
        </w:rPr>
        <w:footnoteReference w:id="461"/>
      </w:r>
    </w:p>
    <w:p w14:paraId="1FD3C717" w14:textId="3978851C" w:rsidR="00F16D53" w:rsidRPr="004C5271" w:rsidRDefault="00F16D53" w:rsidP="00AE2B8C">
      <w:pPr>
        <w:pStyle w:val="Sub-HeadingTLRI"/>
      </w:pPr>
      <w:r w:rsidRPr="004C5271">
        <w:t>The acts (or failures to act) captured</w:t>
      </w:r>
    </w:p>
    <w:p w14:paraId="5D9534F8" w14:textId="2925FEFF" w:rsidR="002B2942" w:rsidRPr="004C5271" w:rsidRDefault="002B2942" w:rsidP="00D7331F">
      <w:pPr>
        <w:pStyle w:val="NormalNumberedTextTLRI"/>
        <w:rPr>
          <w:rFonts w:asciiTheme="majorBidi" w:hAnsiTheme="majorBidi" w:cstheme="majorBidi"/>
          <w:lang w:val="en-AU"/>
        </w:rPr>
      </w:pPr>
      <w:bookmarkStart w:id="209" w:name="_Ref13493638"/>
      <w:r w:rsidRPr="004C5271">
        <w:rPr>
          <w:rFonts w:asciiTheme="majorBidi" w:hAnsiTheme="majorBidi" w:cstheme="majorBidi"/>
          <w:lang w:val="en-AU"/>
        </w:rPr>
        <w:t>Three</w:t>
      </w:r>
      <w:r w:rsidR="006E14E4" w:rsidRPr="004C5271">
        <w:rPr>
          <w:rFonts w:asciiTheme="majorBidi" w:hAnsiTheme="majorBidi" w:cstheme="majorBidi"/>
          <w:lang w:val="en-AU"/>
        </w:rPr>
        <w:t xml:space="preserve"> submissions</w:t>
      </w:r>
      <w:r w:rsidR="006E14E4" w:rsidRPr="004C5271">
        <w:rPr>
          <w:rStyle w:val="FootnoteReference"/>
          <w:rFonts w:asciiTheme="majorBidi" w:hAnsiTheme="majorBidi" w:cstheme="majorBidi"/>
          <w:lang w:val="en-AU"/>
        </w:rPr>
        <w:footnoteReference w:id="462"/>
      </w:r>
      <w:r w:rsidR="006E14E4" w:rsidRPr="004C5271">
        <w:rPr>
          <w:rFonts w:asciiTheme="majorBidi" w:hAnsiTheme="majorBidi" w:cstheme="majorBidi"/>
          <w:lang w:val="en-AU"/>
        </w:rPr>
        <w:t xml:space="preserve"> </w:t>
      </w:r>
      <w:r w:rsidR="00020C24" w:rsidRPr="004C5271">
        <w:rPr>
          <w:rFonts w:asciiTheme="majorBidi" w:hAnsiTheme="majorBidi" w:cstheme="majorBidi"/>
          <w:lang w:val="en-AU"/>
        </w:rPr>
        <w:t>advocated</w:t>
      </w:r>
      <w:r w:rsidR="006E14E4" w:rsidRPr="004C5271">
        <w:rPr>
          <w:rFonts w:asciiTheme="majorBidi" w:hAnsiTheme="majorBidi" w:cstheme="majorBidi"/>
          <w:lang w:val="en-AU"/>
        </w:rPr>
        <w:t xml:space="preserve"> that</w:t>
      </w:r>
      <w:r w:rsidR="00E33AB6" w:rsidRPr="004C5271">
        <w:rPr>
          <w:rFonts w:asciiTheme="majorBidi" w:hAnsiTheme="majorBidi" w:cstheme="majorBidi"/>
          <w:lang w:val="en-AU"/>
        </w:rPr>
        <w:t xml:space="preserve">, unlike the </w:t>
      </w:r>
      <w:r w:rsidR="00E33AB6" w:rsidRPr="004C5271">
        <w:rPr>
          <w:rFonts w:asciiTheme="majorBidi" w:hAnsiTheme="majorBidi" w:cstheme="majorBidi"/>
          <w:i/>
          <w:iCs/>
          <w:lang w:val="en-AU"/>
        </w:rPr>
        <w:t>NSW Succession Act</w:t>
      </w:r>
      <w:r w:rsidR="00E33AB6" w:rsidRPr="004C5271">
        <w:rPr>
          <w:rFonts w:asciiTheme="majorBidi" w:hAnsiTheme="majorBidi" w:cstheme="majorBidi"/>
          <w:lang w:val="en-AU"/>
        </w:rPr>
        <w:t>,</w:t>
      </w:r>
      <w:r w:rsidR="00E33AB6" w:rsidRPr="004C5271">
        <w:rPr>
          <w:rStyle w:val="FootnoteReference"/>
          <w:rFonts w:asciiTheme="majorBidi" w:hAnsiTheme="majorBidi" w:cstheme="majorBidi"/>
          <w:lang w:val="en-AU"/>
        </w:rPr>
        <w:footnoteReference w:id="463"/>
      </w:r>
      <w:r w:rsidR="006E14E4" w:rsidRPr="004C5271">
        <w:rPr>
          <w:rFonts w:asciiTheme="majorBidi" w:hAnsiTheme="majorBidi" w:cstheme="majorBidi"/>
          <w:lang w:val="en-AU"/>
        </w:rPr>
        <w:t xml:space="preserve"> notional estate laws should not apply to failure</w:t>
      </w:r>
      <w:r w:rsidR="00020C24" w:rsidRPr="004C5271">
        <w:rPr>
          <w:rFonts w:asciiTheme="majorBidi" w:hAnsiTheme="majorBidi" w:cstheme="majorBidi"/>
          <w:lang w:val="en-AU"/>
        </w:rPr>
        <w:t>s</w:t>
      </w:r>
      <w:r w:rsidR="006E14E4" w:rsidRPr="004C5271">
        <w:rPr>
          <w:rFonts w:asciiTheme="majorBidi" w:hAnsiTheme="majorBidi" w:cstheme="majorBidi"/>
          <w:lang w:val="en-AU"/>
        </w:rPr>
        <w:t xml:space="preserve"> to act </w:t>
      </w:r>
      <w:r w:rsidR="00E06BBE" w:rsidRPr="004C5271">
        <w:rPr>
          <w:rFonts w:asciiTheme="majorBidi" w:hAnsiTheme="majorBidi" w:cstheme="majorBidi"/>
          <w:lang w:val="en-AU"/>
        </w:rPr>
        <w:t xml:space="preserve">— </w:t>
      </w:r>
      <w:r w:rsidR="006E14E4" w:rsidRPr="004C5271">
        <w:rPr>
          <w:rFonts w:asciiTheme="majorBidi" w:hAnsiTheme="majorBidi" w:cstheme="majorBidi"/>
          <w:lang w:val="en-AU"/>
        </w:rPr>
        <w:t xml:space="preserve">for example, failure to sever a joint tenancy or make a distribution from a trust. </w:t>
      </w:r>
      <w:r w:rsidRPr="004C5271">
        <w:rPr>
          <w:rFonts w:asciiTheme="majorBidi" w:hAnsiTheme="majorBidi" w:cstheme="majorBidi"/>
          <w:lang w:val="en-AU"/>
        </w:rPr>
        <w:t xml:space="preserve">Sam McCullough advocated </w:t>
      </w:r>
      <w:r w:rsidR="00020C24" w:rsidRPr="004C5271">
        <w:rPr>
          <w:rFonts w:asciiTheme="majorBidi" w:hAnsiTheme="majorBidi" w:cstheme="majorBidi"/>
          <w:lang w:val="en-AU"/>
        </w:rPr>
        <w:t>this</w:t>
      </w:r>
      <w:r w:rsidRPr="004C5271">
        <w:rPr>
          <w:rFonts w:asciiTheme="majorBidi" w:hAnsiTheme="majorBidi" w:cstheme="majorBidi"/>
          <w:lang w:val="en-AU"/>
        </w:rPr>
        <w:t xml:space="preserve"> approach </w:t>
      </w:r>
      <w:r w:rsidR="00020C24" w:rsidRPr="004C5271">
        <w:rPr>
          <w:rFonts w:asciiTheme="majorBidi" w:hAnsiTheme="majorBidi" w:cstheme="majorBidi"/>
          <w:lang w:val="en-AU"/>
        </w:rPr>
        <w:t>on the basis</w:t>
      </w:r>
      <w:r w:rsidR="005A4F5D" w:rsidRPr="004C5271">
        <w:rPr>
          <w:rFonts w:asciiTheme="majorBidi" w:hAnsiTheme="majorBidi" w:cstheme="majorBidi"/>
          <w:lang w:val="en-AU"/>
        </w:rPr>
        <w:t xml:space="preserve"> that </w:t>
      </w:r>
      <w:r w:rsidR="00020C24" w:rsidRPr="004C5271">
        <w:rPr>
          <w:rFonts w:asciiTheme="majorBidi" w:hAnsiTheme="majorBidi" w:cstheme="majorBidi"/>
          <w:lang w:val="en-AU"/>
        </w:rPr>
        <w:t>it</w:t>
      </w:r>
      <w:r w:rsidRPr="004C5271">
        <w:rPr>
          <w:rFonts w:asciiTheme="majorBidi" w:hAnsiTheme="majorBidi" w:cstheme="majorBidi"/>
          <w:lang w:val="en-AU"/>
        </w:rPr>
        <w:t xml:space="preserve"> would focus the </w:t>
      </w:r>
      <w:r w:rsidR="003866C1" w:rsidRPr="004C5271">
        <w:rPr>
          <w:rFonts w:asciiTheme="majorBidi" w:hAnsiTheme="majorBidi" w:cstheme="majorBidi"/>
          <w:lang w:val="en-AU"/>
        </w:rPr>
        <w:t>scheme</w:t>
      </w:r>
      <w:r w:rsidRPr="004C5271">
        <w:rPr>
          <w:rFonts w:asciiTheme="majorBidi" w:hAnsiTheme="majorBidi" w:cstheme="majorBidi"/>
          <w:lang w:val="en-AU"/>
        </w:rPr>
        <w:t xml:space="preserve"> upon </w:t>
      </w:r>
      <w:r w:rsidR="00020C24" w:rsidRPr="004C5271">
        <w:rPr>
          <w:rFonts w:asciiTheme="majorBidi" w:hAnsiTheme="majorBidi" w:cstheme="majorBidi"/>
          <w:lang w:val="en-AU"/>
        </w:rPr>
        <w:t xml:space="preserve">positive </w:t>
      </w:r>
      <w:r w:rsidRPr="004C5271">
        <w:rPr>
          <w:rFonts w:asciiTheme="majorBidi" w:hAnsiTheme="majorBidi" w:cstheme="majorBidi"/>
          <w:lang w:val="en-AU"/>
        </w:rPr>
        <w:t>asset</w:t>
      </w:r>
      <w:r w:rsidR="00020C24" w:rsidRPr="004C5271">
        <w:rPr>
          <w:rFonts w:asciiTheme="majorBidi" w:hAnsiTheme="majorBidi" w:cstheme="majorBidi"/>
          <w:lang w:val="en-AU"/>
        </w:rPr>
        <w:t>-</w:t>
      </w:r>
      <w:r w:rsidRPr="004C5271">
        <w:rPr>
          <w:rFonts w:asciiTheme="majorBidi" w:hAnsiTheme="majorBidi" w:cstheme="majorBidi"/>
          <w:lang w:val="en-AU"/>
        </w:rPr>
        <w:t>strip</w:t>
      </w:r>
      <w:r w:rsidR="00020C24" w:rsidRPr="004C5271">
        <w:rPr>
          <w:rFonts w:asciiTheme="majorBidi" w:hAnsiTheme="majorBidi" w:cstheme="majorBidi"/>
          <w:lang w:val="en-AU"/>
        </w:rPr>
        <w:t>ping</w:t>
      </w:r>
      <w:r w:rsidRPr="004C5271">
        <w:rPr>
          <w:rFonts w:asciiTheme="majorBidi" w:hAnsiTheme="majorBidi" w:cstheme="majorBidi"/>
          <w:lang w:val="en-AU"/>
        </w:rPr>
        <w:t xml:space="preserve"> undertak</w:t>
      </w:r>
      <w:r w:rsidR="00020C24" w:rsidRPr="004C5271">
        <w:rPr>
          <w:rFonts w:asciiTheme="majorBidi" w:hAnsiTheme="majorBidi" w:cstheme="majorBidi"/>
          <w:lang w:val="en-AU"/>
        </w:rPr>
        <w:t>en</w:t>
      </w:r>
      <w:r w:rsidRPr="004C5271">
        <w:rPr>
          <w:rFonts w:asciiTheme="majorBidi" w:hAnsiTheme="majorBidi" w:cstheme="majorBidi"/>
          <w:lang w:val="en-AU"/>
        </w:rPr>
        <w:t xml:space="preserve"> with the intention of defeating claims. The effect would be to exclude family trusts, superannuation, life insurance policies and joint tenancy properties unless positive acts were undertaken within the prescribed period</w:t>
      </w:r>
      <w:r w:rsidR="00020C24" w:rsidRPr="004C5271">
        <w:rPr>
          <w:rFonts w:asciiTheme="majorBidi" w:hAnsiTheme="majorBidi" w:cstheme="majorBidi"/>
          <w:lang w:val="en-AU"/>
        </w:rPr>
        <w:t xml:space="preserve"> like</w:t>
      </w:r>
      <w:r w:rsidRPr="004C5271">
        <w:rPr>
          <w:rFonts w:asciiTheme="majorBidi" w:hAnsiTheme="majorBidi" w:cstheme="majorBidi"/>
          <w:lang w:val="en-AU"/>
        </w:rPr>
        <w:t xml:space="preserve"> a </w:t>
      </w:r>
      <w:r w:rsidR="00020C24" w:rsidRPr="004C5271">
        <w:rPr>
          <w:rFonts w:asciiTheme="majorBidi" w:hAnsiTheme="majorBidi" w:cstheme="majorBidi"/>
          <w:lang w:val="en-AU"/>
        </w:rPr>
        <w:t>deposit</w:t>
      </w:r>
      <w:r w:rsidRPr="004C5271">
        <w:rPr>
          <w:rFonts w:asciiTheme="majorBidi" w:hAnsiTheme="majorBidi" w:cstheme="majorBidi"/>
          <w:lang w:val="en-AU"/>
        </w:rPr>
        <w:t xml:space="preserve"> of funds into a superannuation fund or trust</w:t>
      </w:r>
      <w:r w:rsidR="005B4D99" w:rsidRPr="004C5271">
        <w:rPr>
          <w:rFonts w:asciiTheme="majorBidi" w:hAnsiTheme="majorBidi" w:cstheme="majorBidi"/>
          <w:lang w:val="en-AU"/>
        </w:rPr>
        <w:t xml:space="preserve"> or </w:t>
      </w:r>
      <w:r w:rsidR="0046381D" w:rsidRPr="004C5271">
        <w:rPr>
          <w:rFonts w:asciiTheme="majorBidi" w:hAnsiTheme="majorBidi" w:cstheme="majorBidi"/>
          <w:lang w:val="en-AU"/>
        </w:rPr>
        <w:t>t</w:t>
      </w:r>
      <w:r w:rsidR="00E07A50" w:rsidRPr="004C5271">
        <w:rPr>
          <w:rFonts w:asciiTheme="majorBidi" w:hAnsiTheme="majorBidi" w:cstheme="majorBidi"/>
          <w:lang w:val="en-AU"/>
        </w:rPr>
        <w:t>h</w:t>
      </w:r>
      <w:r w:rsidR="0046381D" w:rsidRPr="004C5271">
        <w:rPr>
          <w:rFonts w:asciiTheme="majorBidi" w:hAnsiTheme="majorBidi" w:cstheme="majorBidi"/>
          <w:lang w:val="en-AU"/>
        </w:rPr>
        <w:t xml:space="preserve">e </w:t>
      </w:r>
      <w:r w:rsidR="005B4D99" w:rsidRPr="004C5271">
        <w:rPr>
          <w:rFonts w:asciiTheme="majorBidi" w:hAnsiTheme="majorBidi" w:cstheme="majorBidi"/>
          <w:lang w:val="en-AU"/>
        </w:rPr>
        <w:t>creation of a joint tenancy</w:t>
      </w:r>
      <w:r w:rsidRPr="004C5271">
        <w:rPr>
          <w:rFonts w:asciiTheme="majorBidi" w:hAnsiTheme="majorBidi" w:cstheme="majorBidi"/>
          <w:lang w:val="en-AU"/>
        </w:rPr>
        <w:t xml:space="preserve">. </w:t>
      </w:r>
      <w:r w:rsidR="00020C24" w:rsidRPr="004C5271">
        <w:rPr>
          <w:rFonts w:asciiTheme="majorBidi" w:hAnsiTheme="majorBidi" w:cstheme="majorBidi"/>
          <w:lang w:val="en-AU"/>
        </w:rPr>
        <w:t xml:space="preserve">It was said </w:t>
      </w:r>
      <w:r w:rsidRPr="004C5271">
        <w:rPr>
          <w:rFonts w:asciiTheme="majorBidi" w:hAnsiTheme="majorBidi" w:cstheme="majorBidi"/>
          <w:lang w:val="en-AU"/>
        </w:rPr>
        <w:t xml:space="preserve">that extending notional estate legislation to failures to act </w:t>
      </w:r>
      <w:r w:rsidR="000E0028" w:rsidRPr="004C5271">
        <w:rPr>
          <w:rFonts w:asciiTheme="majorBidi" w:hAnsiTheme="majorBidi" w:cstheme="majorBidi"/>
          <w:lang w:val="en-AU"/>
        </w:rPr>
        <w:t>—</w:t>
      </w:r>
      <w:r w:rsidR="002E62D7">
        <w:rPr>
          <w:rFonts w:asciiTheme="majorBidi" w:hAnsiTheme="majorBidi" w:cstheme="majorBidi"/>
          <w:lang w:val="en-AU"/>
        </w:rPr>
        <w:t xml:space="preserve"> </w:t>
      </w:r>
      <w:r w:rsidRPr="004C5271">
        <w:rPr>
          <w:rFonts w:asciiTheme="majorBidi" w:hAnsiTheme="majorBidi" w:cstheme="majorBidi"/>
          <w:lang w:val="en-AU"/>
        </w:rPr>
        <w:t xml:space="preserve">for example the failure to sever joint tenancies or make or change a binding death benefit nomination or make a distribution from a trust </w:t>
      </w:r>
      <w:r w:rsidR="000E0028" w:rsidRPr="004C5271">
        <w:rPr>
          <w:rFonts w:asciiTheme="majorBidi" w:hAnsiTheme="majorBidi" w:cstheme="majorBidi"/>
          <w:lang w:val="en-AU"/>
        </w:rPr>
        <w:t>—</w:t>
      </w:r>
      <w:r w:rsidRPr="004C5271">
        <w:rPr>
          <w:rFonts w:asciiTheme="majorBidi" w:hAnsiTheme="majorBidi" w:cstheme="majorBidi"/>
          <w:lang w:val="en-AU"/>
        </w:rPr>
        <w:t xml:space="preserve"> </w:t>
      </w:r>
      <w:r w:rsidR="005A4F5D" w:rsidRPr="004C5271">
        <w:rPr>
          <w:rFonts w:asciiTheme="majorBidi" w:hAnsiTheme="majorBidi" w:cstheme="majorBidi"/>
          <w:lang w:val="en-AU"/>
        </w:rPr>
        <w:t>is a step too far.</w:t>
      </w:r>
      <w:bookmarkEnd w:id="209"/>
    </w:p>
    <w:p w14:paraId="750F7845" w14:textId="6F748645" w:rsidR="006D3C92" w:rsidRPr="004C5271" w:rsidRDefault="006D3C92" w:rsidP="00D7331F">
      <w:pPr>
        <w:pStyle w:val="NormalNumberedTextTLRI"/>
        <w:rPr>
          <w:rFonts w:asciiTheme="majorBidi" w:hAnsiTheme="majorBidi" w:cstheme="majorBidi"/>
          <w:lang w:val="en-AU"/>
        </w:rPr>
      </w:pPr>
      <w:r w:rsidRPr="004C5271">
        <w:rPr>
          <w:rFonts w:asciiTheme="majorBidi" w:hAnsiTheme="majorBidi" w:cstheme="majorBidi"/>
          <w:lang w:val="en-AU"/>
        </w:rPr>
        <w:t xml:space="preserve">These views are consistent with </w:t>
      </w:r>
      <w:r w:rsidR="0046381D" w:rsidRPr="004C5271">
        <w:rPr>
          <w:rFonts w:asciiTheme="majorBidi" w:hAnsiTheme="majorBidi" w:cstheme="majorBidi"/>
          <w:lang w:val="en-AU"/>
        </w:rPr>
        <w:t>observations</w:t>
      </w:r>
      <w:r w:rsidR="00877095" w:rsidRPr="004C5271">
        <w:rPr>
          <w:rFonts w:asciiTheme="majorBidi" w:hAnsiTheme="majorBidi" w:cstheme="majorBidi"/>
          <w:lang w:val="en-AU"/>
        </w:rPr>
        <w:t xml:space="preserve"> the </w:t>
      </w:r>
      <w:r w:rsidR="008D5B06" w:rsidRPr="004C5271">
        <w:rPr>
          <w:rFonts w:asciiTheme="majorBidi" w:hAnsiTheme="majorBidi" w:cstheme="majorBidi"/>
          <w:lang w:val="en-AU"/>
        </w:rPr>
        <w:t>WALRC</w:t>
      </w:r>
      <w:r w:rsidR="00877095" w:rsidRPr="004C5271">
        <w:rPr>
          <w:rFonts w:asciiTheme="majorBidi" w:hAnsiTheme="majorBidi" w:cstheme="majorBidi"/>
          <w:lang w:val="en-AU"/>
        </w:rPr>
        <w:t xml:space="preserve"> has made of </w:t>
      </w:r>
      <w:r w:rsidR="00D50ED7" w:rsidRPr="004C5271">
        <w:rPr>
          <w:rFonts w:asciiTheme="majorBidi" w:hAnsiTheme="majorBidi" w:cstheme="majorBidi"/>
          <w:lang w:val="en-AU"/>
        </w:rPr>
        <w:t xml:space="preserve">the New South Wales notional estate provisions which capture severances of joint tenancy. It expressed </w:t>
      </w:r>
      <w:r w:rsidR="0046381D" w:rsidRPr="004C5271">
        <w:rPr>
          <w:rFonts w:asciiTheme="majorBidi" w:hAnsiTheme="majorBidi" w:cstheme="majorBidi"/>
          <w:lang w:val="en-AU"/>
        </w:rPr>
        <w:t>these considerations</w:t>
      </w:r>
      <w:r w:rsidR="00D50ED7" w:rsidRPr="004C5271">
        <w:rPr>
          <w:rFonts w:asciiTheme="majorBidi" w:hAnsiTheme="majorBidi" w:cstheme="majorBidi"/>
          <w:lang w:val="en-AU"/>
        </w:rPr>
        <w:t xml:space="preserve"> as follows:</w:t>
      </w:r>
    </w:p>
    <w:p w14:paraId="6E03012E" w14:textId="11BAFE34" w:rsidR="00D50ED7" w:rsidRPr="004C5271" w:rsidRDefault="00D50ED7" w:rsidP="00573D0B">
      <w:pPr>
        <w:pStyle w:val="QuoteTLRI"/>
        <w:rPr>
          <w:rFonts w:asciiTheme="majorBidi" w:hAnsiTheme="majorBidi" w:cstheme="majorBidi"/>
        </w:rPr>
      </w:pPr>
      <w:r w:rsidRPr="004C5271">
        <w:rPr>
          <w:rFonts w:asciiTheme="majorBidi" w:hAnsiTheme="majorBidi" w:cstheme="majorBidi"/>
        </w:rPr>
        <w:lastRenderedPageBreak/>
        <w:t>The policy of the Act seems to be that once it becomes clear that one joint tenant runs a significantly greater risk of dying first, he is morally obliged to sever the tenancy so that he can leave his share in the property by will. If not, the property becomes part of the notional estate. This is unfair. The fellow joint tenant, who has borne the risk of losing all property in the event of dying first, is to be deprived of the benefit of survivorship in the interests of providing for the first joint tenant's family. In these cases, the right of a transferee of property to security of title should prevail over the interest of the deceased</w:t>
      </w:r>
      <w:r w:rsidR="00573D0B" w:rsidRPr="004C5271">
        <w:rPr>
          <w:rFonts w:asciiTheme="majorBidi" w:hAnsiTheme="majorBidi" w:cstheme="majorBidi"/>
        </w:rPr>
        <w:t>’</w:t>
      </w:r>
      <w:r w:rsidRPr="004C5271">
        <w:rPr>
          <w:rFonts w:asciiTheme="majorBidi" w:hAnsiTheme="majorBidi" w:cstheme="majorBidi"/>
        </w:rPr>
        <w:t>s family or dependants not to be disinherited.</w:t>
      </w:r>
      <w:r w:rsidRPr="004C5271">
        <w:rPr>
          <w:rStyle w:val="FootnoteReference"/>
          <w:rFonts w:asciiTheme="majorBidi" w:hAnsiTheme="majorBidi" w:cstheme="majorBidi"/>
        </w:rPr>
        <w:footnoteReference w:id="464"/>
      </w:r>
    </w:p>
    <w:p w14:paraId="33824151" w14:textId="5616C4AD" w:rsidR="001D76FA" w:rsidRPr="004C5271" w:rsidRDefault="001D76FA" w:rsidP="00126F9A">
      <w:pPr>
        <w:pStyle w:val="NormalNumberedTextTLRI"/>
        <w:rPr>
          <w:rFonts w:asciiTheme="majorBidi" w:hAnsiTheme="majorBidi" w:cstheme="majorBidi"/>
          <w:lang w:val="en-AU"/>
        </w:rPr>
      </w:pPr>
      <w:r w:rsidRPr="004C5271">
        <w:rPr>
          <w:rFonts w:asciiTheme="majorBidi" w:hAnsiTheme="majorBidi" w:cstheme="majorBidi"/>
          <w:lang w:val="en-AU"/>
        </w:rPr>
        <w:t>The Institute discusses the application of the New South Wales notional estate provisions to failures to act further at [</w:t>
      </w:r>
      <w:r w:rsidR="00A47813" w:rsidRPr="004C5271">
        <w:rPr>
          <w:rFonts w:asciiTheme="majorBidi" w:hAnsiTheme="majorBidi" w:cstheme="majorBidi"/>
          <w:lang w:val="en-AU"/>
        </w:rPr>
        <w:fldChar w:fldCharType="begin"/>
      </w:r>
      <w:r w:rsidR="00A47813" w:rsidRPr="004C5271">
        <w:rPr>
          <w:rFonts w:asciiTheme="majorBidi" w:hAnsiTheme="majorBidi" w:cstheme="majorBidi"/>
          <w:lang w:val="en-AU"/>
        </w:rPr>
        <w:instrText xml:space="preserve"> REF _Ref13493638 \r \h </w:instrText>
      </w:r>
      <w:r w:rsidR="004C5271">
        <w:rPr>
          <w:rFonts w:asciiTheme="majorBidi" w:hAnsiTheme="majorBidi" w:cstheme="majorBidi"/>
          <w:lang w:val="en-AU"/>
        </w:rPr>
        <w:instrText xml:space="preserve"> \* MERGEFORMAT </w:instrText>
      </w:r>
      <w:r w:rsidR="00A47813" w:rsidRPr="004C5271">
        <w:rPr>
          <w:rFonts w:asciiTheme="majorBidi" w:hAnsiTheme="majorBidi" w:cstheme="majorBidi"/>
          <w:lang w:val="en-AU"/>
        </w:rPr>
      </w:r>
      <w:r w:rsidR="00A47813" w:rsidRPr="004C5271">
        <w:rPr>
          <w:rFonts w:asciiTheme="majorBidi" w:hAnsiTheme="majorBidi" w:cstheme="majorBidi"/>
          <w:lang w:val="en-AU"/>
        </w:rPr>
        <w:fldChar w:fldCharType="separate"/>
      </w:r>
      <w:r w:rsidR="008F0477">
        <w:rPr>
          <w:rFonts w:asciiTheme="majorBidi" w:hAnsiTheme="majorBidi" w:cstheme="majorBidi"/>
          <w:cs/>
          <w:lang w:val="en-AU"/>
        </w:rPr>
        <w:t>‎</w:t>
      </w:r>
      <w:r w:rsidR="008F0477">
        <w:rPr>
          <w:rFonts w:asciiTheme="majorBidi" w:hAnsiTheme="majorBidi" w:cstheme="majorBidi"/>
          <w:lang w:val="en-AU"/>
        </w:rPr>
        <w:t>5.7.9</w:t>
      </w:r>
      <w:r w:rsidR="00A47813" w:rsidRPr="004C5271">
        <w:rPr>
          <w:rFonts w:asciiTheme="majorBidi" w:hAnsiTheme="majorBidi" w:cstheme="majorBidi"/>
          <w:lang w:val="en-AU"/>
        </w:rPr>
        <w:fldChar w:fldCharType="end"/>
      </w:r>
      <w:r w:rsidRPr="004C5271">
        <w:rPr>
          <w:rFonts w:asciiTheme="majorBidi" w:hAnsiTheme="majorBidi" w:cstheme="majorBidi"/>
          <w:lang w:val="en-AU"/>
        </w:rPr>
        <w:t xml:space="preserve">]. </w:t>
      </w:r>
    </w:p>
    <w:p w14:paraId="08DB8EF5" w14:textId="6C14AB17" w:rsidR="00F16D53" w:rsidRPr="004C5271" w:rsidRDefault="00F16D53" w:rsidP="00AE2B8C">
      <w:pPr>
        <w:pStyle w:val="Sub-HeadingTLRI"/>
      </w:pPr>
      <w:r w:rsidRPr="004C5271">
        <w:t>The relevance of a person’s intentions</w:t>
      </w:r>
    </w:p>
    <w:p w14:paraId="0B6F62C0" w14:textId="097595ED" w:rsidR="006E14E4" w:rsidRPr="004C5271" w:rsidRDefault="006E14E4" w:rsidP="00606E57">
      <w:pPr>
        <w:pStyle w:val="NormalNumberedTextTLRI"/>
        <w:rPr>
          <w:rFonts w:asciiTheme="majorBidi" w:hAnsiTheme="majorBidi" w:cstheme="majorBidi"/>
          <w:lang w:val="en-AU"/>
        </w:rPr>
      </w:pPr>
      <w:r w:rsidRPr="004C5271">
        <w:rPr>
          <w:rFonts w:asciiTheme="majorBidi" w:hAnsiTheme="majorBidi" w:cstheme="majorBidi"/>
          <w:lang w:val="en-AU"/>
        </w:rPr>
        <w:t>Whilst the relevance of a person’s intentions when entering into a property transaction</w:t>
      </w:r>
      <w:r w:rsidR="00020C24" w:rsidRPr="004C5271">
        <w:rPr>
          <w:rFonts w:asciiTheme="majorBidi" w:hAnsiTheme="majorBidi" w:cstheme="majorBidi"/>
          <w:lang w:val="en-AU"/>
        </w:rPr>
        <w:t xml:space="preserve"> </w:t>
      </w:r>
      <w:r w:rsidRPr="004C5271">
        <w:rPr>
          <w:rFonts w:asciiTheme="majorBidi" w:hAnsiTheme="majorBidi" w:cstheme="majorBidi"/>
          <w:lang w:val="en-AU"/>
        </w:rPr>
        <w:t>was a matter raised by several respondents when the VLRC considered the question of notional estate legislation,</w:t>
      </w:r>
      <w:r w:rsidRPr="004C5271">
        <w:rPr>
          <w:rStyle w:val="FootnoteReference"/>
          <w:rFonts w:asciiTheme="majorBidi" w:hAnsiTheme="majorBidi" w:cstheme="majorBidi"/>
          <w:lang w:val="en-AU"/>
        </w:rPr>
        <w:footnoteReference w:id="465"/>
      </w:r>
      <w:r w:rsidRPr="004C5271">
        <w:rPr>
          <w:rFonts w:asciiTheme="majorBidi" w:hAnsiTheme="majorBidi" w:cstheme="majorBidi"/>
          <w:lang w:val="en-AU"/>
        </w:rPr>
        <w:t xml:space="preserve"> it was a </w:t>
      </w:r>
      <w:r w:rsidR="00020C24" w:rsidRPr="004C5271">
        <w:rPr>
          <w:rFonts w:asciiTheme="majorBidi" w:hAnsiTheme="majorBidi" w:cstheme="majorBidi"/>
          <w:lang w:val="en-AU"/>
        </w:rPr>
        <w:t>factor</w:t>
      </w:r>
      <w:r w:rsidRPr="004C5271">
        <w:rPr>
          <w:rFonts w:asciiTheme="majorBidi" w:hAnsiTheme="majorBidi" w:cstheme="majorBidi"/>
          <w:lang w:val="en-AU"/>
        </w:rPr>
        <w:t xml:space="preserve"> that only one respondent</w:t>
      </w:r>
      <w:r w:rsidR="005A4F5D" w:rsidRPr="004C5271">
        <w:rPr>
          <w:rStyle w:val="FootnoteReference"/>
          <w:rFonts w:asciiTheme="majorBidi" w:hAnsiTheme="majorBidi" w:cstheme="majorBidi"/>
          <w:lang w:val="en-AU"/>
        </w:rPr>
        <w:footnoteReference w:id="466"/>
      </w:r>
      <w:r w:rsidRPr="004C5271">
        <w:rPr>
          <w:rFonts w:asciiTheme="majorBidi" w:hAnsiTheme="majorBidi" w:cstheme="majorBidi"/>
          <w:lang w:val="en-AU"/>
        </w:rPr>
        <w:t xml:space="preserve"> raised with the Institute. Whilst express</w:t>
      </w:r>
      <w:r w:rsidR="0046381D" w:rsidRPr="004C5271">
        <w:rPr>
          <w:rFonts w:asciiTheme="majorBidi" w:hAnsiTheme="majorBidi" w:cstheme="majorBidi"/>
          <w:lang w:val="en-AU"/>
        </w:rPr>
        <w:t>ing</w:t>
      </w:r>
      <w:r w:rsidRPr="004C5271">
        <w:rPr>
          <w:rFonts w:asciiTheme="majorBidi" w:hAnsiTheme="majorBidi" w:cstheme="majorBidi"/>
          <w:lang w:val="en-AU"/>
        </w:rPr>
        <w:t xml:space="preserve"> the view that notional estate legislation should not be introduced, </w:t>
      </w:r>
      <w:r w:rsidR="0046381D" w:rsidRPr="004C5271">
        <w:rPr>
          <w:rFonts w:asciiTheme="majorBidi" w:hAnsiTheme="majorBidi" w:cstheme="majorBidi"/>
          <w:lang w:val="en-AU"/>
        </w:rPr>
        <w:t>Geoffrey Nash</w:t>
      </w:r>
      <w:r w:rsidRPr="004C5271">
        <w:rPr>
          <w:rFonts w:asciiTheme="majorBidi" w:hAnsiTheme="majorBidi" w:cstheme="majorBidi"/>
          <w:lang w:val="en-AU"/>
        </w:rPr>
        <w:t xml:space="preserve"> </w:t>
      </w:r>
      <w:r w:rsidR="00020C24" w:rsidRPr="004C5271">
        <w:rPr>
          <w:rFonts w:asciiTheme="majorBidi" w:hAnsiTheme="majorBidi" w:cstheme="majorBidi"/>
          <w:lang w:val="en-AU"/>
        </w:rPr>
        <w:t>stated</w:t>
      </w:r>
      <w:r w:rsidRPr="004C5271">
        <w:rPr>
          <w:rFonts w:asciiTheme="majorBidi" w:hAnsiTheme="majorBidi" w:cstheme="majorBidi"/>
          <w:lang w:val="en-AU"/>
        </w:rPr>
        <w:t xml:space="preserve"> that, if Tasmania had notional estate laws, then a person’s intentions should be given stronger weight. </w:t>
      </w:r>
      <w:r w:rsidR="00085604" w:rsidRPr="004C5271">
        <w:rPr>
          <w:rFonts w:asciiTheme="majorBidi" w:hAnsiTheme="majorBidi" w:cstheme="majorBidi"/>
          <w:lang w:val="en-AU"/>
        </w:rPr>
        <w:t>On the question of intention, however, the VLRC concluded:</w:t>
      </w:r>
    </w:p>
    <w:p w14:paraId="717763FA" w14:textId="7B715002" w:rsidR="00085604" w:rsidRPr="004C5271" w:rsidRDefault="00BF49A2" w:rsidP="00A47813">
      <w:pPr>
        <w:pStyle w:val="QuoteTLRI"/>
        <w:rPr>
          <w:rFonts w:asciiTheme="majorBidi" w:hAnsiTheme="majorBidi" w:cstheme="majorBidi"/>
        </w:rPr>
      </w:pPr>
      <w:r w:rsidRPr="004C5271">
        <w:rPr>
          <w:rFonts w:asciiTheme="majorBidi" w:hAnsiTheme="majorBidi" w:cstheme="majorBidi"/>
        </w:rPr>
        <w:lastRenderedPageBreak/>
        <w:tab/>
      </w:r>
      <w:r w:rsidR="00085604" w:rsidRPr="004C5271">
        <w:rPr>
          <w:rFonts w:asciiTheme="majorBidi" w:hAnsiTheme="majorBidi" w:cstheme="majorBidi"/>
        </w:rPr>
        <w:t>a notional estate scheme that only applied to transactions entered into with the intention of avoiding family provision obligations could be easily circumvented. Further, intention is difficult to prove, as evidenced by the clear preference for the notional estate provisions in New South Wales which do not require proof of intention to defeat a possible family provision claim. The Commission also agrees that any notional estate scheme that does not require some intention on the part of the deceased person risks being too far-reaching and unduly limiting of a person’s right to dispose of their property during their life.</w:t>
      </w:r>
      <w:r w:rsidR="00085604" w:rsidRPr="004C5271">
        <w:rPr>
          <w:rStyle w:val="FootnoteReference"/>
          <w:rFonts w:asciiTheme="majorBidi" w:hAnsiTheme="majorBidi" w:cstheme="majorBidi"/>
        </w:rPr>
        <w:footnoteReference w:id="467"/>
      </w:r>
    </w:p>
    <w:p w14:paraId="65EFEEAD" w14:textId="73C52BAA" w:rsidR="00F16D53" w:rsidRPr="004C5271" w:rsidRDefault="00F16D53" w:rsidP="00AE2B8C">
      <w:pPr>
        <w:pStyle w:val="Sub-HeadingTLRI"/>
      </w:pPr>
      <w:r w:rsidRPr="004C5271">
        <w:t>The period of time that is covered</w:t>
      </w:r>
    </w:p>
    <w:p w14:paraId="17A0D7A0" w14:textId="009E499C" w:rsidR="00651F00" w:rsidRPr="004C5271" w:rsidRDefault="006E14E4" w:rsidP="00651F00">
      <w:pPr>
        <w:pStyle w:val="NormalNumberedTextTLRI"/>
        <w:rPr>
          <w:rFonts w:asciiTheme="majorBidi" w:hAnsiTheme="majorBidi" w:cstheme="majorBidi"/>
          <w:lang w:val="en-AU"/>
        </w:rPr>
      </w:pPr>
      <w:r w:rsidRPr="004C5271">
        <w:rPr>
          <w:rFonts w:asciiTheme="majorBidi" w:hAnsiTheme="majorBidi" w:cstheme="majorBidi"/>
          <w:lang w:val="en-AU"/>
        </w:rPr>
        <w:t>T</w:t>
      </w:r>
      <w:r w:rsidR="00C50313" w:rsidRPr="004C5271">
        <w:rPr>
          <w:rFonts w:asciiTheme="majorBidi" w:hAnsiTheme="majorBidi" w:cstheme="majorBidi"/>
          <w:lang w:val="en-AU"/>
        </w:rPr>
        <w:t xml:space="preserve">he NSW </w:t>
      </w:r>
      <w:r w:rsidRPr="004C5271">
        <w:rPr>
          <w:rFonts w:asciiTheme="majorBidi" w:hAnsiTheme="majorBidi" w:cstheme="majorBidi"/>
          <w:i/>
          <w:iCs/>
          <w:lang w:val="en-AU"/>
        </w:rPr>
        <w:t>Succession Act</w:t>
      </w:r>
      <w:r w:rsidR="00C50313" w:rsidRPr="004C5271">
        <w:rPr>
          <w:rFonts w:asciiTheme="majorBidi" w:hAnsiTheme="majorBidi" w:cstheme="majorBidi"/>
          <w:lang w:val="en-AU"/>
        </w:rPr>
        <w:t xml:space="preserve"> provide</w:t>
      </w:r>
      <w:r w:rsidRPr="004C5271">
        <w:rPr>
          <w:rFonts w:asciiTheme="majorBidi" w:hAnsiTheme="majorBidi" w:cstheme="majorBidi"/>
          <w:lang w:val="en-AU"/>
        </w:rPr>
        <w:t>s</w:t>
      </w:r>
      <w:r w:rsidR="00C50313" w:rsidRPr="004C5271">
        <w:rPr>
          <w:rFonts w:asciiTheme="majorBidi" w:hAnsiTheme="majorBidi" w:cstheme="majorBidi"/>
          <w:lang w:val="en-AU"/>
        </w:rPr>
        <w:t xml:space="preserve"> that ‘relevant property transactions’ occurring within three years of death </w:t>
      </w:r>
      <w:r w:rsidRPr="004C5271">
        <w:rPr>
          <w:rFonts w:asciiTheme="majorBidi" w:hAnsiTheme="majorBidi" w:cstheme="majorBidi"/>
          <w:lang w:val="en-AU"/>
        </w:rPr>
        <w:t xml:space="preserve">may </w:t>
      </w:r>
      <w:r w:rsidR="00C50313" w:rsidRPr="004C5271">
        <w:rPr>
          <w:rFonts w:asciiTheme="majorBidi" w:hAnsiTheme="majorBidi" w:cstheme="majorBidi"/>
          <w:lang w:val="en-AU"/>
        </w:rPr>
        <w:t>be designated notional estate.</w:t>
      </w:r>
      <w:r w:rsidR="00C50313" w:rsidRPr="004C5271">
        <w:rPr>
          <w:rStyle w:val="FootnoteReference"/>
          <w:rFonts w:asciiTheme="majorBidi" w:hAnsiTheme="majorBidi" w:cstheme="majorBidi"/>
          <w:lang w:val="en-AU"/>
        </w:rPr>
        <w:footnoteReference w:id="468"/>
      </w:r>
      <w:r w:rsidR="00C50313" w:rsidRPr="004C5271">
        <w:rPr>
          <w:rFonts w:asciiTheme="majorBidi" w:hAnsiTheme="majorBidi" w:cstheme="majorBidi"/>
          <w:lang w:val="en-AU"/>
        </w:rPr>
        <w:t xml:space="preserve"> </w:t>
      </w:r>
      <w:r w:rsidR="0046381D" w:rsidRPr="004C5271">
        <w:rPr>
          <w:rFonts w:asciiTheme="majorBidi" w:hAnsiTheme="majorBidi" w:cstheme="majorBidi"/>
          <w:lang w:val="en-AU"/>
        </w:rPr>
        <w:t>By</w:t>
      </w:r>
      <w:r w:rsidR="00C50313" w:rsidRPr="004C5271">
        <w:rPr>
          <w:rFonts w:asciiTheme="majorBidi" w:hAnsiTheme="majorBidi" w:cstheme="majorBidi"/>
          <w:lang w:val="en-AU"/>
        </w:rPr>
        <w:t xml:space="preserve"> comparison, the UK’s </w:t>
      </w:r>
      <w:r w:rsidR="00020C24" w:rsidRPr="004C5271">
        <w:rPr>
          <w:rFonts w:asciiTheme="majorBidi" w:hAnsiTheme="majorBidi" w:cstheme="majorBidi"/>
          <w:lang w:val="en-AU"/>
        </w:rPr>
        <w:t>legislation</w:t>
      </w:r>
      <w:r w:rsidR="00C50313" w:rsidRPr="004C5271">
        <w:rPr>
          <w:rFonts w:asciiTheme="majorBidi" w:hAnsiTheme="majorBidi" w:cstheme="majorBidi"/>
          <w:lang w:val="en-AU"/>
        </w:rPr>
        <w:t xml:space="preserve"> </w:t>
      </w:r>
      <w:r w:rsidRPr="004C5271">
        <w:rPr>
          <w:rFonts w:asciiTheme="majorBidi" w:hAnsiTheme="majorBidi" w:cstheme="majorBidi"/>
          <w:lang w:val="en-AU"/>
        </w:rPr>
        <w:t>covers</w:t>
      </w:r>
      <w:r w:rsidR="00C50313" w:rsidRPr="004C5271">
        <w:rPr>
          <w:rFonts w:asciiTheme="majorBidi" w:hAnsiTheme="majorBidi" w:cstheme="majorBidi"/>
          <w:lang w:val="en-AU"/>
        </w:rPr>
        <w:t xml:space="preserve"> transactions occurring within six years of death, consistent with the recommendations of their Law Commission.</w:t>
      </w:r>
      <w:r w:rsidR="00C50313" w:rsidRPr="004C5271">
        <w:rPr>
          <w:rStyle w:val="FootnoteReference"/>
          <w:rFonts w:asciiTheme="majorBidi" w:hAnsiTheme="majorBidi" w:cstheme="majorBidi"/>
        </w:rPr>
        <w:footnoteReference w:id="469"/>
      </w:r>
      <w:r w:rsidR="00651F00" w:rsidRPr="004C5271">
        <w:rPr>
          <w:rFonts w:asciiTheme="majorBidi" w:hAnsiTheme="majorBidi" w:cstheme="majorBidi"/>
          <w:lang w:val="en-AU"/>
        </w:rPr>
        <w:t xml:space="preserve"> There is a need for balance between competing issues when considering the timeframe</w:t>
      </w:r>
      <w:r w:rsidR="00914EC4" w:rsidRPr="004C5271">
        <w:rPr>
          <w:rFonts w:asciiTheme="majorBidi" w:hAnsiTheme="majorBidi" w:cstheme="majorBidi"/>
          <w:lang w:val="en-AU"/>
        </w:rPr>
        <w:t xml:space="preserve"> to which</w:t>
      </w:r>
      <w:r w:rsidR="00651F00" w:rsidRPr="004C5271">
        <w:rPr>
          <w:rFonts w:asciiTheme="majorBidi" w:hAnsiTheme="majorBidi" w:cstheme="majorBidi"/>
          <w:lang w:val="en-AU"/>
        </w:rPr>
        <w:t xml:space="preserve"> notional estate provisions</w:t>
      </w:r>
      <w:r w:rsidR="00914EC4" w:rsidRPr="004C5271">
        <w:rPr>
          <w:rFonts w:asciiTheme="majorBidi" w:hAnsiTheme="majorBidi" w:cstheme="majorBidi"/>
          <w:lang w:val="en-AU"/>
        </w:rPr>
        <w:t xml:space="preserve"> apply</w:t>
      </w:r>
      <w:r w:rsidR="00651F00" w:rsidRPr="004C5271">
        <w:rPr>
          <w:rFonts w:asciiTheme="majorBidi" w:hAnsiTheme="majorBidi" w:cstheme="majorBidi"/>
          <w:lang w:val="en-AU"/>
        </w:rPr>
        <w:t>:</w:t>
      </w:r>
    </w:p>
    <w:p w14:paraId="27844F7C" w14:textId="2D5490B7" w:rsidR="00651F00" w:rsidRPr="004C5271" w:rsidRDefault="00651F00" w:rsidP="001C6828">
      <w:pPr>
        <w:pStyle w:val="QuoteTLRI"/>
        <w:rPr>
          <w:rFonts w:asciiTheme="majorBidi" w:hAnsiTheme="majorBidi" w:cstheme="majorBidi"/>
        </w:rPr>
      </w:pPr>
      <w:r w:rsidRPr="004C5271">
        <w:rPr>
          <w:rFonts w:asciiTheme="majorBidi" w:hAnsiTheme="majorBidi" w:cstheme="majorBidi"/>
        </w:rPr>
        <w:t>Too long a period exposes donees to potential liability for many years and may prevent them dealing with their property as they would wish to do. A long period increases the investigations that the executors would have to carry out in order to discover whether relevant lifetime gifts had been made. On the other hand too short a period makes the anti-avoidance scheme easy to circumvent.</w:t>
      </w:r>
      <w:r w:rsidRPr="004C5271">
        <w:rPr>
          <w:rStyle w:val="FootnoteReference"/>
          <w:rFonts w:asciiTheme="majorBidi" w:hAnsiTheme="majorBidi" w:cstheme="majorBidi"/>
        </w:rPr>
        <w:footnoteReference w:id="470"/>
      </w:r>
    </w:p>
    <w:p w14:paraId="1147D569" w14:textId="702EE25E" w:rsidR="000C3894" w:rsidRPr="004C5271" w:rsidRDefault="005A4F5D" w:rsidP="00740F86">
      <w:pPr>
        <w:pStyle w:val="NormalNumberedTextTLRI"/>
        <w:rPr>
          <w:rFonts w:asciiTheme="majorBidi" w:hAnsiTheme="majorBidi" w:cstheme="majorBidi"/>
          <w:lang w:val="en-AU"/>
        </w:rPr>
      </w:pPr>
      <w:r w:rsidRPr="004C5271">
        <w:rPr>
          <w:rFonts w:asciiTheme="majorBidi" w:hAnsiTheme="majorBidi" w:cstheme="majorBidi"/>
          <w:lang w:val="en-AU"/>
        </w:rPr>
        <w:t xml:space="preserve">Nine </w:t>
      </w:r>
      <w:r w:rsidR="006E14E4" w:rsidRPr="004C5271">
        <w:rPr>
          <w:rFonts w:asciiTheme="majorBidi" w:hAnsiTheme="majorBidi" w:cstheme="majorBidi"/>
          <w:lang w:val="en-AU"/>
        </w:rPr>
        <w:t>submissions</w:t>
      </w:r>
      <w:r w:rsidR="006E14E4" w:rsidRPr="004C5271">
        <w:rPr>
          <w:rStyle w:val="FootnoteReference"/>
          <w:rFonts w:asciiTheme="majorBidi" w:hAnsiTheme="majorBidi" w:cstheme="majorBidi"/>
          <w:lang w:val="en-AU"/>
        </w:rPr>
        <w:footnoteReference w:id="471"/>
      </w:r>
      <w:r w:rsidR="006E14E4" w:rsidRPr="004C5271">
        <w:rPr>
          <w:rFonts w:asciiTheme="majorBidi" w:hAnsiTheme="majorBidi" w:cstheme="majorBidi"/>
          <w:lang w:val="en-AU"/>
        </w:rPr>
        <w:t xml:space="preserve"> </w:t>
      </w:r>
      <w:r w:rsidR="005B4D99" w:rsidRPr="004C5271">
        <w:rPr>
          <w:rFonts w:asciiTheme="majorBidi" w:hAnsiTheme="majorBidi" w:cstheme="majorBidi"/>
          <w:lang w:val="en-AU"/>
        </w:rPr>
        <w:t>expressed concerns</w:t>
      </w:r>
      <w:r w:rsidR="006E14E4" w:rsidRPr="004C5271">
        <w:rPr>
          <w:rFonts w:asciiTheme="majorBidi" w:hAnsiTheme="majorBidi" w:cstheme="majorBidi"/>
          <w:lang w:val="en-AU"/>
        </w:rPr>
        <w:t xml:space="preserve"> about the period of time </w:t>
      </w:r>
      <w:r w:rsidR="005B4D99" w:rsidRPr="004C5271">
        <w:rPr>
          <w:rFonts w:asciiTheme="majorBidi" w:hAnsiTheme="majorBidi" w:cstheme="majorBidi"/>
          <w:lang w:val="en-AU"/>
        </w:rPr>
        <w:t xml:space="preserve">designated under </w:t>
      </w:r>
      <w:r w:rsidR="006E14E4" w:rsidRPr="004C5271">
        <w:rPr>
          <w:rFonts w:asciiTheme="majorBidi" w:hAnsiTheme="majorBidi" w:cstheme="majorBidi"/>
          <w:lang w:val="en-AU"/>
        </w:rPr>
        <w:t>the New South Wales provision</w:t>
      </w:r>
      <w:r w:rsidR="005B4D99" w:rsidRPr="004C5271">
        <w:rPr>
          <w:rFonts w:asciiTheme="majorBidi" w:hAnsiTheme="majorBidi" w:cstheme="majorBidi"/>
          <w:lang w:val="en-AU"/>
        </w:rPr>
        <w:t>s</w:t>
      </w:r>
      <w:r w:rsidR="006E14E4" w:rsidRPr="004C5271">
        <w:rPr>
          <w:rFonts w:asciiTheme="majorBidi" w:hAnsiTheme="majorBidi" w:cstheme="majorBidi"/>
          <w:lang w:val="en-AU"/>
        </w:rPr>
        <w:t>.</w:t>
      </w:r>
      <w:r w:rsidR="000C3894" w:rsidRPr="004C5271">
        <w:rPr>
          <w:rFonts w:asciiTheme="majorBidi" w:hAnsiTheme="majorBidi" w:cstheme="majorBidi"/>
          <w:lang w:val="en-AU"/>
        </w:rPr>
        <w:t xml:space="preserve"> </w:t>
      </w:r>
      <w:r w:rsidR="0046381D" w:rsidRPr="004C5271">
        <w:rPr>
          <w:rFonts w:asciiTheme="majorBidi" w:hAnsiTheme="majorBidi" w:cstheme="majorBidi"/>
          <w:lang w:val="en-AU"/>
        </w:rPr>
        <w:t>V</w:t>
      </w:r>
      <w:r w:rsidR="000C3894" w:rsidRPr="004C5271">
        <w:rPr>
          <w:rFonts w:asciiTheme="majorBidi" w:hAnsiTheme="majorBidi" w:cstheme="majorBidi"/>
          <w:lang w:val="en-AU"/>
        </w:rPr>
        <w:t xml:space="preserve">arying views </w:t>
      </w:r>
      <w:r w:rsidR="0046381D" w:rsidRPr="004C5271">
        <w:rPr>
          <w:rFonts w:asciiTheme="majorBidi" w:hAnsiTheme="majorBidi" w:cstheme="majorBidi"/>
          <w:lang w:val="en-AU"/>
        </w:rPr>
        <w:t xml:space="preserve">were, however, </w:t>
      </w:r>
      <w:r w:rsidR="000C3894" w:rsidRPr="004C5271">
        <w:rPr>
          <w:rFonts w:asciiTheme="majorBidi" w:hAnsiTheme="majorBidi" w:cstheme="majorBidi"/>
          <w:lang w:val="en-AU"/>
        </w:rPr>
        <w:t>expressed</w:t>
      </w:r>
      <w:r w:rsidR="0046381D" w:rsidRPr="004C5271">
        <w:rPr>
          <w:rFonts w:asciiTheme="majorBidi" w:hAnsiTheme="majorBidi" w:cstheme="majorBidi"/>
          <w:lang w:val="en-AU"/>
        </w:rPr>
        <w:t xml:space="preserve"> </w:t>
      </w:r>
      <w:r w:rsidR="000C3894" w:rsidRPr="004C5271">
        <w:rPr>
          <w:rFonts w:asciiTheme="majorBidi" w:hAnsiTheme="majorBidi" w:cstheme="majorBidi"/>
          <w:lang w:val="en-AU"/>
        </w:rPr>
        <w:t>about the period of time that should</w:t>
      </w:r>
      <w:r w:rsidR="002320E2" w:rsidRPr="004C5271">
        <w:rPr>
          <w:rFonts w:asciiTheme="majorBidi" w:hAnsiTheme="majorBidi" w:cstheme="majorBidi"/>
          <w:lang w:val="en-AU"/>
        </w:rPr>
        <w:t xml:space="preserve"> be</w:t>
      </w:r>
      <w:r w:rsidR="000C3894" w:rsidRPr="004C5271">
        <w:rPr>
          <w:rFonts w:asciiTheme="majorBidi" w:hAnsiTheme="majorBidi" w:cstheme="majorBidi"/>
          <w:lang w:val="en-AU"/>
        </w:rPr>
        <w:t xml:space="preserve"> cover</w:t>
      </w:r>
      <w:r w:rsidR="002320E2" w:rsidRPr="004C5271">
        <w:rPr>
          <w:rFonts w:asciiTheme="majorBidi" w:hAnsiTheme="majorBidi" w:cstheme="majorBidi"/>
          <w:lang w:val="en-AU"/>
        </w:rPr>
        <w:t>ed</w:t>
      </w:r>
      <w:r w:rsidR="000C3894" w:rsidRPr="004C5271">
        <w:rPr>
          <w:rFonts w:asciiTheme="majorBidi" w:hAnsiTheme="majorBidi" w:cstheme="majorBidi"/>
          <w:lang w:val="en-AU"/>
        </w:rPr>
        <w:t xml:space="preserve"> ranging </w:t>
      </w:r>
      <w:r w:rsidR="000C3894" w:rsidRPr="004C5271">
        <w:rPr>
          <w:rFonts w:asciiTheme="majorBidi" w:hAnsiTheme="majorBidi" w:cstheme="majorBidi"/>
          <w:lang w:val="en-AU"/>
        </w:rPr>
        <w:lastRenderedPageBreak/>
        <w:t>from</w:t>
      </w:r>
      <w:r w:rsidR="0046381D" w:rsidRPr="004C5271">
        <w:rPr>
          <w:rFonts w:asciiTheme="majorBidi" w:hAnsiTheme="majorBidi" w:cstheme="majorBidi"/>
          <w:lang w:val="en-AU"/>
        </w:rPr>
        <w:t xml:space="preserve"> </w:t>
      </w:r>
      <w:r w:rsidR="002320E2" w:rsidRPr="004C5271">
        <w:rPr>
          <w:rFonts w:asciiTheme="majorBidi" w:hAnsiTheme="majorBidi" w:cstheme="majorBidi"/>
          <w:lang w:val="en-AU"/>
        </w:rPr>
        <w:t>an</w:t>
      </w:r>
      <w:r w:rsidR="000C3894" w:rsidRPr="004C5271">
        <w:rPr>
          <w:rFonts w:asciiTheme="majorBidi" w:hAnsiTheme="majorBidi" w:cstheme="majorBidi"/>
          <w:lang w:val="en-AU"/>
        </w:rPr>
        <w:t xml:space="preserve"> unlimited</w:t>
      </w:r>
      <w:r w:rsidR="002320E2" w:rsidRPr="004C5271">
        <w:rPr>
          <w:rFonts w:asciiTheme="majorBidi" w:hAnsiTheme="majorBidi" w:cstheme="majorBidi"/>
          <w:lang w:val="en-AU"/>
        </w:rPr>
        <w:t xml:space="preserve"> timeframe</w:t>
      </w:r>
      <w:r w:rsidR="000C3894" w:rsidRPr="004C5271">
        <w:rPr>
          <w:rStyle w:val="FootnoteReference"/>
          <w:rFonts w:asciiTheme="majorBidi" w:hAnsiTheme="majorBidi" w:cstheme="majorBidi"/>
          <w:lang w:val="en-AU"/>
        </w:rPr>
        <w:footnoteReference w:id="472"/>
      </w:r>
      <w:r w:rsidR="000C3894" w:rsidRPr="004C5271">
        <w:rPr>
          <w:rFonts w:asciiTheme="majorBidi" w:hAnsiTheme="majorBidi" w:cstheme="majorBidi"/>
          <w:lang w:val="en-AU"/>
        </w:rPr>
        <w:t xml:space="preserve"> to</w:t>
      </w:r>
      <w:r w:rsidR="0046381D" w:rsidRPr="004C5271">
        <w:rPr>
          <w:rFonts w:asciiTheme="majorBidi" w:hAnsiTheme="majorBidi" w:cstheme="majorBidi"/>
          <w:lang w:val="en-AU"/>
        </w:rPr>
        <w:t xml:space="preserve"> </w:t>
      </w:r>
      <w:r w:rsidR="000C3894" w:rsidRPr="004C5271">
        <w:rPr>
          <w:rFonts w:asciiTheme="majorBidi" w:hAnsiTheme="majorBidi" w:cstheme="majorBidi"/>
          <w:lang w:val="en-AU"/>
        </w:rPr>
        <w:t>shorten</w:t>
      </w:r>
      <w:r w:rsidR="002320E2" w:rsidRPr="004C5271">
        <w:rPr>
          <w:rFonts w:asciiTheme="majorBidi" w:hAnsiTheme="majorBidi" w:cstheme="majorBidi"/>
          <w:lang w:val="en-AU"/>
        </w:rPr>
        <w:t>ing the timeframe</w:t>
      </w:r>
      <w:r w:rsidR="000C3894" w:rsidRPr="004C5271">
        <w:rPr>
          <w:rFonts w:asciiTheme="majorBidi" w:hAnsiTheme="majorBidi" w:cstheme="majorBidi"/>
          <w:lang w:val="en-AU"/>
        </w:rPr>
        <w:t xml:space="preserve"> to 12 months prior to death.</w:t>
      </w:r>
      <w:r w:rsidR="000C3894" w:rsidRPr="004C5271">
        <w:rPr>
          <w:rStyle w:val="FootnoteReference"/>
          <w:rFonts w:asciiTheme="majorBidi" w:hAnsiTheme="majorBidi" w:cstheme="majorBidi"/>
          <w:lang w:val="en-AU"/>
        </w:rPr>
        <w:footnoteReference w:id="473"/>
      </w:r>
    </w:p>
    <w:p w14:paraId="7D24C806" w14:textId="67B42664" w:rsidR="000C3894" w:rsidRPr="004C5271" w:rsidRDefault="005A4F5D" w:rsidP="00F16D53">
      <w:pPr>
        <w:pStyle w:val="NormalNumberedTextTLRI"/>
        <w:rPr>
          <w:rFonts w:asciiTheme="majorBidi" w:hAnsiTheme="majorBidi" w:cstheme="majorBidi"/>
          <w:lang w:val="en-AU"/>
        </w:rPr>
      </w:pPr>
      <w:r w:rsidRPr="004C5271">
        <w:rPr>
          <w:rFonts w:asciiTheme="majorBidi" w:hAnsiTheme="majorBidi" w:cstheme="majorBidi"/>
          <w:lang w:val="en-AU"/>
        </w:rPr>
        <w:t>Three</w:t>
      </w:r>
      <w:r w:rsidR="000C3894" w:rsidRPr="004C5271">
        <w:rPr>
          <w:rFonts w:asciiTheme="majorBidi" w:hAnsiTheme="majorBidi" w:cstheme="majorBidi"/>
          <w:lang w:val="en-AU"/>
        </w:rPr>
        <w:t xml:space="preserve"> submissions</w:t>
      </w:r>
      <w:r w:rsidR="000C3894" w:rsidRPr="004C5271">
        <w:rPr>
          <w:rStyle w:val="FootnoteReference"/>
          <w:rFonts w:asciiTheme="majorBidi" w:hAnsiTheme="majorBidi" w:cstheme="majorBidi"/>
          <w:lang w:val="en-AU"/>
        </w:rPr>
        <w:footnoteReference w:id="474"/>
      </w:r>
      <w:r w:rsidR="000C3894" w:rsidRPr="004C5271">
        <w:rPr>
          <w:rFonts w:asciiTheme="majorBidi" w:hAnsiTheme="majorBidi" w:cstheme="majorBidi"/>
          <w:lang w:val="en-AU"/>
        </w:rPr>
        <w:t xml:space="preserve"> stated that the timeframes imposed </w:t>
      </w:r>
      <w:r w:rsidR="0046381D" w:rsidRPr="004C5271">
        <w:rPr>
          <w:rFonts w:asciiTheme="majorBidi" w:hAnsiTheme="majorBidi" w:cstheme="majorBidi"/>
          <w:lang w:val="en-AU"/>
        </w:rPr>
        <w:t>within</w:t>
      </w:r>
      <w:r w:rsidR="000C3894" w:rsidRPr="004C5271">
        <w:rPr>
          <w:rFonts w:asciiTheme="majorBidi" w:hAnsiTheme="majorBidi" w:cstheme="majorBidi"/>
          <w:lang w:val="en-AU"/>
        </w:rPr>
        <w:t xml:space="preserve"> legislation are arbitrary.</w:t>
      </w:r>
      <w:r w:rsidR="00D50ED7" w:rsidRPr="004C5271">
        <w:rPr>
          <w:rStyle w:val="FootnoteReference"/>
          <w:rFonts w:asciiTheme="majorBidi" w:hAnsiTheme="majorBidi" w:cstheme="majorBidi"/>
          <w:lang w:val="en-AU"/>
        </w:rPr>
        <w:footnoteReference w:id="475"/>
      </w:r>
      <w:r w:rsidR="000C3894" w:rsidRPr="004C5271">
        <w:rPr>
          <w:rFonts w:asciiTheme="majorBidi" w:hAnsiTheme="majorBidi" w:cstheme="majorBidi"/>
          <w:lang w:val="en-AU"/>
        </w:rPr>
        <w:t xml:space="preserve"> Each stated that the three-year timeframe can create opportunities for avoidance </w:t>
      </w:r>
      <w:r w:rsidR="001C6828" w:rsidRPr="004C5271">
        <w:rPr>
          <w:rFonts w:asciiTheme="majorBidi" w:hAnsiTheme="majorBidi" w:cstheme="majorBidi"/>
          <w:lang w:val="en-AU"/>
        </w:rPr>
        <w:t>—</w:t>
      </w:r>
      <w:r w:rsidR="000C3894" w:rsidRPr="004C5271">
        <w:rPr>
          <w:rFonts w:asciiTheme="majorBidi" w:hAnsiTheme="majorBidi" w:cstheme="majorBidi"/>
          <w:lang w:val="en-AU"/>
        </w:rPr>
        <w:t xml:space="preserve"> for example, through transferring assets early. Justin McMullen queried why different outcomes should occur </w:t>
      </w:r>
      <w:r w:rsidR="005B4D99" w:rsidRPr="004C5271">
        <w:rPr>
          <w:rFonts w:asciiTheme="majorBidi" w:hAnsiTheme="majorBidi" w:cstheme="majorBidi"/>
          <w:lang w:val="en-AU"/>
        </w:rPr>
        <w:t>for those</w:t>
      </w:r>
      <w:r w:rsidR="000C3894" w:rsidRPr="004C5271">
        <w:rPr>
          <w:rFonts w:asciiTheme="majorBidi" w:hAnsiTheme="majorBidi" w:cstheme="majorBidi"/>
          <w:lang w:val="en-AU"/>
        </w:rPr>
        <w:t xml:space="preserve"> who transfer assets within </w:t>
      </w:r>
      <w:r w:rsidR="005B4D99" w:rsidRPr="004C5271">
        <w:rPr>
          <w:rFonts w:asciiTheme="majorBidi" w:hAnsiTheme="majorBidi" w:cstheme="majorBidi"/>
          <w:lang w:val="en-AU"/>
        </w:rPr>
        <w:t xml:space="preserve">three </w:t>
      </w:r>
      <w:r w:rsidR="000C3894" w:rsidRPr="004C5271">
        <w:rPr>
          <w:rFonts w:asciiTheme="majorBidi" w:hAnsiTheme="majorBidi" w:cstheme="majorBidi"/>
          <w:lang w:val="en-AU"/>
        </w:rPr>
        <w:t xml:space="preserve">years of their death, and </w:t>
      </w:r>
      <w:r w:rsidR="005B4D99" w:rsidRPr="004C5271">
        <w:rPr>
          <w:rFonts w:asciiTheme="majorBidi" w:hAnsiTheme="majorBidi" w:cstheme="majorBidi"/>
          <w:lang w:val="en-AU"/>
        </w:rPr>
        <w:t xml:space="preserve">those </w:t>
      </w:r>
      <w:r w:rsidR="000C3894" w:rsidRPr="004C5271">
        <w:rPr>
          <w:rFonts w:asciiTheme="majorBidi" w:hAnsiTheme="majorBidi" w:cstheme="majorBidi"/>
          <w:lang w:val="en-AU"/>
        </w:rPr>
        <w:t>who transfer asset</w:t>
      </w:r>
      <w:r w:rsidR="005B4D99" w:rsidRPr="004C5271">
        <w:rPr>
          <w:rFonts w:asciiTheme="majorBidi" w:hAnsiTheme="majorBidi" w:cstheme="majorBidi"/>
          <w:lang w:val="en-AU"/>
        </w:rPr>
        <w:t>s</w:t>
      </w:r>
      <w:r w:rsidR="000C3894" w:rsidRPr="004C5271">
        <w:rPr>
          <w:rFonts w:asciiTheme="majorBidi" w:hAnsiTheme="majorBidi" w:cstheme="majorBidi"/>
          <w:lang w:val="en-AU"/>
        </w:rPr>
        <w:t xml:space="preserve"> </w:t>
      </w:r>
      <w:r w:rsidR="005B4D99" w:rsidRPr="004C5271">
        <w:rPr>
          <w:rFonts w:asciiTheme="majorBidi" w:hAnsiTheme="majorBidi" w:cstheme="majorBidi"/>
          <w:lang w:val="en-AU"/>
        </w:rPr>
        <w:t xml:space="preserve">three </w:t>
      </w:r>
      <w:r w:rsidR="000C3894" w:rsidRPr="004C5271">
        <w:rPr>
          <w:rFonts w:asciiTheme="majorBidi" w:hAnsiTheme="majorBidi" w:cstheme="majorBidi"/>
          <w:lang w:val="en-AU"/>
        </w:rPr>
        <w:t>years and one day before their death:</w:t>
      </w:r>
    </w:p>
    <w:p w14:paraId="4CCEBD9A" w14:textId="5EBE3A6B" w:rsidR="000C3894" w:rsidRPr="004C5271" w:rsidRDefault="000C3894" w:rsidP="001C6828">
      <w:pPr>
        <w:pStyle w:val="QuoteTLRI"/>
        <w:rPr>
          <w:rFonts w:asciiTheme="majorBidi" w:hAnsiTheme="majorBidi" w:cstheme="majorBidi"/>
        </w:rPr>
      </w:pPr>
      <w:r w:rsidRPr="004C5271">
        <w:rPr>
          <w:rFonts w:asciiTheme="majorBidi" w:hAnsiTheme="majorBidi" w:cstheme="majorBidi"/>
        </w:rPr>
        <w:t>I submit that the policy behind TFM and, as a result notional estate provisions, fails when a time limit is imposed on the recovery of assets under notional estate provisions insofar far as any transaction that occurs prior to the time limit</w:t>
      </w:r>
      <w:r w:rsidR="00EC430D" w:rsidRPr="004C5271">
        <w:rPr>
          <w:rFonts w:asciiTheme="majorBidi" w:hAnsiTheme="majorBidi" w:cstheme="majorBidi"/>
        </w:rPr>
        <w:t xml:space="preserve"> [is concerned]</w:t>
      </w:r>
      <w:r w:rsidRPr="004C5271">
        <w:rPr>
          <w:rFonts w:asciiTheme="majorBidi" w:hAnsiTheme="majorBidi" w:cstheme="majorBidi"/>
        </w:rPr>
        <w:t>. It is difficult to reconcile how the legislation could arbitrarily determine that a time limit applies for the operation of the notional estate provisions.</w:t>
      </w:r>
    </w:p>
    <w:p w14:paraId="0F85C005" w14:textId="3A87E5E4" w:rsidR="00CB79C5" w:rsidRPr="004C5271" w:rsidRDefault="00CB79C5" w:rsidP="00CB79C5">
      <w:pPr>
        <w:pStyle w:val="NormalNumberedTextTLRI"/>
        <w:rPr>
          <w:rFonts w:asciiTheme="majorBidi" w:hAnsiTheme="majorBidi" w:cstheme="majorBidi"/>
          <w:lang w:val="en-AU"/>
        </w:rPr>
      </w:pPr>
      <w:r w:rsidRPr="004C5271">
        <w:rPr>
          <w:rFonts w:asciiTheme="majorBidi" w:hAnsiTheme="majorBidi" w:cstheme="majorBidi"/>
          <w:lang w:val="en-AU"/>
        </w:rPr>
        <w:t xml:space="preserve">Emeritus Professor Rosalind Croucher has also raised issues with the period covered by New South Wales’ notional estate provisions. She too observes that </w:t>
      </w:r>
      <w:r w:rsidR="0046381D" w:rsidRPr="004C5271">
        <w:rPr>
          <w:rFonts w:asciiTheme="majorBidi" w:hAnsiTheme="majorBidi" w:cstheme="majorBidi"/>
          <w:lang w:val="en-AU"/>
        </w:rPr>
        <w:t>laws</w:t>
      </w:r>
      <w:r w:rsidRPr="004C5271">
        <w:rPr>
          <w:rFonts w:asciiTheme="majorBidi" w:hAnsiTheme="majorBidi" w:cstheme="majorBidi"/>
          <w:lang w:val="en-AU"/>
        </w:rPr>
        <w:t xml:space="preserve"> </w:t>
      </w:r>
      <w:r w:rsidR="00CA19E2" w:rsidRPr="004C5271">
        <w:rPr>
          <w:rFonts w:asciiTheme="majorBidi" w:hAnsiTheme="majorBidi" w:cstheme="majorBidi"/>
          <w:lang w:val="en-AU"/>
        </w:rPr>
        <w:t>can</w:t>
      </w:r>
      <w:r w:rsidRPr="004C5271">
        <w:rPr>
          <w:rFonts w:asciiTheme="majorBidi" w:hAnsiTheme="majorBidi" w:cstheme="majorBidi"/>
          <w:lang w:val="en-AU"/>
        </w:rPr>
        <w:t xml:space="preserve"> be avoided by transferring assets outside of the three</w:t>
      </w:r>
      <w:r w:rsidR="00DF40E2" w:rsidRPr="004C5271">
        <w:rPr>
          <w:rFonts w:asciiTheme="majorBidi" w:hAnsiTheme="majorBidi" w:cstheme="majorBidi"/>
          <w:lang w:val="en-AU"/>
        </w:rPr>
        <w:t>-</w:t>
      </w:r>
      <w:r w:rsidRPr="004C5271">
        <w:rPr>
          <w:rFonts w:asciiTheme="majorBidi" w:hAnsiTheme="majorBidi" w:cstheme="majorBidi"/>
          <w:lang w:val="en-AU"/>
        </w:rPr>
        <w:t>year period prior to death</w:t>
      </w:r>
      <w:r w:rsidR="001C6828" w:rsidRPr="004C5271">
        <w:rPr>
          <w:rFonts w:asciiTheme="majorBidi" w:hAnsiTheme="majorBidi" w:cstheme="majorBidi"/>
          <w:lang w:val="en-AU"/>
        </w:rPr>
        <w:t>, but</w:t>
      </w:r>
      <w:r w:rsidRPr="004C5271">
        <w:rPr>
          <w:rFonts w:asciiTheme="majorBidi" w:hAnsiTheme="majorBidi" w:cstheme="majorBidi"/>
          <w:lang w:val="en-AU"/>
        </w:rPr>
        <w:t xml:space="preserve"> comments that this itself can create problems: </w:t>
      </w:r>
    </w:p>
    <w:p w14:paraId="0DD3453B" w14:textId="517033A9" w:rsidR="00CB79C5" w:rsidRPr="004C5271" w:rsidRDefault="00CB79C5" w:rsidP="001C6828">
      <w:pPr>
        <w:pStyle w:val="QuoteTLRI"/>
        <w:rPr>
          <w:rFonts w:asciiTheme="majorBidi" w:hAnsiTheme="majorBidi" w:cstheme="majorBidi"/>
        </w:rPr>
      </w:pPr>
      <w:r w:rsidRPr="004C5271">
        <w:rPr>
          <w:rFonts w:asciiTheme="majorBidi" w:hAnsiTheme="majorBidi" w:cstheme="majorBidi"/>
        </w:rPr>
        <w:t>This may get away from a notional estate argument, provided the testator survives for the three years, but may involve pension issues, and won’t avoid a family dispute that may be brewing in any event.</w:t>
      </w:r>
      <w:r w:rsidRPr="004C5271">
        <w:rPr>
          <w:rStyle w:val="FootnoteReference"/>
          <w:rFonts w:asciiTheme="majorBidi" w:hAnsiTheme="majorBidi" w:cstheme="majorBidi"/>
        </w:rPr>
        <w:footnoteReference w:id="476"/>
      </w:r>
    </w:p>
    <w:p w14:paraId="77E1BCB0" w14:textId="099AB7B1" w:rsidR="002320E2" w:rsidRPr="004C5271" w:rsidRDefault="002320E2" w:rsidP="00AE2B8C">
      <w:pPr>
        <w:pStyle w:val="Sub-HeadingTLRI"/>
      </w:pPr>
      <w:r w:rsidRPr="004C5271">
        <w:lastRenderedPageBreak/>
        <w:t>Other provisions</w:t>
      </w:r>
    </w:p>
    <w:p w14:paraId="4D1DDAC8" w14:textId="34A61DAC" w:rsidR="00F16D53" w:rsidRPr="004C5271" w:rsidRDefault="000C3894" w:rsidP="00F16D53">
      <w:pPr>
        <w:pStyle w:val="NormalNumberedTextTLRI"/>
        <w:rPr>
          <w:rFonts w:asciiTheme="majorBidi" w:hAnsiTheme="majorBidi" w:cstheme="majorBidi"/>
          <w:lang w:val="en-AU"/>
        </w:rPr>
      </w:pPr>
      <w:r w:rsidRPr="004C5271">
        <w:rPr>
          <w:rFonts w:asciiTheme="majorBidi" w:hAnsiTheme="majorBidi" w:cstheme="majorBidi"/>
          <w:lang w:val="en-AU"/>
        </w:rPr>
        <w:t xml:space="preserve">One respondent referred to the test imposed in the </w:t>
      </w:r>
      <w:r w:rsidR="005A4F5D" w:rsidRPr="004C5271">
        <w:rPr>
          <w:rFonts w:asciiTheme="majorBidi" w:hAnsiTheme="majorBidi" w:cstheme="majorBidi"/>
          <w:lang w:val="en-AU"/>
        </w:rPr>
        <w:t>NSW</w:t>
      </w:r>
      <w:r w:rsidRPr="004C5271">
        <w:rPr>
          <w:rFonts w:asciiTheme="majorBidi" w:hAnsiTheme="majorBidi" w:cstheme="majorBidi"/>
          <w:lang w:val="en-AU"/>
        </w:rPr>
        <w:t xml:space="preserve"> </w:t>
      </w:r>
      <w:r w:rsidRPr="004C5271">
        <w:rPr>
          <w:rFonts w:asciiTheme="majorBidi" w:hAnsiTheme="majorBidi" w:cstheme="majorBidi"/>
          <w:i/>
          <w:iCs/>
          <w:lang w:val="en-AU"/>
        </w:rPr>
        <w:t>Succession Act</w:t>
      </w:r>
      <w:r w:rsidRPr="004C5271">
        <w:rPr>
          <w:rFonts w:asciiTheme="majorBidi" w:hAnsiTheme="majorBidi" w:cstheme="majorBidi"/>
          <w:lang w:val="en-AU"/>
        </w:rPr>
        <w:t xml:space="preserve"> for the making of a notional estate order. It was submitted that:</w:t>
      </w:r>
    </w:p>
    <w:p w14:paraId="5F4BC1C7" w14:textId="25FABA59" w:rsidR="00087411" w:rsidRPr="004C5271" w:rsidRDefault="00087411" w:rsidP="00722A49">
      <w:pPr>
        <w:pStyle w:val="QuoteTLRI"/>
        <w:rPr>
          <w:rFonts w:asciiTheme="majorBidi" w:hAnsiTheme="majorBidi" w:cstheme="majorBidi"/>
        </w:rPr>
      </w:pPr>
      <w:r w:rsidRPr="004C5271">
        <w:rPr>
          <w:rFonts w:asciiTheme="majorBidi" w:hAnsiTheme="majorBidi" w:cstheme="majorBidi"/>
        </w:rPr>
        <w:t>S 80(2)(b) refers to a moral obligation to provide which seems a very broad concept. I am unclear how that moral obligation is established, what the guidelines are or how a finding of such an obligation fits with the obligation under testators family maintenance legislation.</w:t>
      </w:r>
      <w:r w:rsidRPr="004C5271">
        <w:rPr>
          <w:rStyle w:val="FootnoteReference"/>
          <w:rFonts w:asciiTheme="majorBidi" w:hAnsiTheme="majorBidi" w:cstheme="majorBidi"/>
        </w:rPr>
        <w:footnoteReference w:id="477"/>
      </w:r>
    </w:p>
    <w:p w14:paraId="69771D21" w14:textId="4274D483" w:rsidR="008A7C48" w:rsidRPr="004C5271" w:rsidRDefault="008A7C48" w:rsidP="00C03430">
      <w:pPr>
        <w:pStyle w:val="NormalNumberedTextTLRI"/>
        <w:rPr>
          <w:rFonts w:asciiTheme="majorBidi" w:hAnsiTheme="majorBidi" w:cstheme="majorBidi"/>
          <w:lang w:val="en-AU"/>
        </w:rPr>
      </w:pPr>
      <w:r w:rsidRPr="004C5271">
        <w:rPr>
          <w:rFonts w:asciiTheme="majorBidi" w:hAnsiTheme="majorBidi" w:cstheme="majorBidi"/>
          <w:lang w:val="en-AU"/>
        </w:rPr>
        <w:t>A Hobart law firm</w:t>
      </w:r>
      <w:r w:rsidRPr="004C5271">
        <w:rPr>
          <w:rStyle w:val="FootnoteReference"/>
          <w:rFonts w:asciiTheme="majorBidi" w:hAnsiTheme="majorBidi" w:cstheme="majorBidi"/>
          <w:lang w:val="en-AU"/>
        </w:rPr>
        <w:footnoteReference w:id="478"/>
      </w:r>
      <w:r w:rsidRPr="004C5271">
        <w:rPr>
          <w:rFonts w:asciiTheme="majorBidi" w:hAnsiTheme="majorBidi" w:cstheme="majorBidi"/>
          <w:lang w:val="en-AU"/>
        </w:rPr>
        <w:t xml:space="preserve"> </w:t>
      </w:r>
      <w:r w:rsidR="0046381D" w:rsidRPr="004C5271">
        <w:rPr>
          <w:rFonts w:asciiTheme="majorBidi" w:hAnsiTheme="majorBidi" w:cstheme="majorBidi"/>
          <w:lang w:val="en-AU"/>
        </w:rPr>
        <w:t>clarified</w:t>
      </w:r>
      <w:r w:rsidRPr="004C5271">
        <w:rPr>
          <w:rFonts w:asciiTheme="majorBidi" w:hAnsiTheme="majorBidi" w:cstheme="majorBidi"/>
          <w:lang w:val="en-AU"/>
        </w:rPr>
        <w:t xml:space="preserve"> that, if Tasmania were to introduce New South Wales’ notional estate provisions, it should not adopt its legislative framework more broadly. Specifically, it highlighted that New South Wales has a broader range of eligible family provision applicants, and that Tasmania should not adopt </w:t>
      </w:r>
      <w:r w:rsidR="006C546A" w:rsidRPr="004C5271">
        <w:rPr>
          <w:rFonts w:asciiTheme="majorBidi" w:hAnsiTheme="majorBidi" w:cstheme="majorBidi"/>
          <w:lang w:val="en-AU"/>
        </w:rPr>
        <w:t xml:space="preserve">its </w:t>
      </w:r>
      <w:r w:rsidR="00405019" w:rsidRPr="004C5271">
        <w:rPr>
          <w:rFonts w:asciiTheme="majorBidi" w:hAnsiTheme="majorBidi" w:cstheme="majorBidi"/>
          <w:lang w:val="en-AU"/>
        </w:rPr>
        <w:t>eligibility requirements as part of any legislative reform.</w:t>
      </w:r>
    </w:p>
    <w:p w14:paraId="42F747CE" w14:textId="5BCDDE9B" w:rsidR="00606E57" w:rsidRPr="004C5271" w:rsidRDefault="00F16D53" w:rsidP="009F7E4F">
      <w:pPr>
        <w:pStyle w:val="NumberedHeadingTLRI"/>
        <w:rPr>
          <w:rFonts w:asciiTheme="majorBidi" w:hAnsiTheme="majorBidi" w:cstheme="majorBidi"/>
          <w:lang w:val="en-AU"/>
        </w:rPr>
      </w:pPr>
      <w:r w:rsidRPr="004C5271">
        <w:rPr>
          <w:rFonts w:asciiTheme="majorBidi" w:hAnsiTheme="majorBidi" w:cstheme="majorBidi"/>
          <w:lang w:val="en-AU"/>
        </w:rPr>
        <w:t xml:space="preserve"> </w:t>
      </w:r>
      <w:bookmarkStart w:id="210" w:name="_Toc12268971"/>
      <w:r w:rsidR="00606E57" w:rsidRPr="004C5271">
        <w:rPr>
          <w:rFonts w:asciiTheme="majorBidi" w:hAnsiTheme="majorBidi" w:cstheme="majorBidi"/>
          <w:lang w:val="en-AU"/>
        </w:rPr>
        <w:t>Other matters</w:t>
      </w:r>
      <w:bookmarkEnd w:id="210"/>
    </w:p>
    <w:p w14:paraId="1B0A39A1" w14:textId="71557197" w:rsidR="00235349" w:rsidRPr="004C5271" w:rsidRDefault="00606E57" w:rsidP="002C0C0D">
      <w:pPr>
        <w:pStyle w:val="NormalNumberedTextTLRI"/>
        <w:rPr>
          <w:rFonts w:asciiTheme="majorBidi" w:hAnsiTheme="majorBidi" w:cstheme="majorBidi"/>
          <w:b/>
          <w:lang w:val="en-AU"/>
        </w:rPr>
      </w:pPr>
      <w:r w:rsidRPr="004C5271">
        <w:rPr>
          <w:rFonts w:asciiTheme="majorBidi" w:hAnsiTheme="majorBidi" w:cstheme="majorBidi"/>
          <w:lang w:val="en-AU"/>
        </w:rPr>
        <w:t>T</w:t>
      </w:r>
      <w:r w:rsidR="00235349" w:rsidRPr="004C5271">
        <w:rPr>
          <w:rFonts w:asciiTheme="majorBidi" w:hAnsiTheme="majorBidi" w:cstheme="majorBidi"/>
          <w:lang w:val="en-AU"/>
        </w:rPr>
        <w:t xml:space="preserve">he Institute </w:t>
      </w:r>
      <w:r w:rsidR="008D69F1" w:rsidRPr="004C5271">
        <w:rPr>
          <w:rFonts w:asciiTheme="majorBidi" w:hAnsiTheme="majorBidi" w:cstheme="majorBidi"/>
          <w:lang w:val="en-AU"/>
        </w:rPr>
        <w:t>invite</w:t>
      </w:r>
      <w:r w:rsidRPr="004C5271">
        <w:rPr>
          <w:rFonts w:asciiTheme="majorBidi" w:hAnsiTheme="majorBidi" w:cstheme="majorBidi"/>
          <w:lang w:val="en-AU"/>
        </w:rPr>
        <w:t>d</w:t>
      </w:r>
      <w:r w:rsidR="00235349" w:rsidRPr="004C5271">
        <w:rPr>
          <w:rFonts w:asciiTheme="majorBidi" w:hAnsiTheme="majorBidi" w:cstheme="majorBidi"/>
          <w:lang w:val="en-AU"/>
        </w:rPr>
        <w:t xml:space="preserve"> respondents to advance any other matters that </w:t>
      </w:r>
      <w:r w:rsidRPr="004C5271">
        <w:rPr>
          <w:rFonts w:asciiTheme="majorBidi" w:hAnsiTheme="majorBidi" w:cstheme="majorBidi"/>
          <w:lang w:val="en-AU"/>
        </w:rPr>
        <w:t>they</w:t>
      </w:r>
      <w:r w:rsidR="00235349" w:rsidRPr="004C5271">
        <w:rPr>
          <w:rFonts w:asciiTheme="majorBidi" w:hAnsiTheme="majorBidi" w:cstheme="majorBidi"/>
          <w:lang w:val="en-AU"/>
        </w:rPr>
        <w:t xml:space="preserve"> </w:t>
      </w:r>
      <w:r w:rsidR="007956EC" w:rsidRPr="004C5271">
        <w:rPr>
          <w:rFonts w:asciiTheme="majorBidi" w:hAnsiTheme="majorBidi" w:cstheme="majorBidi"/>
          <w:lang w:val="en-AU"/>
        </w:rPr>
        <w:t xml:space="preserve">felt </w:t>
      </w:r>
      <w:r w:rsidR="00235349" w:rsidRPr="004C5271">
        <w:rPr>
          <w:rFonts w:asciiTheme="majorBidi" w:hAnsiTheme="majorBidi" w:cstheme="majorBidi"/>
          <w:lang w:val="en-AU"/>
        </w:rPr>
        <w:t xml:space="preserve">ought to be </w:t>
      </w:r>
      <w:r w:rsidR="003E59ED" w:rsidRPr="004C5271">
        <w:rPr>
          <w:rFonts w:asciiTheme="majorBidi" w:hAnsiTheme="majorBidi" w:cstheme="majorBidi"/>
          <w:lang w:val="en-AU"/>
        </w:rPr>
        <w:t>considered</w:t>
      </w:r>
      <w:r w:rsidR="00235349" w:rsidRPr="004C5271">
        <w:rPr>
          <w:rFonts w:asciiTheme="majorBidi" w:hAnsiTheme="majorBidi" w:cstheme="majorBidi"/>
          <w:lang w:val="en-AU"/>
        </w:rPr>
        <w:t xml:space="preserve"> when determining whether</w:t>
      </w:r>
      <w:r w:rsidR="00573179" w:rsidRPr="004C5271">
        <w:rPr>
          <w:rFonts w:asciiTheme="majorBidi" w:hAnsiTheme="majorBidi" w:cstheme="majorBidi"/>
          <w:lang w:val="en-AU"/>
        </w:rPr>
        <w:t xml:space="preserve"> notional estate legislation should be introduced in Tasmania</w:t>
      </w:r>
      <w:r w:rsidRPr="004C5271">
        <w:rPr>
          <w:rFonts w:asciiTheme="majorBidi" w:hAnsiTheme="majorBidi" w:cstheme="majorBidi"/>
          <w:lang w:val="en-AU"/>
        </w:rPr>
        <w:t xml:space="preserve">: </w:t>
      </w:r>
    </w:p>
    <w:p w14:paraId="45ECE00B" w14:textId="77777777" w:rsidR="00035A02" w:rsidRPr="004C5271" w:rsidRDefault="00035A02" w:rsidP="006E7523">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b/>
          <w:bCs/>
          <w:lang w:val="en-AU"/>
        </w:rPr>
      </w:pPr>
      <w:bookmarkStart w:id="211" w:name="Question6"/>
      <w:r w:rsidRPr="004C5271">
        <w:rPr>
          <w:rFonts w:asciiTheme="majorBidi" w:hAnsiTheme="majorBidi" w:cstheme="majorBidi"/>
          <w:b/>
          <w:bCs/>
          <w:lang w:val="en-AU"/>
        </w:rPr>
        <w:t>Question 6</w:t>
      </w:r>
    </w:p>
    <w:bookmarkEnd w:id="211"/>
    <w:p w14:paraId="485B13FE" w14:textId="60C1BCC3" w:rsidR="009F661F" w:rsidRPr="004C5271" w:rsidRDefault="00035A02" w:rsidP="006E7523">
      <w:pPr>
        <w:pStyle w:val="NumberlessNormalText"/>
        <w:pBdr>
          <w:top w:val="single" w:sz="4" w:space="1" w:color="auto"/>
          <w:left w:val="single" w:sz="4" w:space="1" w:color="auto"/>
          <w:bottom w:val="single" w:sz="4" w:space="1" w:color="auto"/>
          <w:right w:val="single" w:sz="4" w:space="1" w:color="auto"/>
        </w:pBdr>
        <w:ind w:left="57" w:right="57"/>
        <w:rPr>
          <w:rFonts w:asciiTheme="majorBidi" w:hAnsiTheme="majorBidi" w:cstheme="majorBidi"/>
          <w:lang w:val="en-AU"/>
        </w:rPr>
      </w:pPr>
      <w:r w:rsidRPr="004C5271">
        <w:rPr>
          <w:rFonts w:asciiTheme="majorBidi" w:hAnsiTheme="majorBidi" w:cstheme="majorBidi"/>
          <w:lang w:val="en-AU"/>
        </w:rPr>
        <w:t xml:space="preserve">Are there any other matters in relation to </w:t>
      </w:r>
      <w:r w:rsidR="00E51E39" w:rsidRPr="004C5271">
        <w:rPr>
          <w:rFonts w:asciiTheme="majorBidi" w:hAnsiTheme="majorBidi" w:cstheme="majorBidi"/>
          <w:lang w:val="en-AU"/>
        </w:rPr>
        <w:t>introducing</w:t>
      </w:r>
      <w:r w:rsidRPr="004C5271">
        <w:rPr>
          <w:rFonts w:asciiTheme="majorBidi" w:hAnsiTheme="majorBidi" w:cstheme="majorBidi"/>
          <w:lang w:val="en-AU"/>
        </w:rPr>
        <w:t xml:space="preserve"> notional estate legislation in Tasmania that you would like to comment on?</w:t>
      </w:r>
    </w:p>
    <w:p w14:paraId="623693F9" w14:textId="75F3A297" w:rsidR="00954C59" w:rsidRPr="004C5271" w:rsidRDefault="00DB20EC" w:rsidP="003C56CE">
      <w:pPr>
        <w:pStyle w:val="NormalNumberedTextTLRI"/>
        <w:rPr>
          <w:rFonts w:asciiTheme="majorBidi" w:hAnsiTheme="majorBidi" w:cstheme="majorBidi"/>
          <w:lang w:val="en-AU"/>
        </w:rPr>
      </w:pPr>
      <w:r w:rsidRPr="004C5271">
        <w:rPr>
          <w:rFonts w:asciiTheme="majorBidi" w:hAnsiTheme="majorBidi" w:cstheme="majorBidi"/>
          <w:lang w:val="en-AU"/>
        </w:rPr>
        <w:t xml:space="preserve">A range of comments were made which have been included in previous discussions articulating the arguments </w:t>
      </w:r>
      <w:r w:rsidR="002320E2" w:rsidRPr="004C5271">
        <w:rPr>
          <w:rFonts w:asciiTheme="majorBidi" w:hAnsiTheme="majorBidi" w:cstheme="majorBidi"/>
          <w:lang w:val="en-AU"/>
        </w:rPr>
        <w:t>advanced</w:t>
      </w:r>
      <w:r w:rsidRPr="004C5271">
        <w:rPr>
          <w:rFonts w:asciiTheme="majorBidi" w:hAnsiTheme="majorBidi" w:cstheme="majorBidi"/>
          <w:lang w:val="en-AU"/>
        </w:rPr>
        <w:t xml:space="preserve"> both for and against </w:t>
      </w:r>
      <w:r w:rsidR="007956EC" w:rsidRPr="004C5271">
        <w:rPr>
          <w:rFonts w:asciiTheme="majorBidi" w:hAnsiTheme="majorBidi" w:cstheme="majorBidi"/>
          <w:lang w:val="en-AU"/>
        </w:rPr>
        <w:t xml:space="preserve">the implementation of </w:t>
      </w:r>
      <w:r w:rsidRPr="004C5271">
        <w:rPr>
          <w:rFonts w:asciiTheme="majorBidi" w:hAnsiTheme="majorBidi" w:cstheme="majorBidi"/>
          <w:lang w:val="en-AU"/>
        </w:rPr>
        <w:t xml:space="preserve">notional estate legislation. </w:t>
      </w:r>
      <w:r w:rsidR="00954C59" w:rsidRPr="004C5271">
        <w:rPr>
          <w:rFonts w:asciiTheme="majorBidi" w:hAnsiTheme="majorBidi" w:cstheme="majorBidi"/>
          <w:lang w:val="en-AU"/>
        </w:rPr>
        <w:t xml:space="preserve">Two matters not </w:t>
      </w:r>
      <w:r w:rsidR="007956EC" w:rsidRPr="004C5271">
        <w:rPr>
          <w:rFonts w:asciiTheme="majorBidi" w:hAnsiTheme="majorBidi" w:cstheme="majorBidi"/>
          <w:lang w:val="en-AU"/>
        </w:rPr>
        <w:t xml:space="preserve">dealt with </w:t>
      </w:r>
      <w:r w:rsidR="00954C59" w:rsidRPr="004C5271">
        <w:rPr>
          <w:rFonts w:asciiTheme="majorBidi" w:hAnsiTheme="majorBidi" w:cstheme="majorBidi"/>
          <w:lang w:val="en-AU"/>
        </w:rPr>
        <w:t>previously are considered in th</w:t>
      </w:r>
      <w:r w:rsidR="002320E2" w:rsidRPr="004C5271">
        <w:rPr>
          <w:rFonts w:asciiTheme="majorBidi" w:hAnsiTheme="majorBidi" w:cstheme="majorBidi"/>
          <w:lang w:val="en-AU"/>
        </w:rPr>
        <w:t>e following</w:t>
      </w:r>
      <w:r w:rsidR="00954C59" w:rsidRPr="004C5271">
        <w:rPr>
          <w:rFonts w:asciiTheme="majorBidi" w:hAnsiTheme="majorBidi" w:cstheme="majorBidi"/>
          <w:lang w:val="en-AU"/>
        </w:rPr>
        <w:t xml:space="preserve"> paragraph</w:t>
      </w:r>
      <w:r w:rsidR="002320E2" w:rsidRPr="004C5271">
        <w:rPr>
          <w:rFonts w:asciiTheme="majorBidi" w:hAnsiTheme="majorBidi" w:cstheme="majorBidi"/>
          <w:lang w:val="en-AU"/>
        </w:rPr>
        <w:t>s</w:t>
      </w:r>
      <w:r w:rsidR="00954C59" w:rsidRPr="004C5271">
        <w:rPr>
          <w:rFonts w:asciiTheme="majorBidi" w:hAnsiTheme="majorBidi" w:cstheme="majorBidi"/>
          <w:lang w:val="en-AU"/>
        </w:rPr>
        <w:t>.</w:t>
      </w:r>
    </w:p>
    <w:p w14:paraId="75A28777" w14:textId="4C4C2CD9" w:rsidR="00954C59" w:rsidRPr="004C5271" w:rsidRDefault="00954C59" w:rsidP="00AE2B8C">
      <w:pPr>
        <w:pStyle w:val="Sub-HeadingTLRI"/>
      </w:pPr>
      <w:r w:rsidRPr="004C5271">
        <w:lastRenderedPageBreak/>
        <w:t>The need for public education</w:t>
      </w:r>
    </w:p>
    <w:p w14:paraId="172CC924" w14:textId="12B20430" w:rsidR="00D76E73" w:rsidRPr="004C5271" w:rsidRDefault="00B51769" w:rsidP="003C56CE">
      <w:pPr>
        <w:pStyle w:val="NormalNumberedTextTLRI"/>
        <w:rPr>
          <w:rFonts w:asciiTheme="majorBidi" w:hAnsiTheme="majorBidi" w:cstheme="majorBidi"/>
          <w:lang w:val="en-AU"/>
        </w:rPr>
      </w:pPr>
      <w:r w:rsidRPr="004C5271">
        <w:rPr>
          <w:rFonts w:asciiTheme="majorBidi" w:hAnsiTheme="majorBidi" w:cstheme="majorBidi"/>
          <w:lang w:val="en-AU"/>
        </w:rPr>
        <w:t>One matter comment</w:t>
      </w:r>
      <w:r w:rsidR="002320E2" w:rsidRPr="004C5271">
        <w:rPr>
          <w:rFonts w:asciiTheme="majorBidi" w:hAnsiTheme="majorBidi" w:cstheme="majorBidi"/>
          <w:lang w:val="en-AU"/>
        </w:rPr>
        <w:t>ed upon was that</w:t>
      </w:r>
      <w:r w:rsidRPr="004C5271">
        <w:rPr>
          <w:rFonts w:asciiTheme="majorBidi" w:hAnsiTheme="majorBidi" w:cstheme="majorBidi"/>
          <w:lang w:val="en-AU"/>
        </w:rPr>
        <w:t xml:space="preserve">, if notional estate legislation </w:t>
      </w:r>
      <w:r w:rsidR="00352A14" w:rsidRPr="004C5271">
        <w:rPr>
          <w:rFonts w:asciiTheme="majorBidi" w:hAnsiTheme="majorBidi" w:cstheme="majorBidi"/>
          <w:lang w:val="en-AU"/>
        </w:rPr>
        <w:t>were</w:t>
      </w:r>
      <w:r w:rsidRPr="004C5271">
        <w:rPr>
          <w:rFonts w:asciiTheme="majorBidi" w:hAnsiTheme="majorBidi" w:cstheme="majorBidi"/>
          <w:lang w:val="en-AU"/>
        </w:rPr>
        <w:t xml:space="preserve"> introduced, there would need to be a comprehensive public education campaign support</w:t>
      </w:r>
      <w:r w:rsidR="002320E2" w:rsidRPr="004C5271">
        <w:rPr>
          <w:rFonts w:asciiTheme="majorBidi" w:hAnsiTheme="majorBidi" w:cstheme="majorBidi"/>
          <w:lang w:val="en-AU"/>
        </w:rPr>
        <w:t>ing</w:t>
      </w:r>
      <w:r w:rsidRPr="004C5271">
        <w:rPr>
          <w:rFonts w:asciiTheme="majorBidi" w:hAnsiTheme="majorBidi" w:cstheme="majorBidi"/>
          <w:lang w:val="en-AU"/>
        </w:rPr>
        <w:t xml:space="preserve"> the reforms.</w:t>
      </w:r>
      <w:r w:rsidR="002320E2" w:rsidRPr="004C5271">
        <w:rPr>
          <w:rStyle w:val="FootnoteReference"/>
          <w:rFonts w:asciiTheme="majorBidi" w:hAnsiTheme="majorBidi" w:cstheme="majorBidi"/>
          <w:lang w:val="en-AU"/>
        </w:rPr>
        <w:footnoteReference w:id="479"/>
      </w:r>
      <w:r w:rsidR="002320E2" w:rsidRPr="004C5271">
        <w:rPr>
          <w:rFonts w:asciiTheme="majorBidi" w:hAnsiTheme="majorBidi" w:cstheme="majorBidi"/>
          <w:lang w:val="en-AU"/>
        </w:rPr>
        <w:t xml:space="preserve"> </w:t>
      </w:r>
      <w:r w:rsidRPr="004C5271">
        <w:rPr>
          <w:rFonts w:asciiTheme="majorBidi" w:hAnsiTheme="majorBidi" w:cstheme="majorBidi"/>
          <w:lang w:val="en-AU"/>
        </w:rPr>
        <w:t xml:space="preserve">It was </w:t>
      </w:r>
      <w:r w:rsidR="00D76E73" w:rsidRPr="004C5271">
        <w:rPr>
          <w:rFonts w:asciiTheme="majorBidi" w:hAnsiTheme="majorBidi" w:cstheme="majorBidi"/>
          <w:lang w:val="en-AU"/>
        </w:rPr>
        <w:t xml:space="preserve">noted that notional estate laws have the potential to </w:t>
      </w:r>
      <w:r w:rsidR="007956EC" w:rsidRPr="004C5271">
        <w:rPr>
          <w:rFonts w:asciiTheme="majorBidi" w:hAnsiTheme="majorBidi" w:cstheme="majorBidi"/>
          <w:lang w:val="en-AU"/>
        </w:rPr>
        <w:t xml:space="preserve">affect </w:t>
      </w:r>
      <w:r w:rsidR="00D76E73" w:rsidRPr="004C5271">
        <w:rPr>
          <w:rFonts w:asciiTheme="majorBidi" w:hAnsiTheme="majorBidi" w:cstheme="majorBidi"/>
          <w:lang w:val="en-AU"/>
        </w:rPr>
        <w:t xml:space="preserve">a large percentage of the population and that there would need to be broad understanding amongst members of the community about the potential effect of </w:t>
      </w:r>
      <w:r w:rsidRPr="004C5271">
        <w:rPr>
          <w:rFonts w:asciiTheme="majorBidi" w:hAnsiTheme="majorBidi" w:cstheme="majorBidi"/>
          <w:lang w:val="en-AU"/>
        </w:rPr>
        <w:t>reforms</w:t>
      </w:r>
      <w:r w:rsidR="00D76E73" w:rsidRPr="004C5271">
        <w:rPr>
          <w:rFonts w:asciiTheme="majorBidi" w:hAnsiTheme="majorBidi" w:cstheme="majorBidi"/>
          <w:lang w:val="en-AU"/>
        </w:rPr>
        <w:t xml:space="preserve"> upon their estate. </w:t>
      </w:r>
      <w:r w:rsidR="007956EC" w:rsidRPr="004C5271">
        <w:rPr>
          <w:rFonts w:asciiTheme="majorBidi" w:hAnsiTheme="majorBidi" w:cstheme="majorBidi"/>
          <w:lang w:val="en-AU"/>
        </w:rPr>
        <w:t xml:space="preserve">One </w:t>
      </w:r>
      <w:r w:rsidR="00D76E73" w:rsidRPr="004C5271">
        <w:rPr>
          <w:rFonts w:asciiTheme="majorBidi" w:hAnsiTheme="majorBidi" w:cstheme="majorBidi"/>
          <w:lang w:val="en-AU"/>
        </w:rPr>
        <w:t>law firm</w:t>
      </w:r>
      <w:r w:rsidR="00D76E73" w:rsidRPr="004C5271">
        <w:rPr>
          <w:rStyle w:val="FootnoteReference"/>
          <w:rFonts w:asciiTheme="majorBidi" w:hAnsiTheme="majorBidi" w:cstheme="majorBidi"/>
          <w:lang w:val="en-AU"/>
        </w:rPr>
        <w:footnoteReference w:id="480"/>
      </w:r>
      <w:r w:rsidR="00D76E73" w:rsidRPr="004C5271">
        <w:rPr>
          <w:rFonts w:asciiTheme="majorBidi" w:hAnsiTheme="majorBidi" w:cstheme="majorBidi"/>
          <w:lang w:val="en-AU"/>
        </w:rPr>
        <w:t xml:space="preserve"> commented that </w:t>
      </w:r>
      <w:r w:rsidR="0046381D" w:rsidRPr="004C5271">
        <w:rPr>
          <w:rFonts w:asciiTheme="majorBidi" w:hAnsiTheme="majorBidi" w:cstheme="majorBidi"/>
          <w:lang w:val="en-AU"/>
        </w:rPr>
        <w:t>its lawyers</w:t>
      </w:r>
      <w:r w:rsidR="00D76E73" w:rsidRPr="004C5271">
        <w:rPr>
          <w:rFonts w:asciiTheme="majorBidi" w:hAnsiTheme="majorBidi" w:cstheme="majorBidi"/>
          <w:lang w:val="en-AU"/>
        </w:rPr>
        <w:t xml:space="preserve"> observe</w:t>
      </w:r>
      <w:r w:rsidRPr="004C5271">
        <w:rPr>
          <w:rFonts w:asciiTheme="majorBidi" w:hAnsiTheme="majorBidi" w:cstheme="majorBidi"/>
          <w:lang w:val="en-AU"/>
        </w:rPr>
        <w:t>d</w:t>
      </w:r>
      <w:r w:rsidR="00D76E73" w:rsidRPr="004C5271">
        <w:rPr>
          <w:rFonts w:asciiTheme="majorBidi" w:hAnsiTheme="majorBidi" w:cstheme="majorBidi"/>
          <w:lang w:val="en-AU"/>
        </w:rPr>
        <w:t xml:space="preserve"> that</w:t>
      </w:r>
      <w:r w:rsidR="0046381D" w:rsidRPr="004C5271">
        <w:rPr>
          <w:rFonts w:asciiTheme="majorBidi" w:hAnsiTheme="majorBidi" w:cstheme="majorBidi"/>
          <w:lang w:val="en-AU"/>
        </w:rPr>
        <w:t xml:space="preserve"> </w:t>
      </w:r>
      <w:r w:rsidR="00D76E73" w:rsidRPr="004C5271">
        <w:rPr>
          <w:rFonts w:asciiTheme="majorBidi" w:hAnsiTheme="majorBidi" w:cstheme="majorBidi"/>
          <w:lang w:val="en-AU"/>
        </w:rPr>
        <w:t xml:space="preserve">members of the public </w:t>
      </w:r>
      <w:r w:rsidR="0046381D" w:rsidRPr="004C5271">
        <w:rPr>
          <w:rFonts w:asciiTheme="majorBidi" w:hAnsiTheme="majorBidi" w:cstheme="majorBidi"/>
          <w:lang w:val="en-AU"/>
        </w:rPr>
        <w:t xml:space="preserve">generally </w:t>
      </w:r>
      <w:r w:rsidR="00D76E73" w:rsidRPr="004C5271">
        <w:rPr>
          <w:rFonts w:asciiTheme="majorBidi" w:hAnsiTheme="majorBidi" w:cstheme="majorBidi"/>
          <w:lang w:val="en-AU"/>
        </w:rPr>
        <w:t>ha</w:t>
      </w:r>
      <w:r w:rsidRPr="004C5271">
        <w:rPr>
          <w:rFonts w:asciiTheme="majorBidi" w:hAnsiTheme="majorBidi" w:cstheme="majorBidi"/>
          <w:lang w:val="en-AU"/>
        </w:rPr>
        <w:t>ve</w:t>
      </w:r>
      <w:r w:rsidR="00D76E73" w:rsidRPr="004C5271">
        <w:rPr>
          <w:rFonts w:asciiTheme="majorBidi" w:hAnsiTheme="majorBidi" w:cstheme="majorBidi"/>
          <w:lang w:val="en-AU"/>
        </w:rPr>
        <w:t xml:space="preserve"> limited knowledge of</w:t>
      </w:r>
      <w:r w:rsidRPr="004C5271">
        <w:rPr>
          <w:rFonts w:asciiTheme="majorBidi" w:hAnsiTheme="majorBidi" w:cstheme="majorBidi"/>
          <w:lang w:val="en-AU"/>
        </w:rPr>
        <w:t xml:space="preserve"> estate and succession</w:t>
      </w:r>
      <w:r w:rsidR="00D76E73" w:rsidRPr="004C5271">
        <w:rPr>
          <w:rFonts w:asciiTheme="majorBidi" w:hAnsiTheme="majorBidi" w:cstheme="majorBidi"/>
          <w:lang w:val="en-AU"/>
        </w:rPr>
        <w:t xml:space="preserve"> laws. </w:t>
      </w:r>
      <w:r w:rsidRPr="004C5271">
        <w:rPr>
          <w:rFonts w:asciiTheme="majorBidi" w:hAnsiTheme="majorBidi" w:cstheme="majorBidi"/>
          <w:lang w:val="en-AU"/>
        </w:rPr>
        <w:t xml:space="preserve">It </w:t>
      </w:r>
      <w:r w:rsidR="002320E2" w:rsidRPr="004C5271">
        <w:rPr>
          <w:rFonts w:asciiTheme="majorBidi" w:hAnsiTheme="majorBidi" w:cstheme="majorBidi"/>
          <w:lang w:val="en-AU"/>
        </w:rPr>
        <w:t>stated</w:t>
      </w:r>
      <w:r w:rsidRPr="004C5271">
        <w:rPr>
          <w:rFonts w:asciiTheme="majorBidi" w:hAnsiTheme="majorBidi" w:cstheme="majorBidi"/>
          <w:lang w:val="en-AU"/>
        </w:rPr>
        <w:t xml:space="preserve"> that, g</w:t>
      </w:r>
      <w:r w:rsidR="00D76E73" w:rsidRPr="004C5271">
        <w:rPr>
          <w:rFonts w:asciiTheme="majorBidi" w:hAnsiTheme="majorBidi" w:cstheme="majorBidi"/>
          <w:lang w:val="en-AU"/>
        </w:rPr>
        <w:t>iven that notional estate legislation has been expressed as a relatively complex concept,</w:t>
      </w:r>
      <w:r w:rsidR="00D76E73" w:rsidRPr="004C5271">
        <w:rPr>
          <w:rStyle w:val="FootnoteReference"/>
          <w:rFonts w:asciiTheme="majorBidi" w:hAnsiTheme="majorBidi" w:cstheme="majorBidi"/>
          <w:lang w:val="en-AU"/>
        </w:rPr>
        <w:footnoteReference w:id="481"/>
      </w:r>
      <w:r w:rsidR="00D76E73" w:rsidRPr="004C5271">
        <w:rPr>
          <w:rFonts w:asciiTheme="majorBidi" w:hAnsiTheme="majorBidi" w:cstheme="majorBidi"/>
          <w:lang w:val="en-AU"/>
        </w:rPr>
        <w:t xml:space="preserve"> it would be difficult to educate the public </w:t>
      </w:r>
      <w:r w:rsidR="007956EC" w:rsidRPr="004C5271">
        <w:rPr>
          <w:rFonts w:asciiTheme="majorBidi" w:hAnsiTheme="majorBidi" w:cstheme="majorBidi"/>
          <w:lang w:val="en-AU"/>
        </w:rPr>
        <w:t xml:space="preserve">properly </w:t>
      </w:r>
      <w:r w:rsidR="00D76E73" w:rsidRPr="004C5271">
        <w:rPr>
          <w:rFonts w:asciiTheme="majorBidi" w:hAnsiTheme="majorBidi" w:cstheme="majorBidi"/>
          <w:lang w:val="en-AU"/>
        </w:rPr>
        <w:t xml:space="preserve">about the nature and effect of notional estate </w:t>
      </w:r>
      <w:r w:rsidRPr="004C5271">
        <w:rPr>
          <w:rFonts w:asciiTheme="majorBidi" w:hAnsiTheme="majorBidi" w:cstheme="majorBidi"/>
          <w:lang w:val="en-AU"/>
        </w:rPr>
        <w:t>laws</w:t>
      </w:r>
      <w:r w:rsidR="00D76E73" w:rsidRPr="004C5271">
        <w:rPr>
          <w:rFonts w:asciiTheme="majorBidi" w:hAnsiTheme="majorBidi" w:cstheme="majorBidi"/>
          <w:lang w:val="en-AU"/>
        </w:rPr>
        <w:t>.</w:t>
      </w:r>
      <w:r w:rsidRPr="004C5271">
        <w:rPr>
          <w:rFonts w:asciiTheme="majorBidi" w:hAnsiTheme="majorBidi" w:cstheme="majorBidi"/>
          <w:lang w:val="en-AU"/>
        </w:rPr>
        <w:t xml:space="preserve"> Difficulties </w:t>
      </w:r>
      <w:r w:rsidR="002320E2" w:rsidRPr="004C5271">
        <w:rPr>
          <w:rFonts w:asciiTheme="majorBidi" w:hAnsiTheme="majorBidi" w:cstheme="majorBidi"/>
          <w:lang w:val="en-AU"/>
        </w:rPr>
        <w:t>may</w:t>
      </w:r>
      <w:r w:rsidRPr="004C5271">
        <w:rPr>
          <w:rFonts w:asciiTheme="majorBidi" w:hAnsiTheme="majorBidi" w:cstheme="majorBidi"/>
          <w:lang w:val="en-AU"/>
        </w:rPr>
        <w:t xml:space="preserve"> be exacerbated by the fact that each jurisdiction ha</w:t>
      </w:r>
      <w:r w:rsidR="002320E2" w:rsidRPr="004C5271">
        <w:rPr>
          <w:rFonts w:asciiTheme="majorBidi" w:hAnsiTheme="majorBidi" w:cstheme="majorBidi"/>
          <w:lang w:val="en-AU"/>
        </w:rPr>
        <w:t>s</w:t>
      </w:r>
      <w:r w:rsidRPr="004C5271">
        <w:rPr>
          <w:rFonts w:asciiTheme="majorBidi" w:hAnsiTheme="majorBidi" w:cstheme="majorBidi"/>
          <w:lang w:val="en-AU"/>
        </w:rPr>
        <w:t xml:space="preserve"> different laws, </w:t>
      </w:r>
      <w:r w:rsidR="00CC2B65" w:rsidRPr="004C5271">
        <w:rPr>
          <w:rFonts w:asciiTheme="majorBidi" w:hAnsiTheme="majorBidi" w:cstheme="majorBidi"/>
          <w:lang w:val="en-AU"/>
        </w:rPr>
        <w:t>leading to community confusion.</w:t>
      </w:r>
      <w:r w:rsidR="00CC2B65" w:rsidRPr="004C5271">
        <w:rPr>
          <w:rStyle w:val="FootnoteReference"/>
          <w:rFonts w:asciiTheme="majorBidi" w:hAnsiTheme="majorBidi" w:cstheme="majorBidi"/>
        </w:rPr>
        <w:footnoteReference w:id="482"/>
      </w:r>
    </w:p>
    <w:p w14:paraId="2D434D92" w14:textId="48F79D74" w:rsidR="00954C59" w:rsidRPr="004C5271" w:rsidRDefault="00954C59" w:rsidP="00AE2B8C">
      <w:pPr>
        <w:pStyle w:val="Sub-HeadingTLRI"/>
      </w:pPr>
      <w:r w:rsidRPr="004C5271">
        <w:t xml:space="preserve">New South Wales </w:t>
      </w:r>
      <w:r w:rsidR="00E35647" w:rsidRPr="004C5271">
        <w:t>‘</w:t>
      </w:r>
      <w:r w:rsidRPr="004C5271">
        <w:t>contracting out</w:t>
      </w:r>
      <w:r w:rsidR="00E35647" w:rsidRPr="004C5271">
        <w:t>’</w:t>
      </w:r>
      <w:r w:rsidRPr="004C5271">
        <w:t xml:space="preserve"> provisions</w:t>
      </w:r>
    </w:p>
    <w:p w14:paraId="1FF7872A" w14:textId="1A574364" w:rsidR="00DD51F5" w:rsidRPr="004C5271" w:rsidRDefault="00E35647" w:rsidP="00D7331F">
      <w:pPr>
        <w:pStyle w:val="NormalNumberedTextTLRI"/>
        <w:rPr>
          <w:rFonts w:asciiTheme="majorBidi" w:hAnsiTheme="majorBidi" w:cstheme="majorBidi"/>
          <w:lang w:val="en-AU"/>
        </w:rPr>
      </w:pPr>
      <w:r w:rsidRPr="004C5271">
        <w:rPr>
          <w:rFonts w:asciiTheme="majorBidi" w:hAnsiTheme="majorBidi" w:cstheme="majorBidi"/>
          <w:lang w:val="en-AU"/>
        </w:rPr>
        <w:t>Sam McCullough submitted that</w:t>
      </w:r>
      <w:r w:rsidR="003C56CE" w:rsidRPr="004C5271">
        <w:rPr>
          <w:rFonts w:asciiTheme="majorBidi" w:hAnsiTheme="majorBidi" w:cstheme="majorBidi"/>
          <w:lang w:val="en-AU"/>
        </w:rPr>
        <w:t xml:space="preserve">, in any event, a useful reform to the </w:t>
      </w:r>
      <w:r w:rsidR="003C56CE" w:rsidRPr="004C5271">
        <w:rPr>
          <w:rFonts w:asciiTheme="majorBidi" w:hAnsiTheme="majorBidi" w:cstheme="majorBidi"/>
          <w:i/>
          <w:iCs/>
          <w:lang w:val="en-AU"/>
        </w:rPr>
        <w:t>TFM Act</w:t>
      </w:r>
      <w:r w:rsidR="003C56CE" w:rsidRPr="004C5271">
        <w:rPr>
          <w:rFonts w:asciiTheme="majorBidi" w:hAnsiTheme="majorBidi" w:cstheme="majorBidi"/>
          <w:lang w:val="en-AU"/>
        </w:rPr>
        <w:t xml:space="preserve"> would be </w:t>
      </w:r>
      <w:r w:rsidR="007956EC" w:rsidRPr="004C5271">
        <w:rPr>
          <w:rFonts w:asciiTheme="majorBidi" w:hAnsiTheme="majorBidi" w:cstheme="majorBidi"/>
          <w:lang w:val="en-AU"/>
        </w:rPr>
        <w:t xml:space="preserve">the </w:t>
      </w:r>
      <w:r w:rsidR="003C56CE" w:rsidRPr="004C5271">
        <w:rPr>
          <w:rFonts w:asciiTheme="majorBidi" w:hAnsiTheme="majorBidi" w:cstheme="majorBidi"/>
          <w:lang w:val="en-AU"/>
        </w:rPr>
        <w:t xml:space="preserve">inclusion of </w:t>
      </w:r>
      <w:r w:rsidR="00F86003" w:rsidRPr="004C5271">
        <w:rPr>
          <w:rFonts w:asciiTheme="majorBidi" w:hAnsiTheme="majorBidi" w:cstheme="majorBidi"/>
          <w:lang w:val="en-AU"/>
        </w:rPr>
        <w:t xml:space="preserve">a </w:t>
      </w:r>
      <w:r w:rsidR="003C56CE" w:rsidRPr="004C5271">
        <w:rPr>
          <w:rFonts w:asciiTheme="majorBidi" w:hAnsiTheme="majorBidi" w:cstheme="majorBidi"/>
          <w:lang w:val="en-AU"/>
        </w:rPr>
        <w:t xml:space="preserve">similar </w:t>
      </w:r>
      <w:r w:rsidR="00F86003" w:rsidRPr="004C5271">
        <w:rPr>
          <w:rFonts w:asciiTheme="majorBidi" w:hAnsiTheme="majorBidi" w:cstheme="majorBidi"/>
          <w:lang w:val="en-AU"/>
        </w:rPr>
        <w:t>section</w:t>
      </w:r>
      <w:r w:rsidR="003C56CE" w:rsidRPr="004C5271">
        <w:rPr>
          <w:rFonts w:asciiTheme="majorBidi" w:hAnsiTheme="majorBidi" w:cstheme="majorBidi"/>
          <w:lang w:val="en-AU"/>
        </w:rPr>
        <w:t xml:space="preserve"> to </w:t>
      </w:r>
      <w:r w:rsidR="00061729" w:rsidRPr="004C5271">
        <w:rPr>
          <w:rFonts w:asciiTheme="majorBidi" w:hAnsiTheme="majorBidi" w:cstheme="majorBidi"/>
          <w:lang w:val="en-AU"/>
        </w:rPr>
        <w:t xml:space="preserve">the </w:t>
      </w:r>
      <w:r w:rsidR="003C56CE" w:rsidRPr="004C5271">
        <w:rPr>
          <w:rFonts w:asciiTheme="majorBidi" w:hAnsiTheme="majorBidi" w:cstheme="majorBidi"/>
          <w:lang w:val="en-AU"/>
        </w:rPr>
        <w:t>N</w:t>
      </w:r>
      <w:r w:rsidR="00061729" w:rsidRPr="004C5271">
        <w:rPr>
          <w:rFonts w:asciiTheme="majorBidi" w:hAnsiTheme="majorBidi" w:cstheme="majorBidi"/>
          <w:lang w:val="en-AU"/>
        </w:rPr>
        <w:t xml:space="preserve">SW </w:t>
      </w:r>
      <w:r w:rsidR="00061729" w:rsidRPr="004C5271">
        <w:rPr>
          <w:rFonts w:asciiTheme="majorBidi" w:hAnsiTheme="majorBidi" w:cstheme="majorBidi"/>
          <w:i/>
          <w:iCs/>
          <w:lang w:val="en-AU"/>
        </w:rPr>
        <w:t>Succession Act</w:t>
      </w:r>
      <w:r w:rsidR="003C56CE" w:rsidRPr="004C5271">
        <w:rPr>
          <w:rFonts w:asciiTheme="majorBidi" w:hAnsiTheme="majorBidi" w:cstheme="majorBidi"/>
          <w:lang w:val="en-AU"/>
        </w:rPr>
        <w:t xml:space="preserve"> that enable</w:t>
      </w:r>
      <w:r w:rsidR="007E6118" w:rsidRPr="004C5271">
        <w:rPr>
          <w:rFonts w:asciiTheme="majorBidi" w:hAnsiTheme="majorBidi" w:cstheme="majorBidi"/>
          <w:lang w:val="en-AU"/>
        </w:rPr>
        <w:t>s</w:t>
      </w:r>
      <w:r w:rsidR="003C56CE" w:rsidRPr="004C5271">
        <w:rPr>
          <w:rFonts w:asciiTheme="majorBidi" w:hAnsiTheme="majorBidi" w:cstheme="majorBidi"/>
          <w:lang w:val="en-AU"/>
        </w:rPr>
        <w:t xml:space="preserve"> </w:t>
      </w:r>
      <w:r w:rsidR="002320E2" w:rsidRPr="004C5271">
        <w:rPr>
          <w:rFonts w:asciiTheme="majorBidi" w:hAnsiTheme="majorBidi" w:cstheme="majorBidi"/>
          <w:lang w:val="en-AU"/>
        </w:rPr>
        <w:t>family members</w:t>
      </w:r>
      <w:r w:rsidR="003C56CE" w:rsidRPr="004C5271">
        <w:rPr>
          <w:rFonts w:asciiTheme="majorBidi" w:hAnsiTheme="majorBidi" w:cstheme="majorBidi"/>
          <w:lang w:val="en-AU"/>
        </w:rPr>
        <w:t xml:space="preserve"> to agree </w:t>
      </w:r>
      <w:r w:rsidR="00DD51F5" w:rsidRPr="004C5271">
        <w:rPr>
          <w:rFonts w:asciiTheme="majorBidi" w:hAnsiTheme="majorBidi" w:cstheme="majorBidi"/>
          <w:lang w:val="en-AU"/>
        </w:rPr>
        <w:t xml:space="preserve">upon the division of </w:t>
      </w:r>
      <w:r w:rsidR="007E6118" w:rsidRPr="004C5271">
        <w:rPr>
          <w:rFonts w:asciiTheme="majorBidi" w:hAnsiTheme="majorBidi" w:cstheme="majorBidi"/>
          <w:lang w:val="en-AU"/>
        </w:rPr>
        <w:t>assets</w:t>
      </w:r>
      <w:r w:rsidR="00DD51F5" w:rsidRPr="004C5271">
        <w:rPr>
          <w:rFonts w:asciiTheme="majorBidi" w:hAnsiTheme="majorBidi" w:cstheme="majorBidi"/>
          <w:lang w:val="en-AU"/>
        </w:rPr>
        <w:t xml:space="preserve"> in advance </w:t>
      </w:r>
      <w:r w:rsidR="002320E2" w:rsidRPr="004C5271">
        <w:rPr>
          <w:rFonts w:asciiTheme="majorBidi" w:hAnsiTheme="majorBidi" w:cstheme="majorBidi"/>
          <w:lang w:val="en-AU"/>
        </w:rPr>
        <w:t xml:space="preserve">of death </w:t>
      </w:r>
      <w:r w:rsidR="00DD51F5" w:rsidRPr="004C5271">
        <w:rPr>
          <w:rFonts w:asciiTheme="majorBidi" w:hAnsiTheme="majorBidi" w:cstheme="majorBidi"/>
          <w:lang w:val="en-AU"/>
        </w:rPr>
        <w:t xml:space="preserve">and </w:t>
      </w:r>
      <w:r w:rsidR="0046381D" w:rsidRPr="004C5271">
        <w:rPr>
          <w:rFonts w:asciiTheme="majorBidi" w:hAnsiTheme="majorBidi" w:cstheme="majorBidi"/>
          <w:lang w:val="en-AU"/>
        </w:rPr>
        <w:t>forgo</w:t>
      </w:r>
      <w:r w:rsidR="00DD51F5" w:rsidRPr="004C5271">
        <w:rPr>
          <w:rFonts w:asciiTheme="majorBidi" w:hAnsiTheme="majorBidi" w:cstheme="majorBidi"/>
          <w:lang w:val="en-AU"/>
        </w:rPr>
        <w:t xml:space="preserve"> rights to apply for further provision</w:t>
      </w:r>
      <w:r w:rsidR="007E6118" w:rsidRPr="004C5271">
        <w:rPr>
          <w:rFonts w:asciiTheme="majorBidi" w:hAnsiTheme="majorBidi" w:cstheme="majorBidi"/>
          <w:lang w:val="en-AU"/>
        </w:rPr>
        <w:t xml:space="preserve"> from an estate</w:t>
      </w:r>
      <w:r w:rsidR="00DD51F5" w:rsidRPr="004C5271">
        <w:rPr>
          <w:rFonts w:asciiTheme="majorBidi" w:hAnsiTheme="majorBidi" w:cstheme="majorBidi"/>
          <w:lang w:val="en-AU"/>
        </w:rPr>
        <w:t>.</w:t>
      </w:r>
      <w:r w:rsidR="002320E2" w:rsidRPr="004C5271">
        <w:rPr>
          <w:rStyle w:val="FootnoteReference"/>
          <w:rFonts w:asciiTheme="majorBidi" w:hAnsiTheme="majorBidi" w:cstheme="majorBidi"/>
          <w:lang w:val="en-AU"/>
        </w:rPr>
        <w:footnoteReference w:id="483"/>
      </w:r>
      <w:r w:rsidR="002320E2" w:rsidRPr="004C5271">
        <w:rPr>
          <w:rFonts w:asciiTheme="majorBidi" w:hAnsiTheme="majorBidi" w:cstheme="majorBidi"/>
          <w:lang w:val="en-AU"/>
        </w:rPr>
        <w:t xml:space="preserve"> </w:t>
      </w:r>
      <w:r w:rsidR="00F86003" w:rsidRPr="004C5271">
        <w:rPr>
          <w:rFonts w:asciiTheme="majorBidi" w:hAnsiTheme="majorBidi" w:cstheme="majorBidi"/>
          <w:lang w:val="en-AU"/>
        </w:rPr>
        <w:t xml:space="preserve">In summary, these provisions enable </w:t>
      </w:r>
      <w:r w:rsidR="002320E2" w:rsidRPr="004C5271">
        <w:rPr>
          <w:rFonts w:asciiTheme="majorBidi" w:hAnsiTheme="majorBidi" w:cstheme="majorBidi"/>
          <w:lang w:val="en-AU"/>
        </w:rPr>
        <w:t xml:space="preserve">parties to apply to the court for its approval of family arrangements about the transfer or division of assets and their agreement not to bring a family provision claim. </w:t>
      </w:r>
      <w:r w:rsidR="0046381D" w:rsidRPr="004C5271">
        <w:rPr>
          <w:rFonts w:asciiTheme="majorBidi" w:hAnsiTheme="majorBidi" w:cstheme="majorBidi"/>
          <w:lang w:val="en-AU"/>
        </w:rPr>
        <w:t>Obtaining the court’s sanction of an agreement</w:t>
      </w:r>
      <w:r w:rsidR="002320E2" w:rsidRPr="004C5271">
        <w:rPr>
          <w:rFonts w:asciiTheme="majorBidi" w:hAnsiTheme="majorBidi" w:cstheme="majorBidi"/>
          <w:lang w:val="en-AU"/>
        </w:rPr>
        <w:t xml:space="preserve"> </w:t>
      </w:r>
      <w:r w:rsidR="00F86003" w:rsidRPr="004C5271">
        <w:rPr>
          <w:rFonts w:asciiTheme="majorBidi" w:hAnsiTheme="majorBidi" w:cstheme="majorBidi"/>
          <w:lang w:val="en-AU"/>
        </w:rPr>
        <w:t>enable</w:t>
      </w:r>
      <w:r w:rsidR="002320E2" w:rsidRPr="004C5271">
        <w:rPr>
          <w:rFonts w:asciiTheme="majorBidi" w:hAnsiTheme="majorBidi" w:cstheme="majorBidi"/>
          <w:lang w:val="en-AU"/>
        </w:rPr>
        <w:t>s</w:t>
      </w:r>
      <w:r w:rsidR="00F86003" w:rsidRPr="004C5271">
        <w:rPr>
          <w:rFonts w:asciiTheme="majorBidi" w:hAnsiTheme="majorBidi" w:cstheme="majorBidi"/>
          <w:lang w:val="en-AU"/>
        </w:rPr>
        <w:t xml:space="preserve"> individuals to </w:t>
      </w:r>
      <w:r w:rsidR="0046381D" w:rsidRPr="004C5271">
        <w:rPr>
          <w:rFonts w:asciiTheme="majorBidi" w:hAnsiTheme="majorBidi" w:cstheme="majorBidi"/>
          <w:lang w:val="en-AU"/>
        </w:rPr>
        <w:t xml:space="preserve">then </w:t>
      </w:r>
      <w:r w:rsidR="00F86003" w:rsidRPr="004C5271">
        <w:rPr>
          <w:rFonts w:asciiTheme="majorBidi" w:hAnsiTheme="majorBidi" w:cstheme="majorBidi"/>
          <w:lang w:val="en-AU"/>
        </w:rPr>
        <w:t xml:space="preserve">transfer assets without fear or uncertainty of </w:t>
      </w:r>
      <w:r w:rsidR="0046381D" w:rsidRPr="004C5271">
        <w:rPr>
          <w:rFonts w:asciiTheme="majorBidi" w:hAnsiTheme="majorBidi" w:cstheme="majorBidi"/>
          <w:lang w:val="en-AU"/>
        </w:rPr>
        <w:t xml:space="preserve">a </w:t>
      </w:r>
      <w:r w:rsidR="00F86003" w:rsidRPr="004C5271">
        <w:rPr>
          <w:rFonts w:asciiTheme="majorBidi" w:hAnsiTheme="majorBidi" w:cstheme="majorBidi"/>
          <w:lang w:val="en-AU"/>
        </w:rPr>
        <w:t xml:space="preserve">potential future challenge. </w:t>
      </w:r>
      <w:r w:rsidR="002320E2" w:rsidRPr="004C5271">
        <w:rPr>
          <w:rFonts w:asciiTheme="majorBidi" w:hAnsiTheme="majorBidi" w:cstheme="majorBidi"/>
          <w:lang w:val="en-AU"/>
        </w:rPr>
        <w:t>Mr McCullough submitted that this</w:t>
      </w:r>
      <w:r w:rsidR="00F86003" w:rsidRPr="004C5271">
        <w:rPr>
          <w:rFonts w:asciiTheme="majorBidi" w:hAnsiTheme="majorBidi" w:cstheme="majorBidi"/>
          <w:lang w:val="en-AU"/>
        </w:rPr>
        <w:t xml:space="preserve"> </w:t>
      </w:r>
      <w:r w:rsidR="0046381D" w:rsidRPr="004C5271">
        <w:rPr>
          <w:rFonts w:asciiTheme="majorBidi" w:hAnsiTheme="majorBidi" w:cstheme="majorBidi"/>
          <w:lang w:val="en-AU"/>
        </w:rPr>
        <w:t>w</w:t>
      </w:r>
      <w:r w:rsidR="00F86003" w:rsidRPr="004C5271">
        <w:rPr>
          <w:rFonts w:asciiTheme="majorBidi" w:hAnsiTheme="majorBidi" w:cstheme="majorBidi"/>
          <w:lang w:val="en-AU"/>
        </w:rPr>
        <w:t xml:space="preserve">ould be </w:t>
      </w:r>
      <w:r w:rsidR="0046381D" w:rsidRPr="004C5271">
        <w:rPr>
          <w:rFonts w:asciiTheme="majorBidi" w:hAnsiTheme="majorBidi" w:cstheme="majorBidi"/>
          <w:lang w:val="en-AU"/>
        </w:rPr>
        <w:t>useful</w:t>
      </w:r>
      <w:r w:rsidR="002320E2" w:rsidRPr="004C5271">
        <w:rPr>
          <w:rFonts w:asciiTheme="majorBidi" w:hAnsiTheme="majorBidi" w:cstheme="majorBidi"/>
          <w:lang w:val="en-AU"/>
        </w:rPr>
        <w:t xml:space="preserve"> </w:t>
      </w:r>
      <w:r w:rsidR="00F86003" w:rsidRPr="004C5271">
        <w:rPr>
          <w:rFonts w:asciiTheme="majorBidi" w:hAnsiTheme="majorBidi" w:cstheme="majorBidi"/>
          <w:lang w:val="en-AU"/>
        </w:rPr>
        <w:t>where a person has legitimate reasons for wanting to transfer assets in advance of death</w:t>
      </w:r>
      <w:r w:rsidR="002320E2" w:rsidRPr="004C5271">
        <w:rPr>
          <w:rFonts w:asciiTheme="majorBidi" w:hAnsiTheme="majorBidi" w:cstheme="majorBidi"/>
          <w:lang w:val="en-AU"/>
        </w:rPr>
        <w:t>,</w:t>
      </w:r>
      <w:r w:rsidR="00F86003" w:rsidRPr="004C5271">
        <w:rPr>
          <w:rFonts w:asciiTheme="majorBidi" w:hAnsiTheme="majorBidi" w:cstheme="majorBidi"/>
          <w:lang w:val="en-AU"/>
        </w:rPr>
        <w:t xml:space="preserve"> </w:t>
      </w:r>
      <w:r w:rsidR="007E6118" w:rsidRPr="004C5271">
        <w:rPr>
          <w:rFonts w:asciiTheme="majorBidi" w:hAnsiTheme="majorBidi" w:cstheme="majorBidi"/>
          <w:lang w:val="en-AU"/>
        </w:rPr>
        <w:t>such as</w:t>
      </w:r>
      <w:r w:rsidR="00F86003" w:rsidRPr="004C5271">
        <w:rPr>
          <w:rFonts w:asciiTheme="majorBidi" w:hAnsiTheme="majorBidi" w:cstheme="majorBidi"/>
          <w:lang w:val="en-AU"/>
        </w:rPr>
        <w:t xml:space="preserve"> </w:t>
      </w:r>
      <w:r w:rsidR="007956EC" w:rsidRPr="004C5271">
        <w:rPr>
          <w:rFonts w:asciiTheme="majorBidi" w:hAnsiTheme="majorBidi" w:cstheme="majorBidi"/>
          <w:lang w:val="en-AU"/>
        </w:rPr>
        <w:t xml:space="preserve">to </w:t>
      </w:r>
      <w:r w:rsidR="00F86003" w:rsidRPr="004C5271">
        <w:rPr>
          <w:rFonts w:asciiTheme="majorBidi" w:hAnsiTheme="majorBidi" w:cstheme="majorBidi"/>
          <w:lang w:val="en-AU"/>
        </w:rPr>
        <w:t xml:space="preserve">provide for the succession of a </w:t>
      </w:r>
      <w:r w:rsidR="00F86003" w:rsidRPr="004C5271">
        <w:rPr>
          <w:rFonts w:asciiTheme="majorBidi" w:hAnsiTheme="majorBidi" w:cstheme="majorBidi"/>
          <w:lang w:val="en-AU"/>
        </w:rPr>
        <w:lastRenderedPageBreak/>
        <w:t xml:space="preserve">family farm. </w:t>
      </w:r>
      <w:r w:rsidR="002320E2" w:rsidRPr="004C5271">
        <w:rPr>
          <w:rFonts w:asciiTheme="majorBidi" w:hAnsiTheme="majorBidi" w:cstheme="majorBidi"/>
          <w:lang w:val="en-AU"/>
        </w:rPr>
        <w:t>He</w:t>
      </w:r>
      <w:r w:rsidR="00DD51F5" w:rsidRPr="004C5271">
        <w:rPr>
          <w:rFonts w:asciiTheme="majorBidi" w:hAnsiTheme="majorBidi" w:cstheme="majorBidi"/>
          <w:lang w:val="en-AU"/>
        </w:rPr>
        <w:t xml:space="preserve"> endorsed enactment of a similar provision in Tasmania </w:t>
      </w:r>
      <w:r w:rsidR="007E6118" w:rsidRPr="004C5271">
        <w:rPr>
          <w:rFonts w:asciiTheme="majorBidi" w:hAnsiTheme="majorBidi" w:cstheme="majorBidi"/>
          <w:lang w:val="en-AU"/>
        </w:rPr>
        <w:t>to</w:t>
      </w:r>
      <w:r w:rsidR="00DD51F5" w:rsidRPr="004C5271">
        <w:rPr>
          <w:rFonts w:asciiTheme="majorBidi" w:hAnsiTheme="majorBidi" w:cstheme="majorBidi"/>
          <w:lang w:val="en-AU"/>
        </w:rPr>
        <w:t xml:space="preserve"> </w:t>
      </w:r>
      <w:r w:rsidR="007E6118" w:rsidRPr="004C5271">
        <w:rPr>
          <w:rFonts w:asciiTheme="majorBidi" w:hAnsiTheme="majorBidi" w:cstheme="majorBidi"/>
          <w:lang w:val="en-AU"/>
        </w:rPr>
        <w:t>minimise</w:t>
      </w:r>
      <w:r w:rsidR="00DD51F5" w:rsidRPr="004C5271">
        <w:rPr>
          <w:rFonts w:asciiTheme="majorBidi" w:hAnsiTheme="majorBidi" w:cstheme="majorBidi"/>
          <w:lang w:val="en-AU"/>
        </w:rPr>
        <w:t xml:space="preserve"> disputes </w:t>
      </w:r>
      <w:r w:rsidR="00F86003" w:rsidRPr="004C5271">
        <w:rPr>
          <w:rFonts w:asciiTheme="majorBidi" w:hAnsiTheme="majorBidi" w:cstheme="majorBidi"/>
          <w:lang w:val="en-AU"/>
        </w:rPr>
        <w:t xml:space="preserve">and offset the effect of notional estate legislation by </w:t>
      </w:r>
      <w:r w:rsidR="00DD51F5" w:rsidRPr="004C5271">
        <w:rPr>
          <w:rFonts w:asciiTheme="majorBidi" w:hAnsiTheme="majorBidi" w:cstheme="majorBidi"/>
          <w:lang w:val="en-AU"/>
        </w:rPr>
        <w:t xml:space="preserve">continuing to enable parties to plan in advance </w:t>
      </w:r>
      <w:r w:rsidR="00F86003" w:rsidRPr="004C5271">
        <w:rPr>
          <w:rFonts w:asciiTheme="majorBidi" w:hAnsiTheme="majorBidi" w:cstheme="majorBidi"/>
          <w:lang w:val="en-AU"/>
        </w:rPr>
        <w:t xml:space="preserve">of death. </w:t>
      </w:r>
      <w:r w:rsidR="008C5EEC" w:rsidRPr="004C5271">
        <w:rPr>
          <w:rFonts w:asciiTheme="majorBidi" w:hAnsiTheme="majorBidi" w:cstheme="majorBidi"/>
          <w:lang w:val="en-AU"/>
        </w:rPr>
        <w:t>The VLRC also recommended inclusion of an equivalent provision within Victorian legislation when it reviewed family provision laws in 2012.</w:t>
      </w:r>
      <w:r w:rsidR="008C5EEC" w:rsidRPr="004C5271">
        <w:rPr>
          <w:rStyle w:val="FootnoteReference"/>
          <w:rFonts w:asciiTheme="majorBidi" w:hAnsiTheme="majorBidi" w:cstheme="majorBidi"/>
          <w:lang w:val="en-AU"/>
        </w:rPr>
        <w:footnoteReference w:id="484"/>
      </w:r>
    </w:p>
    <w:p w14:paraId="0958F778" w14:textId="5956DDBD" w:rsidR="00606E57" w:rsidRPr="004C5271" w:rsidRDefault="00F95696" w:rsidP="00606E57">
      <w:pPr>
        <w:pStyle w:val="NumberedHeadingTLRI"/>
        <w:rPr>
          <w:rFonts w:asciiTheme="majorBidi" w:hAnsiTheme="majorBidi" w:cstheme="majorBidi"/>
          <w:lang w:val="en-AU"/>
        </w:rPr>
      </w:pPr>
      <w:bookmarkStart w:id="212" w:name="_Toc12268972"/>
      <w:r w:rsidRPr="004C5271">
        <w:rPr>
          <w:rFonts w:asciiTheme="majorBidi" w:hAnsiTheme="majorBidi" w:cstheme="majorBidi"/>
          <w:lang w:val="en-AU"/>
        </w:rPr>
        <w:t>Conclusion and r</w:t>
      </w:r>
      <w:r w:rsidR="009167AF" w:rsidRPr="004C5271">
        <w:rPr>
          <w:rFonts w:asciiTheme="majorBidi" w:hAnsiTheme="majorBidi" w:cstheme="majorBidi"/>
          <w:lang w:val="en-AU"/>
        </w:rPr>
        <w:t>ecommendation</w:t>
      </w:r>
      <w:bookmarkEnd w:id="212"/>
    </w:p>
    <w:p w14:paraId="3BC61053" w14:textId="05718619" w:rsidR="00401A5D" w:rsidRPr="004C5271" w:rsidRDefault="00401A5D" w:rsidP="00F95696">
      <w:pPr>
        <w:pStyle w:val="NormalNumberedTextTLRI"/>
        <w:rPr>
          <w:rFonts w:asciiTheme="majorBidi" w:hAnsiTheme="majorBidi" w:cstheme="majorBidi"/>
          <w:lang w:val="en-AU"/>
        </w:rPr>
      </w:pPr>
      <w:r w:rsidRPr="004C5271">
        <w:rPr>
          <w:rFonts w:asciiTheme="majorBidi" w:hAnsiTheme="majorBidi" w:cstheme="majorBidi"/>
          <w:lang w:val="en-AU"/>
        </w:rPr>
        <w:t xml:space="preserve">This </w:t>
      </w:r>
      <w:r w:rsidR="0046381D" w:rsidRPr="004C5271">
        <w:rPr>
          <w:rFonts w:asciiTheme="majorBidi" w:hAnsiTheme="majorBidi" w:cstheme="majorBidi"/>
          <w:lang w:val="en-AU"/>
        </w:rPr>
        <w:t xml:space="preserve">final </w:t>
      </w:r>
      <w:r w:rsidRPr="004C5271">
        <w:rPr>
          <w:rFonts w:asciiTheme="majorBidi" w:hAnsiTheme="majorBidi" w:cstheme="majorBidi"/>
          <w:lang w:val="en-AU"/>
        </w:rPr>
        <w:t>section outlines conclusions reached about the enactment of notional estate laws in Tasmania.</w:t>
      </w:r>
    </w:p>
    <w:p w14:paraId="50BC17E1" w14:textId="4E519268" w:rsidR="00401A5D" w:rsidRPr="004C5271" w:rsidRDefault="00401A5D" w:rsidP="00F95696">
      <w:pPr>
        <w:pStyle w:val="NormalNumberedTextTLRI"/>
        <w:rPr>
          <w:rFonts w:asciiTheme="majorBidi" w:hAnsiTheme="majorBidi" w:cstheme="majorBidi"/>
          <w:lang w:val="en-AU"/>
        </w:rPr>
      </w:pPr>
      <w:r w:rsidRPr="004C5271">
        <w:rPr>
          <w:rFonts w:asciiTheme="majorBidi" w:hAnsiTheme="majorBidi" w:cstheme="majorBidi"/>
          <w:lang w:val="en-AU"/>
        </w:rPr>
        <w:t xml:space="preserve">The Institute’s consultation and research identifies a significant degree of difference </w:t>
      </w:r>
      <w:r w:rsidR="00A675D1" w:rsidRPr="004C5271">
        <w:rPr>
          <w:rFonts w:asciiTheme="majorBidi" w:hAnsiTheme="majorBidi" w:cstheme="majorBidi"/>
          <w:lang w:val="en-AU"/>
        </w:rPr>
        <w:t>in</w:t>
      </w:r>
      <w:r w:rsidRPr="004C5271">
        <w:rPr>
          <w:rFonts w:asciiTheme="majorBidi" w:hAnsiTheme="majorBidi" w:cstheme="majorBidi"/>
          <w:lang w:val="en-AU"/>
        </w:rPr>
        <w:t xml:space="preserve"> opinion and approach to the question of notional estate legislation. </w:t>
      </w:r>
      <w:r w:rsidR="00AE4AE8" w:rsidRPr="004C5271">
        <w:rPr>
          <w:rFonts w:asciiTheme="majorBidi" w:hAnsiTheme="majorBidi" w:cstheme="majorBidi"/>
          <w:lang w:val="en-AU"/>
        </w:rPr>
        <w:t>There are</w:t>
      </w:r>
      <w:r w:rsidRPr="004C5271">
        <w:rPr>
          <w:rFonts w:asciiTheme="majorBidi" w:hAnsiTheme="majorBidi" w:cstheme="majorBidi"/>
          <w:lang w:val="en-AU"/>
        </w:rPr>
        <w:t xml:space="preserve"> compelling arguments </w:t>
      </w:r>
      <w:r w:rsidR="002A0ACA" w:rsidRPr="004C5271">
        <w:rPr>
          <w:rFonts w:asciiTheme="majorBidi" w:hAnsiTheme="majorBidi" w:cstheme="majorBidi"/>
          <w:lang w:val="en-AU"/>
        </w:rPr>
        <w:t xml:space="preserve">both </w:t>
      </w:r>
      <w:r w:rsidRPr="004C5271">
        <w:rPr>
          <w:rFonts w:asciiTheme="majorBidi" w:hAnsiTheme="majorBidi" w:cstheme="majorBidi"/>
          <w:lang w:val="en-AU"/>
        </w:rPr>
        <w:t xml:space="preserve">in support </w:t>
      </w:r>
      <w:r w:rsidR="00B32DE9" w:rsidRPr="004C5271">
        <w:rPr>
          <w:rFonts w:asciiTheme="majorBidi" w:hAnsiTheme="majorBidi" w:cstheme="majorBidi"/>
          <w:lang w:val="en-AU"/>
        </w:rPr>
        <w:t xml:space="preserve">of </w:t>
      </w:r>
      <w:r w:rsidRPr="004C5271">
        <w:rPr>
          <w:rFonts w:asciiTheme="majorBidi" w:hAnsiTheme="majorBidi" w:cstheme="majorBidi"/>
          <w:lang w:val="en-AU"/>
        </w:rPr>
        <w:t xml:space="preserve">and </w:t>
      </w:r>
      <w:r w:rsidR="00B32DE9" w:rsidRPr="004C5271">
        <w:rPr>
          <w:rFonts w:asciiTheme="majorBidi" w:hAnsiTheme="majorBidi" w:cstheme="majorBidi"/>
          <w:lang w:val="en-AU"/>
        </w:rPr>
        <w:t xml:space="preserve">in </w:t>
      </w:r>
      <w:r w:rsidRPr="004C5271">
        <w:rPr>
          <w:rFonts w:asciiTheme="majorBidi" w:hAnsiTheme="majorBidi" w:cstheme="majorBidi"/>
          <w:lang w:val="en-AU"/>
        </w:rPr>
        <w:t xml:space="preserve">opposition </w:t>
      </w:r>
      <w:r w:rsidR="00B32DE9" w:rsidRPr="004C5271">
        <w:rPr>
          <w:rFonts w:asciiTheme="majorBidi" w:hAnsiTheme="majorBidi" w:cstheme="majorBidi"/>
          <w:lang w:val="en-AU"/>
        </w:rPr>
        <w:t>to</w:t>
      </w:r>
      <w:r w:rsidRPr="004C5271">
        <w:rPr>
          <w:rFonts w:asciiTheme="majorBidi" w:hAnsiTheme="majorBidi" w:cstheme="majorBidi"/>
          <w:lang w:val="en-AU"/>
        </w:rPr>
        <w:t xml:space="preserve"> notional estate laws. </w:t>
      </w:r>
      <w:r w:rsidR="0046440C" w:rsidRPr="004C5271">
        <w:rPr>
          <w:rFonts w:asciiTheme="majorBidi" w:hAnsiTheme="majorBidi" w:cstheme="majorBidi"/>
          <w:lang w:val="en-AU"/>
        </w:rPr>
        <w:t xml:space="preserve">Whilst discussed in some detail earlier in this </w:t>
      </w:r>
      <w:r w:rsidR="00564E44" w:rsidRPr="004C5271">
        <w:rPr>
          <w:rFonts w:asciiTheme="majorBidi" w:hAnsiTheme="majorBidi" w:cstheme="majorBidi"/>
          <w:lang w:val="en-AU"/>
        </w:rPr>
        <w:t>p</w:t>
      </w:r>
      <w:r w:rsidR="0046440C" w:rsidRPr="004C5271">
        <w:rPr>
          <w:rFonts w:asciiTheme="majorBidi" w:hAnsiTheme="majorBidi" w:cstheme="majorBidi"/>
          <w:lang w:val="en-AU"/>
        </w:rPr>
        <w:t>art, for convenience</w:t>
      </w:r>
      <w:r w:rsidR="00A97111">
        <w:rPr>
          <w:rFonts w:asciiTheme="majorBidi" w:hAnsiTheme="majorBidi" w:cstheme="majorBidi"/>
          <w:lang w:val="en-AU"/>
        </w:rPr>
        <w:t>,</w:t>
      </w:r>
      <w:r w:rsidR="0046440C" w:rsidRPr="004C5271">
        <w:rPr>
          <w:rFonts w:asciiTheme="majorBidi" w:hAnsiTheme="majorBidi" w:cstheme="majorBidi"/>
          <w:lang w:val="en-AU"/>
        </w:rPr>
        <w:t xml:space="preserve"> and to assist to summarise key issues, t</w:t>
      </w:r>
      <w:r w:rsidR="00AE4AE8" w:rsidRPr="004C5271">
        <w:rPr>
          <w:rFonts w:asciiTheme="majorBidi" w:hAnsiTheme="majorBidi" w:cstheme="majorBidi"/>
          <w:lang w:val="en-AU"/>
        </w:rPr>
        <w:t xml:space="preserve">he main arguments advanced on both sides are </w:t>
      </w:r>
      <w:r w:rsidR="0046440C" w:rsidRPr="004C5271">
        <w:rPr>
          <w:rFonts w:asciiTheme="majorBidi" w:hAnsiTheme="majorBidi" w:cstheme="majorBidi"/>
          <w:lang w:val="en-AU"/>
        </w:rPr>
        <w:t>outlined</w:t>
      </w:r>
      <w:r w:rsidR="00AE4AE8" w:rsidRPr="004C5271">
        <w:rPr>
          <w:rFonts w:asciiTheme="majorBidi" w:hAnsiTheme="majorBidi" w:cstheme="majorBidi"/>
          <w:lang w:val="en-AU"/>
        </w:rPr>
        <w:t xml:space="preserve"> in Table </w:t>
      </w:r>
      <w:r w:rsidR="006C546A" w:rsidRPr="004C5271">
        <w:rPr>
          <w:rFonts w:asciiTheme="majorBidi" w:hAnsiTheme="majorBidi" w:cstheme="majorBidi"/>
          <w:lang w:val="en-AU"/>
        </w:rPr>
        <w:t>2</w:t>
      </w:r>
      <w:r w:rsidR="0046381D" w:rsidRPr="004C5271">
        <w:rPr>
          <w:rFonts w:asciiTheme="majorBidi" w:hAnsiTheme="majorBidi" w:cstheme="majorBidi"/>
          <w:lang w:val="en-AU"/>
        </w:rPr>
        <w:t>:</w:t>
      </w:r>
    </w:p>
    <w:p w14:paraId="2BBC9ACA" w14:textId="3DE4177F" w:rsidR="00BF49A2" w:rsidRPr="004C5271" w:rsidRDefault="00BF49A2" w:rsidP="00F574A7">
      <w:pPr>
        <w:pStyle w:val="Recheading"/>
        <w:spacing w:line="240" w:lineRule="auto"/>
        <w:rPr>
          <w:rFonts w:asciiTheme="majorBidi" w:hAnsiTheme="majorBidi" w:cstheme="majorBidi"/>
        </w:rPr>
      </w:pPr>
      <w:r w:rsidRPr="004C5271">
        <w:rPr>
          <w:rFonts w:asciiTheme="majorBidi" w:hAnsiTheme="majorBidi" w:cstheme="majorBidi"/>
        </w:rPr>
        <w:t xml:space="preserve">Table </w:t>
      </w:r>
      <w:r w:rsidR="006C546A" w:rsidRPr="004C5271">
        <w:rPr>
          <w:rFonts w:asciiTheme="majorBidi" w:hAnsiTheme="majorBidi" w:cstheme="majorBidi"/>
        </w:rPr>
        <w:t>2</w:t>
      </w:r>
      <w:r w:rsidRPr="004C5271">
        <w:rPr>
          <w:rFonts w:asciiTheme="majorBidi" w:hAnsiTheme="majorBidi" w:cstheme="majorBidi"/>
        </w:rPr>
        <w:t xml:space="preserve">: </w:t>
      </w:r>
      <w:r w:rsidR="00AE4AE8" w:rsidRPr="004C5271">
        <w:rPr>
          <w:rFonts w:asciiTheme="majorBidi" w:hAnsiTheme="majorBidi" w:cstheme="majorBidi"/>
        </w:rPr>
        <w:t>Key a</w:t>
      </w:r>
      <w:r w:rsidRPr="004C5271">
        <w:rPr>
          <w:rFonts w:asciiTheme="majorBidi" w:hAnsiTheme="majorBidi" w:cstheme="majorBidi"/>
        </w:rPr>
        <w:t>rguments for and against notional estate laws</w:t>
      </w:r>
    </w:p>
    <w:tbl>
      <w:tblPr>
        <w:tblStyle w:val="TableGrid"/>
        <w:tblW w:w="0" w:type="auto"/>
        <w:jc w:val="center"/>
        <w:tblLook w:val="04A0" w:firstRow="1" w:lastRow="0" w:firstColumn="1" w:lastColumn="0" w:noHBand="0" w:noVBand="1"/>
      </w:tblPr>
      <w:tblGrid>
        <w:gridCol w:w="3569"/>
        <w:gridCol w:w="3520"/>
      </w:tblGrid>
      <w:tr w:rsidR="009E759D" w:rsidRPr="004C5271" w14:paraId="6CE07A21" w14:textId="77777777" w:rsidTr="00A97111">
        <w:trPr>
          <w:trHeight w:val="454"/>
          <w:tblHeader/>
          <w:jc w:val="center"/>
        </w:trPr>
        <w:tc>
          <w:tcPr>
            <w:tcW w:w="4508" w:type="dxa"/>
            <w:shd w:val="clear" w:color="auto" w:fill="D9D9D9" w:themeFill="background1" w:themeFillShade="D9"/>
            <w:vAlign w:val="center"/>
          </w:tcPr>
          <w:p w14:paraId="4B8F6C7C" w14:textId="77777777" w:rsidR="009E759D" w:rsidRPr="004C5271" w:rsidRDefault="009E759D" w:rsidP="00F574A7">
            <w:pPr>
              <w:pStyle w:val="NormalNumberedTextTLRI"/>
              <w:numPr>
                <w:ilvl w:val="0"/>
                <w:numId w:val="0"/>
              </w:numPr>
              <w:spacing w:beforeLines="40" w:before="96" w:afterLines="40" w:after="96"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Arguments for</w:t>
            </w:r>
          </w:p>
        </w:tc>
        <w:tc>
          <w:tcPr>
            <w:tcW w:w="4508" w:type="dxa"/>
            <w:shd w:val="clear" w:color="auto" w:fill="D9D9D9" w:themeFill="background1" w:themeFillShade="D9"/>
            <w:vAlign w:val="center"/>
          </w:tcPr>
          <w:p w14:paraId="5841BC45" w14:textId="77777777" w:rsidR="009E759D" w:rsidRPr="004C5271" w:rsidRDefault="009E759D" w:rsidP="00F574A7">
            <w:pPr>
              <w:pStyle w:val="NormalNumberedTextTLRI"/>
              <w:numPr>
                <w:ilvl w:val="0"/>
                <w:numId w:val="0"/>
              </w:numPr>
              <w:spacing w:beforeLines="40" w:before="96" w:afterLines="40" w:after="96" w:line="240" w:lineRule="auto"/>
              <w:jc w:val="center"/>
              <w:rPr>
                <w:rFonts w:asciiTheme="majorBidi" w:hAnsiTheme="majorBidi" w:cstheme="majorBidi"/>
                <w:b/>
                <w:bCs/>
                <w:sz w:val="20"/>
                <w:lang w:val="en-AU"/>
              </w:rPr>
            </w:pPr>
            <w:r w:rsidRPr="004C5271">
              <w:rPr>
                <w:rFonts w:asciiTheme="majorBidi" w:hAnsiTheme="majorBidi" w:cstheme="majorBidi"/>
                <w:b/>
                <w:bCs/>
                <w:sz w:val="20"/>
                <w:lang w:val="en-AU"/>
              </w:rPr>
              <w:t>Arguments against</w:t>
            </w:r>
          </w:p>
        </w:tc>
      </w:tr>
      <w:tr w:rsidR="009E759D" w:rsidRPr="004C5271" w14:paraId="31583493" w14:textId="77777777" w:rsidTr="00502E5C">
        <w:trPr>
          <w:trHeight w:val="454"/>
          <w:jc w:val="center"/>
        </w:trPr>
        <w:tc>
          <w:tcPr>
            <w:tcW w:w="4508" w:type="dxa"/>
            <w:vAlign w:val="center"/>
          </w:tcPr>
          <w:p w14:paraId="7ABA46BC" w14:textId="21F8998C"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 xml:space="preserve">It advances the objectives of the </w:t>
            </w:r>
            <w:r w:rsidRPr="004C5271">
              <w:rPr>
                <w:rFonts w:asciiTheme="majorBidi" w:hAnsiTheme="majorBidi" w:cstheme="majorBidi"/>
                <w:i/>
                <w:iCs/>
                <w:sz w:val="20"/>
                <w:lang w:val="en-AU"/>
              </w:rPr>
              <w:t xml:space="preserve">TFM Act </w:t>
            </w:r>
            <w:r w:rsidRPr="004C5271">
              <w:rPr>
                <w:rFonts w:asciiTheme="majorBidi" w:hAnsiTheme="majorBidi" w:cstheme="majorBidi"/>
                <w:sz w:val="20"/>
                <w:lang w:val="en-AU"/>
              </w:rPr>
              <w:t>and ensures the law is effective</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85"/>
            </w:r>
          </w:p>
        </w:tc>
        <w:tc>
          <w:tcPr>
            <w:tcW w:w="4508" w:type="dxa"/>
            <w:vAlign w:val="center"/>
          </w:tcPr>
          <w:p w14:paraId="57389926" w14:textId="592750AC"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 need for notional estate law has not been demonstrated</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86"/>
            </w:r>
          </w:p>
        </w:tc>
      </w:tr>
      <w:tr w:rsidR="009E759D" w:rsidRPr="004C5271" w14:paraId="37B11CC2" w14:textId="77777777" w:rsidTr="00502E5C">
        <w:trPr>
          <w:trHeight w:val="454"/>
          <w:jc w:val="center"/>
        </w:trPr>
        <w:tc>
          <w:tcPr>
            <w:tcW w:w="4508" w:type="dxa"/>
            <w:vAlign w:val="center"/>
          </w:tcPr>
          <w:p w14:paraId="1FE5C937" w14:textId="544EB4E5"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There is evidence of claimants being unable to pursue claims due to the existence of non-estate assets</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87"/>
            </w:r>
          </w:p>
        </w:tc>
        <w:tc>
          <w:tcPr>
            <w:tcW w:w="4508" w:type="dxa"/>
            <w:vAlign w:val="center"/>
          </w:tcPr>
          <w:p w14:paraId="4D650657" w14:textId="6A7E89EF"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 instance of intentional family provision avoidance is rare</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88"/>
            </w:r>
          </w:p>
        </w:tc>
      </w:tr>
      <w:tr w:rsidR="009E759D" w:rsidRPr="004C5271" w14:paraId="6D3CF171" w14:textId="77777777" w:rsidTr="00502E5C">
        <w:trPr>
          <w:trHeight w:val="454"/>
          <w:jc w:val="center"/>
        </w:trPr>
        <w:tc>
          <w:tcPr>
            <w:tcW w:w="4508" w:type="dxa"/>
            <w:vAlign w:val="center"/>
          </w:tcPr>
          <w:p w14:paraId="20A9208F" w14:textId="755F6569"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lastRenderedPageBreak/>
              <w:t>Will</w:t>
            </w:r>
            <w:r w:rsidR="000B7F3C" w:rsidRPr="004C5271">
              <w:rPr>
                <w:rFonts w:asciiTheme="majorBidi" w:hAnsiTheme="majorBidi" w:cstheme="majorBidi"/>
                <w:sz w:val="20"/>
                <w:lang w:val="en-AU"/>
              </w:rPr>
              <w:t>-</w:t>
            </w:r>
            <w:r w:rsidRPr="004C5271">
              <w:rPr>
                <w:rFonts w:asciiTheme="majorBidi" w:hAnsiTheme="majorBidi" w:cstheme="majorBidi"/>
                <w:sz w:val="20"/>
                <w:lang w:val="en-AU"/>
              </w:rPr>
              <w:t>makers do not always act as a ‘wise and just testator’</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89"/>
            </w:r>
          </w:p>
        </w:tc>
        <w:tc>
          <w:tcPr>
            <w:tcW w:w="4508" w:type="dxa"/>
            <w:vAlign w:val="center"/>
          </w:tcPr>
          <w:p w14:paraId="1352DEE0" w14:textId="51A99601"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interferes with the notion of testamentary freedom</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0"/>
            </w:r>
          </w:p>
        </w:tc>
      </w:tr>
      <w:tr w:rsidR="009E759D" w:rsidRPr="004C5271" w14:paraId="7BC77370" w14:textId="77777777" w:rsidTr="00502E5C">
        <w:trPr>
          <w:trHeight w:val="454"/>
          <w:jc w:val="center"/>
        </w:trPr>
        <w:tc>
          <w:tcPr>
            <w:tcW w:w="4508" w:type="dxa"/>
            <w:vAlign w:val="center"/>
          </w:tcPr>
          <w:p w14:paraId="5607737C" w14:textId="71EC877E"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is consistent to ‘anti-avoidance’ provisions included in other statutes</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1"/>
            </w:r>
          </w:p>
        </w:tc>
        <w:tc>
          <w:tcPr>
            <w:tcW w:w="4508" w:type="dxa"/>
            <w:vAlign w:val="center"/>
          </w:tcPr>
          <w:p w14:paraId="76E64A90" w14:textId="1A16D28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infringes upon the rights of people to deal with their assets as they wish during life</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2"/>
            </w:r>
          </w:p>
        </w:tc>
      </w:tr>
      <w:tr w:rsidR="009E759D" w:rsidRPr="004C5271" w14:paraId="49CC8784" w14:textId="77777777" w:rsidTr="00502E5C">
        <w:trPr>
          <w:trHeight w:val="454"/>
          <w:jc w:val="center"/>
        </w:trPr>
        <w:tc>
          <w:tcPr>
            <w:tcW w:w="4508" w:type="dxa"/>
            <w:vAlign w:val="center"/>
          </w:tcPr>
          <w:p w14:paraId="2DA49D14" w14:textId="1C2368D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 xml:space="preserve">Meritorious claimants may become or remain a burden on the </w:t>
            </w:r>
            <w:r w:rsidR="00F574A7" w:rsidRPr="004C5271">
              <w:rPr>
                <w:rFonts w:asciiTheme="majorBidi" w:hAnsiTheme="majorBidi" w:cstheme="majorBidi"/>
                <w:sz w:val="20"/>
                <w:lang w:val="en-AU"/>
              </w:rPr>
              <w:t>s</w:t>
            </w:r>
            <w:r w:rsidRPr="004C5271">
              <w:rPr>
                <w:rFonts w:asciiTheme="majorBidi" w:hAnsiTheme="majorBidi" w:cstheme="majorBidi"/>
                <w:sz w:val="20"/>
                <w:lang w:val="en-AU"/>
              </w:rPr>
              <w:t>tate</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3"/>
            </w:r>
          </w:p>
        </w:tc>
        <w:tc>
          <w:tcPr>
            <w:tcW w:w="4508" w:type="dxa"/>
            <w:vAlign w:val="center"/>
          </w:tcPr>
          <w:p w14:paraId="1F2AD8D1" w14:textId="1579C3B2"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creates a lack of certainty</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4"/>
            </w:r>
          </w:p>
        </w:tc>
      </w:tr>
      <w:tr w:rsidR="009E759D" w:rsidRPr="004C5271" w14:paraId="764771FB" w14:textId="77777777" w:rsidTr="00502E5C">
        <w:trPr>
          <w:trHeight w:val="454"/>
          <w:jc w:val="center"/>
        </w:trPr>
        <w:tc>
          <w:tcPr>
            <w:tcW w:w="4508" w:type="dxa"/>
            <w:vAlign w:val="center"/>
          </w:tcPr>
          <w:p w14:paraId="4677B8A1" w14:textId="0E457C5C"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 xml:space="preserve">A substantial number of </w:t>
            </w:r>
            <w:r w:rsidR="005A01E5" w:rsidRPr="004C5271">
              <w:rPr>
                <w:rFonts w:asciiTheme="majorBidi" w:hAnsiTheme="majorBidi" w:cstheme="majorBidi"/>
                <w:sz w:val="20"/>
                <w:lang w:val="en-AU"/>
              </w:rPr>
              <w:t xml:space="preserve">submissions </w:t>
            </w:r>
            <w:r w:rsidRPr="004C5271">
              <w:rPr>
                <w:rFonts w:asciiTheme="majorBidi" w:hAnsiTheme="majorBidi" w:cstheme="majorBidi"/>
                <w:sz w:val="20"/>
                <w:lang w:val="en-AU"/>
              </w:rPr>
              <w:t>(38%) endorsed notional estate laws</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5"/>
            </w:r>
          </w:p>
        </w:tc>
        <w:tc>
          <w:tcPr>
            <w:tcW w:w="4508" w:type="dxa"/>
            <w:vAlign w:val="center"/>
          </w:tcPr>
          <w:p w14:paraId="79F2E4FB" w14:textId="4A751BD5"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Testators are best placed to assess the competing claims to their estate</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6"/>
            </w:r>
          </w:p>
        </w:tc>
      </w:tr>
      <w:tr w:rsidR="009E759D" w:rsidRPr="004C5271" w14:paraId="176C95EC" w14:textId="77777777" w:rsidTr="00502E5C">
        <w:trPr>
          <w:trHeight w:val="454"/>
          <w:jc w:val="center"/>
        </w:trPr>
        <w:tc>
          <w:tcPr>
            <w:tcW w:w="4508" w:type="dxa"/>
            <w:vAlign w:val="center"/>
          </w:tcPr>
          <w:p w14:paraId="2DECB3AE" w14:textId="09B988FB"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 xml:space="preserve">Different outcomes can occur between the </w:t>
            </w:r>
            <w:r w:rsidRPr="004C5271">
              <w:rPr>
                <w:rFonts w:asciiTheme="majorBidi" w:hAnsiTheme="majorBidi" w:cstheme="majorBidi"/>
                <w:i/>
                <w:iCs/>
                <w:sz w:val="20"/>
                <w:lang w:val="en-AU"/>
              </w:rPr>
              <w:t>FLA</w:t>
            </w:r>
            <w:r w:rsidRPr="004C5271">
              <w:rPr>
                <w:rFonts w:asciiTheme="majorBidi" w:hAnsiTheme="majorBidi" w:cstheme="majorBidi"/>
                <w:sz w:val="20"/>
                <w:lang w:val="en-AU"/>
              </w:rPr>
              <w:t xml:space="preserve"> and </w:t>
            </w:r>
            <w:r w:rsidRPr="004C5271">
              <w:rPr>
                <w:rFonts w:asciiTheme="majorBidi" w:hAnsiTheme="majorBidi" w:cstheme="majorBidi"/>
                <w:i/>
                <w:iCs/>
                <w:sz w:val="20"/>
                <w:lang w:val="en-AU"/>
              </w:rPr>
              <w:t>TFM Act</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7"/>
            </w:r>
          </w:p>
        </w:tc>
        <w:tc>
          <w:tcPr>
            <w:tcW w:w="4508" w:type="dxa"/>
            <w:vAlign w:val="center"/>
          </w:tcPr>
          <w:p w14:paraId="6CB5D9AC" w14:textId="2DC8CD6A"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 xml:space="preserve">The courts already </w:t>
            </w:r>
            <w:r w:rsidR="00CA19E2" w:rsidRPr="004C5271">
              <w:rPr>
                <w:rFonts w:asciiTheme="majorBidi" w:hAnsiTheme="majorBidi" w:cstheme="majorBidi"/>
                <w:sz w:val="20"/>
                <w:lang w:val="en-AU"/>
              </w:rPr>
              <w:t>consider</w:t>
            </w:r>
            <w:r w:rsidRPr="004C5271">
              <w:rPr>
                <w:rFonts w:asciiTheme="majorBidi" w:hAnsiTheme="majorBidi" w:cstheme="majorBidi"/>
                <w:sz w:val="20"/>
                <w:lang w:val="en-AU"/>
              </w:rPr>
              <w:t xml:space="preserve"> pre-death gifts when assessing claims</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8"/>
            </w:r>
          </w:p>
        </w:tc>
      </w:tr>
      <w:tr w:rsidR="009E759D" w:rsidRPr="004C5271" w14:paraId="15967A35" w14:textId="77777777" w:rsidTr="00502E5C">
        <w:trPr>
          <w:trHeight w:val="454"/>
          <w:jc w:val="center"/>
        </w:trPr>
        <w:tc>
          <w:tcPr>
            <w:tcW w:w="4508" w:type="dxa"/>
            <w:vAlign w:val="center"/>
          </w:tcPr>
          <w:p w14:paraId="3BC02AB8" w14:textId="0B7D393F"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can mean claimants have access to joint tenancy properties and superannuation which are often substantial assets held by a deceased</w:t>
            </w:r>
            <w:r w:rsidR="00F574A7" w:rsidRPr="004C5271">
              <w:rPr>
                <w:rFonts w:asciiTheme="majorBidi" w:hAnsiTheme="majorBidi" w:cstheme="majorBidi"/>
                <w:sz w:val="20"/>
                <w:lang w:val="en-AU"/>
              </w:rPr>
              <w:t>.</w:t>
            </w:r>
          </w:p>
        </w:tc>
        <w:tc>
          <w:tcPr>
            <w:tcW w:w="4508" w:type="dxa"/>
            <w:vAlign w:val="center"/>
          </w:tcPr>
          <w:p w14:paraId="5633A038" w14:textId="5E09E24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Potential adverse consequences would impact a greater proportion of the population than those who would potentially benefit</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499"/>
            </w:r>
          </w:p>
        </w:tc>
      </w:tr>
      <w:tr w:rsidR="009E759D" w:rsidRPr="004C5271" w14:paraId="61EBF65A" w14:textId="77777777" w:rsidTr="00502E5C">
        <w:trPr>
          <w:trHeight w:val="454"/>
          <w:jc w:val="center"/>
        </w:trPr>
        <w:tc>
          <w:tcPr>
            <w:tcW w:w="4508" w:type="dxa"/>
            <w:vAlign w:val="center"/>
          </w:tcPr>
          <w:p w14:paraId="48DB1261" w14:textId="3C3AA711" w:rsidR="009E759D" w:rsidRPr="004C5271" w:rsidRDefault="009E759D" w:rsidP="00A97111">
            <w:pPr>
              <w:pStyle w:val="NormalNumberedTextTLRI"/>
              <w:numPr>
                <w:ilvl w:val="0"/>
                <w:numId w:val="0"/>
              </w:numPr>
              <w:spacing w:beforeLines="40" w:before="96" w:afterLines="40" w:after="96" w:line="240" w:lineRule="auto"/>
              <w:jc w:val="left"/>
              <w:rPr>
                <w:rFonts w:asciiTheme="majorBidi" w:hAnsiTheme="majorBidi" w:cstheme="majorBidi"/>
                <w:sz w:val="20"/>
                <w:lang w:val="en-AU"/>
              </w:rPr>
            </w:pPr>
            <w:r w:rsidRPr="004C5271">
              <w:rPr>
                <w:rFonts w:asciiTheme="majorBidi" w:hAnsiTheme="majorBidi" w:cstheme="majorBidi"/>
                <w:sz w:val="20"/>
                <w:lang w:val="en-AU"/>
              </w:rPr>
              <w:t>Any complexities are not insurmountable</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0"/>
            </w:r>
          </w:p>
        </w:tc>
        <w:tc>
          <w:tcPr>
            <w:tcW w:w="4508" w:type="dxa"/>
            <w:vAlign w:val="center"/>
          </w:tcPr>
          <w:p w14:paraId="175CE5E3" w14:textId="312818E2"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Notional estate laws are too complex</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1"/>
            </w:r>
          </w:p>
        </w:tc>
      </w:tr>
      <w:tr w:rsidR="009E759D" w:rsidRPr="004C5271" w14:paraId="26C4249B" w14:textId="77777777" w:rsidTr="00502E5C">
        <w:trPr>
          <w:trHeight w:val="454"/>
          <w:jc w:val="center"/>
        </w:trPr>
        <w:tc>
          <w:tcPr>
            <w:tcW w:w="4508" w:type="dxa"/>
            <w:vAlign w:val="center"/>
          </w:tcPr>
          <w:p w14:paraId="3456C013" w14:textId="22117CF0"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lastRenderedPageBreak/>
              <w:t xml:space="preserve">It can </w:t>
            </w:r>
            <w:r w:rsidR="00A97111" w:rsidRPr="004C5271">
              <w:rPr>
                <w:rFonts w:asciiTheme="majorBidi" w:hAnsiTheme="majorBidi" w:cstheme="majorBidi"/>
                <w:sz w:val="20"/>
                <w:lang w:val="en-AU"/>
              </w:rPr>
              <w:t xml:space="preserve">sometimes </w:t>
            </w:r>
            <w:r w:rsidRPr="004C5271">
              <w:rPr>
                <w:rFonts w:asciiTheme="majorBidi" w:hAnsiTheme="majorBidi" w:cstheme="majorBidi"/>
                <w:sz w:val="20"/>
                <w:lang w:val="en-AU"/>
              </w:rPr>
              <w:t>remedy unintended consequences of legal ownership</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2"/>
            </w:r>
          </w:p>
        </w:tc>
        <w:tc>
          <w:tcPr>
            <w:tcW w:w="4508" w:type="dxa"/>
            <w:vAlign w:val="center"/>
          </w:tcPr>
          <w:p w14:paraId="7F136986" w14:textId="03B74B8A"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may increase the time and cost of estate administration and litigation</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3"/>
            </w:r>
          </w:p>
        </w:tc>
      </w:tr>
      <w:tr w:rsidR="009E759D" w:rsidRPr="004C5271" w14:paraId="781E5D51" w14:textId="77777777" w:rsidTr="00BD5408">
        <w:trPr>
          <w:cantSplit/>
          <w:trHeight w:val="454"/>
          <w:jc w:val="center"/>
        </w:trPr>
        <w:tc>
          <w:tcPr>
            <w:tcW w:w="4508" w:type="dxa"/>
            <w:vAlign w:val="center"/>
          </w:tcPr>
          <w:p w14:paraId="4DBD0994" w14:textId="29D995F8" w:rsidR="009E759D" w:rsidRPr="004C5271" w:rsidRDefault="009E759D" w:rsidP="00BD5408">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There is competing evidence about whether the prevalence of claims may increase</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4"/>
            </w:r>
          </w:p>
        </w:tc>
        <w:tc>
          <w:tcPr>
            <w:tcW w:w="4508" w:type="dxa"/>
            <w:vAlign w:val="center"/>
          </w:tcPr>
          <w:p w14:paraId="6825403D" w14:textId="1B5B24B6" w:rsidR="009E759D" w:rsidRPr="004C5271" w:rsidRDefault="009E759D" w:rsidP="00BD5408">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may increase the prevalence of litigation placing a burden on the court and having a negative impact upon the community</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5"/>
            </w:r>
          </w:p>
        </w:tc>
      </w:tr>
      <w:tr w:rsidR="009E759D" w:rsidRPr="004C5271" w14:paraId="4BCF665B" w14:textId="77777777" w:rsidTr="00502E5C">
        <w:trPr>
          <w:trHeight w:val="454"/>
          <w:jc w:val="center"/>
        </w:trPr>
        <w:tc>
          <w:tcPr>
            <w:tcW w:w="4508" w:type="dxa"/>
            <w:vAlign w:val="center"/>
          </w:tcPr>
          <w:p w14:paraId="3FEEE19D" w14:textId="129C16E3"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 burden of claims can be shared equally between estate and non-estate beneficiaries</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6"/>
            </w:r>
          </w:p>
        </w:tc>
        <w:tc>
          <w:tcPr>
            <w:tcW w:w="4508" w:type="dxa"/>
            <w:vAlign w:val="center"/>
          </w:tcPr>
          <w:p w14:paraId="4A52212C" w14:textId="0926C1DC"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There may be an increase in unmeritorious claims</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7"/>
            </w:r>
          </w:p>
        </w:tc>
      </w:tr>
      <w:tr w:rsidR="009E759D" w:rsidRPr="004C5271" w14:paraId="2708D6CF" w14:textId="77777777" w:rsidTr="00502E5C">
        <w:trPr>
          <w:trHeight w:val="454"/>
          <w:jc w:val="center"/>
        </w:trPr>
        <w:tc>
          <w:tcPr>
            <w:tcW w:w="4508" w:type="dxa"/>
            <w:vAlign w:val="center"/>
          </w:tcPr>
          <w:p w14:paraId="6E9694EF" w14:textId="2EE7BBA9"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Some situations are unable to be resolved without notional estate laws</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8"/>
            </w:r>
          </w:p>
        </w:tc>
        <w:tc>
          <w:tcPr>
            <w:tcW w:w="4508" w:type="dxa"/>
            <w:vAlign w:val="center"/>
          </w:tcPr>
          <w:p w14:paraId="21DC99E6" w14:textId="0B1718B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Other legal remedies exist to resolve some of the matters that notional estate laws are directed at</w:t>
            </w:r>
            <w:r w:rsidR="00F574A7"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09"/>
            </w:r>
          </w:p>
        </w:tc>
      </w:tr>
      <w:tr w:rsidR="009E759D" w:rsidRPr="004C5271" w14:paraId="00967967" w14:textId="77777777" w:rsidTr="00502E5C">
        <w:trPr>
          <w:trHeight w:val="454"/>
          <w:jc w:val="center"/>
        </w:trPr>
        <w:tc>
          <w:tcPr>
            <w:tcW w:w="4508" w:type="dxa"/>
            <w:vAlign w:val="center"/>
          </w:tcPr>
          <w:p w14:paraId="19259D44" w14:textId="53BE1684"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 xml:space="preserve">It can mean individuals in very similar circumstances have unequal assess to remedies under the </w:t>
            </w:r>
            <w:r w:rsidRPr="004C5271">
              <w:rPr>
                <w:rFonts w:asciiTheme="majorBidi" w:hAnsiTheme="majorBidi" w:cstheme="majorBidi"/>
                <w:i/>
                <w:iCs/>
                <w:sz w:val="20"/>
                <w:lang w:val="en-AU"/>
              </w:rPr>
              <w:t>TFM Act</w:t>
            </w:r>
            <w:r w:rsidR="00DC5501" w:rsidRPr="004C5271">
              <w:rPr>
                <w:rFonts w:asciiTheme="majorBidi" w:hAnsiTheme="majorBidi" w:cstheme="majorBidi"/>
                <w:sz w:val="20"/>
                <w:lang w:val="en-AU"/>
              </w:rPr>
              <w:t>.</w:t>
            </w:r>
          </w:p>
        </w:tc>
        <w:tc>
          <w:tcPr>
            <w:tcW w:w="4508" w:type="dxa"/>
            <w:vAlign w:val="center"/>
          </w:tcPr>
          <w:p w14:paraId="530EF9EA" w14:textId="3E72B79F"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may result in adverse taxation consequences</w:t>
            </w:r>
            <w:r w:rsidR="00DC5501"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0"/>
            </w:r>
          </w:p>
        </w:tc>
      </w:tr>
      <w:tr w:rsidR="009E759D" w:rsidRPr="004C5271" w14:paraId="6480837B" w14:textId="77777777" w:rsidTr="00502E5C">
        <w:trPr>
          <w:trHeight w:val="454"/>
          <w:jc w:val="center"/>
        </w:trPr>
        <w:tc>
          <w:tcPr>
            <w:tcW w:w="4508" w:type="dxa"/>
            <w:vAlign w:val="center"/>
          </w:tcPr>
          <w:p w14:paraId="27BC0D68" w14:textId="51FB174B"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Individuals have unequal access to legal advice due to social and economic factors</w:t>
            </w:r>
            <w:r w:rsidR="00DC5501"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1"/>
            </w:r>
          </w:p>
        </w:tc>
        <w:tc>
          <w:tcPr>
            <w:tcW w:w="4508" w:type="dxa"/>
            <w:vAlign w:val="center"/>
          </w:tcPr>
          <w:p w14:paraId="745B0FF8" w14:textId="28B96B7E"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undermines estate planning arrangements</w:t>
            </w:r>
            <w:r w:rsidR="00DC5501"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2"/>
            </w:r>
          </w:p>
        </w:tc>
      </w:tr>
      <w:tr w:rsidR="009E759D" w:rsidRPr="004C5271" w14:paraId="726F5F11" w14:textId="77777777" w:rsidTr="00502E5C">
        <w:trPr>
          <w:trHeight w:val="454"/>
          <w:jc w:val="center"/>
        </w:trPr>
        <w:tc>
          <w:tcPr>
            <w:tcW w:w="4508" w:type="dxa"/>
            <w:vAlign w:val="center"/>
          </w:tcPr>
          <w:p w14:paraId="3140FAF3" w14:textId="6C5D930B"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There is a need to protect dependants</w:t>
            </w:r>
            <w:r w:rsidR="00DC5501"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3"/>
            </w:r>
          </w:p>
        </w:tc>
        <w:tc>
          <w:tcPr>
            <w:tcW w:w="4508" w:type="dxa"/>
            <w:vAlign w:val="center"/>
          </w:tcPr>
          <w:p w14:paraId="24E7FA05" w14:textId="5CDEF7C4"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may impact asset protection arrangements</w:t>
            </w:r>
            <w:r w:rsidR="00DC5501"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4"/>
            </w:r>
          </w:p>
        </w:tc>
      </w:tr>
      <w:tr w:rsidR="009E759D" w:rsidRPr="004C5271" w14:paraId="0FDEB390" w14:textId="77777777" w:rsidTr="00502E5C">
        <w:trPr>
          <w:trHeight w:val="454"/>
          <w:jc w:val="center"/>
        </w:trPr>
        <w:tc>
          <w:tcPr>
            <w:tcW w:w="4508" w:type="dxa"/>
            <w:vAlign w:val="center"/>
          </w:tcPr>
          <w:p w14:paraId="359EF36E" w14:textId="70D41442"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lastRenderedPageBreak/>
              <w:t>It serves as a discouragement to prevent intentional transfers intended to defeat claims</w:t>
            </w:r>
            <w:r w:rsidR="00DC5501"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5"/>
            </w:r>
          </w:p>
        </w:tc>
        <w:tc>
          <w:tcPr>
            <w:tcW w:w="4508" w:type="dxa"/>
            <w:vAlign w:val="center"/>
          </w:tcPr>
          <w:p w14:paraId="2DED9E4D" w14:textId="131A2410"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undermines fundamental legal concepts such as joint tenancy, trust law and property rights</w:t>
            </w:r>
            <w:r w:rsidR="00DC5501"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6"/>
            </w:r>
          </w:p>
        </w:tc>
      </w:tr>
      <w:tr w:rsidR="009E759D" w:rsidRPr="004C5271" w14:paraId="7618A070" w14:textId="77777777" w:rsidTr="00502E5C">
        <w:trPr>
          <w:trHeight w:val="454"/>
          <w:jc w:val="center"/>
        </w:trPr>
        <w:tc>
          <w:tcPr>
            <w:tcW w:w="4508" w:type="dxa"/>
            <w:vAlign w:val="center"/>
          </w:tcPr>
          <w:p w14:paraId="6D9B48A4" w14:textId="7777777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p>
        </w:tc>
        <w:tc>
          <w:tcPr>
            <w:tcW w:w="4508" w:type="dxa"/>
            <w:vAlign w:val="center"/>
          </w:tcPr>
          <w:p w14:paraId="793EB7A8" w14:textId="3F641490"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 effectiveness of the New South Wales scheme has not been evaluated</w:t>
            </w:r>
            <w:r w:rsidR="004B5E4E"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7"/>
            </w:r>
          </w:p>
        </w:tc>
      </w:tr>
      <w:tr w:rsidR="009E759D" w:rsidRPr="004C5271" w14:paraId="78D41971" w14:textId="77777777" w:rsidTr="00502E5C">
        <w:trPr>
          <w:trHeight w:val="454"/>
          <w:jc w:val="center"/>
        </w:trPr>
        <w:tc>
          <w:tcPr>
            <w:tcW w:w="4508" w:type="dxa"/>
            <w:vAlign w:val="center"/>
          </w:tcPr>
          <w:p w14:paraId="29CFE4FF" w14:textId="7777777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p>
        </w:tc>
        <w:tc>
          <w:tcPr>
            <w:tcW w:w="4508" w:type="dxa"/>
            <w:vAlign w:val="center"/>
          </w:tcPr>
          <w:p w14:paraId="2790CB4D" w14:textId="41C6B63D"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Strategies exist to avoid operation of notional estate laws</w:t>
            </w:r>
            <w:r w:rsidR="004B5E4E"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8"/>
            </w:r>
          </w:p>
        </w:tc>
      </w:tr>
      <w:tr w:rsidR="009E759D" w:rsidRPr="004C5271" w14:paraId="42B42043" w14:textId="77777777" w:rsidTr="00502E5C">
        <w:trPr>
          <w:trHeight w:val="454"/>
          <w:jc w:val="center"/>
        </w:trPr>
        <w:tc>
          <w:tcPr>
            <w:tcW w:w="4508" w:type="dxa"/>
            <w:vAlign w:val="center"/>
          </w:tcPr>
          <w:p w14:paraId="7BE10766" w14:textId="7777777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p>
        </w:tc>
        <w:tc>
          <w:tcPr>
            <w:tcW w:w="4508" w:type="dxa"/>
            <w:vAlign w:val="center"/>
          </w:tcPr>
          <w:p w14:paraId="02E5BDEF" w14:textId="0B73F2E6"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 xml:space="preserve">Individuals may move investment assets outside of the </w:t>
            </w:r>
            <w:r w:rsidR="004B5E4E" w:rsidRPr="004C5271">
              <w:rPr>
                <w:rFonts w:asciiTheme="majorBidi" w:hAnsiTheme="majorBidi" w:cstheme="majorBidi"/>
                <w:sz w:val="20"/>
                <w:lang w:val="en-AU"/>
              </w:rPr>
              <w:t>s</w:t>
            </w:r>
            <w:r w:rsidRPr="004C5271">
              <w:rPr>
                <w:rFonts w:asciiTheme="majorBidi" w:hAnsiTheme="majorBidi" w:cstheme="majorBidi"/>
                <w:sz w:val="20"/>
                <w:lang w:val="en-AU"/>
              </w:rPr>
              <w:t>tate</w:t>
            </w:r>
            <w:r w:rsidR="004B5E4E"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19"/>
            </w:r>
          </w:p>
        </w:tc>
      </w:tr>
      <w:tr w:rsidR="009E759D" w:rsidRPr="004C5271" w14:paraId="1F213B1F" w14:textId="77777777" w:rsidTr="00502E5C">
        <w:trPr>
          <w:trHeight w:val="454"/>
          <w:jc w:val="center"/>
        </w:trPr>
        <w:tc>
          <w:tcPr>
            <w:tcW w:w="4508" w:type="dxa"/>
            <w:vAlign w:val="center"/>
          </w:tcPr>
          <w:p w14:paraId="13468B27" w14:textId="7777777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p>
        </w:tc>
        <w:tc>
          <w:tcPr>
            <w:tcW w:w="4508" w:type="dxa"/>
            <w:vAlign w:val="center"/>
          </w:tcPr>
          <w:p w14:paraId="1455155D" w14:textId="29EC380C" w:rsidR="009E759D" w:rsidRPr="004C5271" w:rsidRDefault="005A01E5"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 xml:space="preserve">A substantial number of submissions </w:t>
            </w:r>
            <w:r w:rsidR="009E759D" w:rsidRPr="004C5271">
              <w:rPr>
                <w:rFonts w:asciiTheme="majorBidi" w:hAnsiTheme="majorBidi" w:cstheme="majorBidi"/>
                <w:sz w:val="20"/>
                <w:lang w:val="en-AU"/>
              </w:rPr>
              <w:t>(6</w:t>
            </w:r>
            <w:r w:rsidRPr="004C5271">
              <w:rPr>
                <w:rFonts w:asciiTheme="majorBidi" w:hAnsiTheme="majorBidi" w:cstheme="majorBidi"/>
                <w:sz w:val="20"/>
                <w:lang w:val="en-AU"/>
              </w:rPr>
              <w:t>1</w:t>
            </w:r>
            <w:r w:rsidR="009E759D" w:rsidRPr="004C5271">
              <w:rPr>
                <w:rFonts w:asciiTheme="majorBidi" w:hAnsiTheme="majorBidi" w:cstheme="majorBidi"/>
                <w:sz w:val="20"/>
                <w:lang w:val="en-AU"/>
              </w:rPr>
              <w:t>%) opposed notional estate legislation</w:t>
            </w:r>
            <w:r w:rsidR="004B5E4E" w:rsidRPr="004C5271">
              <w:rPr>
                <w:rFonts w:asciiTheme="majorBidi" w:hAnsiTheme="majorBidi" w:cstheme="majorBidi"/>
                <w:sz w:val="20"/>
                <w:lang w:val="en-AU"/>
              </w:rPr>
              <w:t>.</w:t>
            </w:r>
            <w:r w:rsidR="009E759D" w:rsidRPr="004C5271">
              <w:rPr>
                <w:rStyle w:val="FootnoteReference"/>
                <w:rFonts w:asciiTheme="majorBidi" w:hAnsiTheme="majorBidi" w:cstheme="majorBidi"/>
                <w:lang w:val="en-AU"/>
              </w:rPr>
              <w:footnoteReference w:id="520"/>
            </w:r>
          </w:p>
        </w:tc>
      </w:tr>
      <w:tr w:rsidR="009E759D" w:rsidRPr="004C5271" w14:paraId="4402B02C" w14:textId="77777777" w:rsidTr="00502E5C">
        <w:trPr>
          <w:trHeight w:val="454"/>
          <w:jc w:val="center"/>
        </w:trPr>
        <w:tc>
          <w:tcPr>
            <w:tcW w:w="4508" w:type="dxa"/>
            <w:vAlign w:val="center"/>
          </w:tcPr>
          <w:p w14:paraId="58E5DFCA" w14:textId="7777777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p>
        </w:tc>
        <w:tc>
          <w:tcPr>
            <w:tcW w:w="4508" w:type="dxa"/>
            <w:vAlign w:val="center"/>
          </w:tcPr>
          <w:p w14:paraId="05C725D3" w14:textId="662EDB0E"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It may reduce charitable giving or adversely impact charitable bequests</w:t>
            </w:r>
            <w:r w:rsidR="004B5E4E"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21"/>
            </w:r>
          </w:p>
        </w:tc>
      </w:tr>
      <w:tr w:rsidR="009E759D" w:rsidRPr="004C5271" w14:paraId="70748FF1" w14:textId="77777777" w:rsidTr="00502E5C">
        <w:trPr>
          <w:trHeight w:val="454"/>
          <w:jc w:val="center"/>
        </w:trPr>
        <w:tc>
          <w:tcPr>
            <w:tcW w:w="4508" w:type="dxa"/>
            <w:vAlign w:val="center"/>
          </w:tcPr>
          <w:p w14:paraId="362D5B61" w14:textId="77777777"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p>
        </w:tc>
        <w:tc>
          <w:tcPr>
            <w:tcW w:w="4508" w:type="dxa"/>
            <w:vAlign w:val="center"/>
          </w:tcPr>
          <w:p w14:paraId="05177873" w14:textId="2E9698DB" w:rsidR="009E759D" w:rsidRPr="004C5271" w:rsidRDefault="009E759D" w:rsidP="00F574A7">
            <w:pPr>
              <w:pStyle w:val="NormalNumberedTextTLRI"/>
              <w:numPr>
                <w:ilvl w:val="0"/>
                <w:numId w:val="0"/>
              </w:numPr>
              <w:spacing w:beforeLines="40" w:before="96" w:afterLines="40" w:after="96" w:line="240" w:lineRule="auto"/>
              <w:rPr>
                <w:rFonts w:asciiTheme="majorBidi" w:hAnsiTheme="majorBidi" w:cstheme="majorBidi"/>
                <w:sz w:val="20"/>
                <w:lang w:val="en-AU"/>
              </w:rPr>
            </w:pPr>
            <w:r w:rsidRPr="004C5271">
              <w:rPr>
                <w:rFonts w:asciiTheme="majorBidi" w:hAnsiTheme="majorBidi" w:cstheme="majorBidi"/>
                <w:sz w:val="20"/>
                <w:lang w:val="en-AU"/>
              </w:rPr>
              <w:t>The NSW provisions are too broad in their application to omissions</w:t>
            </w:r>
            <w:r w:rsidR="004B5E4E" w:rsidRPr="004C5271">
              <w:rPr>
                <w:rFonts w:asciiTheme="majorBidi" w:hAnsiTheme="majorBidi" w:cstheme="majorBidi"/>
                <w:sz w:val="20"/>
                <w:lang w:val="en-AU"/>
              </w:rPr>
              <w:t>.</w:t>
            </w:r>
            <w:r w:rsidRPr="004C5271">
              <w:rPr>
                <w:rStyle w:val="FootnoteReference"/>
                <w:rFonts w:asciiTheme="majorBidi" w:hAnsiTheme="majorBidi" w:cstheme="majorBidi"/>
                <w:lang w:val="en-AU"/>
              </w:rPr>
              <w:footnoteReference w:id="522"/>
            </w:r>
          </w:p>
        </w:tc>
      </w:tr>
    </w:tbl>
    <w:p w14:paraId="69C72E61" w14:textId="5B528A56" w:rsidR="00A675D1" w:rsidRPr="004C5271" w:rsidRDefault="00AE4AE8" w:rsidP="00AE4AE8">
      <w:pPr>
        <w:pStyle w:val="NormalNumberedTextTLRI"/>
        <w:rPr>
          <w:rFonts w:asciiTheme="majorBidi" w:hAnsiTheme="majorBidi" w:cstheme="majorBidi"/>
          <w:lang w:val="en-AU"/>
        </w:rPr>
      </w:pPr>
      <w:r w:rsidRPr="004C5271">
        <w:rPr>
          <w:rFonts w:asciiTheme="majorBidi" w:hAnsiTheme="majorBidi" w:cstheme="majorBidi"/>
          <w:lang w:val="en-AU"/>
        </w:rPr>
        <w:t xml:space="preserve">Whilst it appears from Table </w:t>
      </w:r>
      <w:r w:rsidR="006C546A" w:rsidRPr="004C5271">
        <w:rPr>
          <w:rFonts w:asciiTheme="majorBidi" w:hAnsiTheme="majorBidi" w:cstheme="majorBidi"/>
          <w:lang w:val="en-AU"/>
        </w:rPr>
        <w:t>2</w:t>
      </w:r>
      <w:r w:rsidRPr="004C5271">
        <w:rPr>
          <w:rFonts w:asciiTheme="majorBidi" w:hAnsiTheme="majorBidi" w:cstheme="majorBidi"/>
          <w:lang w:val="en-AU"/>
        </w:rPr>
        <w:t xml:space="preserve"> that the arguments for notional estate laws are fewer in number, this </w:t>
      </w:r>
      <w:r w:rsidR="00A675D1" w:rsidRPr="004C5271">
        <w:rPr>
          <w:rFonts w:asciiTheme="majorBidi" w:hAnsiTheme="majorBidi" w:cstheme="majorBidi"/>
          <w:lang w:val="en-AU"/>
        </w:rPr>
        <w:t>should</w:t>
      </w:r>
      <w:r w:rsidRPr="004C5271">
        <w:rPr>
          <w:rFonts w:asciiTheme="majorBidi" w:hAnsiTheme="majorBidi" w:cstheme="majorBidi"/>
          <w:lang w:val="en-AU"/>
        </w:rPr>
        <w:t xml:space="preserve"> not itself lead to </w:t>
      </w:r>
      <w:r w:rsidR="00A675D1" w:rsidRPr="004C5271">
        <w:rPr>
          <w:rFonts w:asciiTheme="majorBidi" w:hAnsiTheme="majorBidi" w:cstheme="majorBidi"/>
          <w:lang w:val="en-AU"/>
        </w:rPr>
        <w:t>a</w:t>
      </w:r>
      <w:r w:rsidRPr="004C5271">
        <w:rPr>
          <w:rFonts w:asciiTheme="majorBidi" w:hAnsiTheme="majorBidi" w:cstheme="majorBidi"/>
          <w:lang w:val="en-AU"/>
        </w:rPr>
        <w:t xml:space="preserve"> conclusion that notional estate laws not be introduced. The Institute acknowledges </w:t>
      </w:r>
      <w:r w:rsidR="005C56E7" w:rsidRPr="004C5271">
        <w:rPr>
          <w:rFonts w:asciiTheme="majorBidi" w:hAnsiTheme="majorBidi" w:cstheme="majorBidi"/>
          <w:lang w:val="en-AU"/>
        </w:rPr>
        <w:t>experiences</w:t>
      </w:r>
      <w:r w:rsidR="00A675D1" w:rsidRPr="004C5271">
        <w:rPr>
          <w:rFonts w:asciiTheme="majorBidi" w:hAnsiTheme="majorBidi" w:cstheme="majorBidi"/>
          <w:lang w:val="en-AU"/>
        </w:rPr>
        <w:t xml:space="preserve"> some </w:t>
      </w:r>
      <w:r w:rsidRPr="004C5271">
        <w:rPr>
          <w:rFonts w:asciiTheme="majorBidi" w:hAnsiTheme="majorBidi" w:cstheme="majorBidi"/>
          <w:lang w:val="en-AU"/>
        </w:rPr>
        <w:t xml:space="preserve">respondents </w:t>
      </w:r>
      <w:r w:rsidR="005C56E7" w:rsidRPr="004C5271">
        <w:rPr>
          <w:rFonts w:asciiTheme="majorBidi" w:hAnsiTheme="majorBidi" w:cstheme="majorBidi"/>
          <w:lang w:val="en-AU"/>
        </w:rPr>
        <w:t>shared</w:t>
      </w:r>
      <w:r w:rsidR="00A675D1" w:rsidRPr="004C5271">
        <w:rPr>
          <w:rFonts w:asciiTheme="majorBidi" w:hAnsiTheme="majorBidi" w:cstheme="majorBidi"/>
          <w:lang w:val="en-AU"/>
        </w:rPr>
        <w:t xml:space="preserve"> </w:t>
      </w:r>
      <w:r w:rsidR="005A5FE5" w:rsidRPr="004C5271">
        <w:rPr>
          <w:rFonts w:asciiTheme="majorBidi" w:hAnsiTheme="majorBidi" w:cstheme="majorBidi"/>
          <w:lang w:val="en-AU"/>
        </w:rPr>
        <w:t>highlighting</w:t>
      </w:r>
      <w:r w:rsidRPr="004C5271">
        <w:rPr>
          <w:rFonts w:asciiTheme="majorBidi" w:hAnsiTheme="majorBidi" w:cstheme="majorBidi"/>
          <w:lang w:val="en-AU"/>
        </w:rPr>
        <w:t xml:space="preserve"> the</w:t>
      </w:r>
      <w:r w:rsidR="00A675D1" w:rsidRPr="004C5271">
        <w:rPr>
          <w:rFonts w:asciiTheme="majorBidi" w:hAnsiTheme="majorBidi" w:cstheme="majorBidi"/>
          <w:lang w:val="en-AU"/>
        </w:rPr>
        <w:t xml:space="preserve"> detrimental</w:t>
      </w:r>
      <w:r w:rsidRPr="004C5271">
        <w:rPr>
          <w:rFonts w:asciiTheme="majorBidi" w:hAnsiTheme="majorBidi" w:cstheme="majorBidi"/>
          <w:lang w:val="en-AU"/>
        </w:rPr>
        <w:t xml:space="preserve"> impact the absence of notional estate legislation has had for </w:t>
      </w:r>
      <w:r w:rsidR="00A675D1" w:rsidRPr="004C5271">
        <w:rPr>
          <w:rFonts w:asciiTheme="majorBidi" w:hAnsiTheme="majorBidi" w:cstheme="majorBidi"/>
          <w:lang w:val="en-AU"/>
        </w:rPr>
        <w:t>them or their clients</w:t>
      </w:r>
      <w:r w:rsidRPr="004C5271">
        <w:rPr>
          <w:rFonts w:asciiTheme="majorBidi" w:hAnsiTheme="majorBidi" w:cstheme="majorBidi"/>
          <w:lang w:val="en-AU"/>
        </w:rPr>
        <w:t xml:space="preserve">. </w:t>
      </w:r>
      <w:r w:rsidR="00A675D1" w:rsidRPr="004C5271">
        <w:rPr>
          <w:rFonts w:asciiTheme="majorBidi" w:hAnsiTheme="majorBidi" w:cstheme="majorBidi"/>
          <w:lang w:val="en-AU"/>
        </w:rPr>
        <w:t xml:space="preserve">Arguments for notional estate based upon advancing the effectiveness of family provision legislation are persuasive, especially when </w:t>
      </w:r>
      <w:r w:rsidR="005A5FE5" w:rsidRPr="004C5271">
        <w:rPr>
          <w:rFonts w:asciiTheme="majorBidi" w:hAnsiTheme="majorBidi" w:cstheme="majorBidi"/>
          <w:lang w:val="en-AU"/>
        </w:rPr>
        <w:t>viewed</w:t>
      </w:r>
      <w:r w:rsidR="00A675D1" w:rsidRPr="004C5271">
        <w:rPr>
          <w:rFonts w:asciiTheme="majorBidi" w:hAnsiTheme="majorBidi" w:cstheme="majorBidi"/>
          <w:lang w:val="en-AU"/>
        </w:rPr>
        <w:t xml:space="preserve"> in the context of anti-avoidance provisions existing within other statutes.</w:t>
      </w:r>
    </w:p>
    <w:p w14:paraId="291E3B58" w14:textId="05E19AF6" w:rsidR="00AE4AE8" w:rsidRPr="004C5271" w:rsidRDefault="00AE4AE8" w:rsidP="00AE4AE8">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The </w:t>
      </w:r>
      <w:r w:rsidR="00A675D1" w:rsidRPr="004C5271">
        <w:rPr>
          <w:rFonts w:asciiTheme="majorBidi" w:hAnsiTheme="majorBidi" w:cstheme="majorBidi"/>
          <w:lang w:val="en-AU"/>
        </w:rPr>
        <w:t>division</w:t>
      </w:r>
      <w:r w:rsidRPr="004C5271">
        <w:rPr>
          <w:rFonts w:asciiTheme="majorBidi" w:hAnsiTheme="majorBidi" w:cstheme="majorBidi"/>
          <w:lang w:val="en-AU"/>
        </w:rPr>
        <w:t xml:space="preserve"> amongst respondents</w:t>
      </w:r>
      <w:r w:rsidR="00A675D1" w:rsidRPr="004C5271">
        <w:rPr>
          <w:rFonts w:asciiTheme="majorBidi" w:hAnsiTheme="majorBidi" w:cstheme="majorBidi"/>
          <w:lang w:val="en-AU"/>
        </w:rPr>
        <w:t xml:space="preserve">, </w:t>
      </w:r>
      <w:r w:rsidRPr="004C5271">
        <w:rPr>
          <w:rFonts w:asciiTheme="majorBidi" w:hAnsiTheme="majorBidi" w:cstheme="majorBidi"/>
          <w:lang w:val="en-AU"/>
        </w:rPr>
        <w:t>commentators</w:t>
      </w:r>
      <w:r w:rsidR="00A675D1" w:rsidRPr="004C5271">
        <w:rPr>
          <w:rFonts w:asciiTheme="majorBidi" w:hAnsiTheme="majorBidi" w:cstheme="majorBidi"/>
          <w:lang w:val="en-AU"/>
        </w:rPr>
        <w:t xml:space="preserve"> and law reform commissions </w:t>
      </w:r>
      <w:r w:rsidRPr="004C5271">
        <w:rPr>
          <w:rFonts w:asciiTheme="majorBidi" w:hAnsiTheme="majorBidi" w:cstheme="majorBidi"/>
          <w:lang w:val="en-AU"/>
        </w:rPr>
        <w:t xml:space="preserve">and the </w:t>
      </w:r>
      <w:r w:rsidR="005A5FE5" w:rsidRPr="004C5271">
        <w:rPr>
          <w:rFonts w:asciiTheme="majorBidi" w:hAnsiTheme="majorBidi" w:cstheme="majorBidi"/>
          <w:lang w:val="en-AU"/>
        </w:rPr>
        <w:t>varied</w:t>
      </w:r>
      <w:r w:rsidR="00F06B5C" w:rsidRPr="004C5271">
        <w:rPr>
          <w:rFonts w:asciiTheme="majorBidi" w:hAnsiTheme="majorBidi" w:cstheme="majorBidi"/>
          <w:lang w:val="en-AU"/>
        </w:rPr>
        <w:t xml:space="preserve"> approaches</w:t>
      </w:r>
      <w:r w:rsidR="00A675D1" w:rsidRPr="004C5271">
        <w:rPr>
          <w:rFonts w:asciiTheme="majorBidi" w:hAnsiTheme="majorBidi" w:cstheme="majorBidi"/>
          <w:lang w:val="en-AU"/>
        </w:rPr>
        <w:t xml:space="preserve"> </w:t>
      </w:r>
      <w:r w:rsidR="00F06B5C" w:rsidRPr="004C5271">
        <w:rPr>
          <w:rFonts w:asciiTheme="majorBidi" w:hAnsiTheme="majorBidi" w:cstheme="majorBidi"/>
          <w:lang w:val="en-AU"/>
        </w:rPr>
        <w:t>internationally and within Australia demonstrates that there is no clear or definite answer to the question of whether family provision laws should contain notional estate-style provisions</w:t>
      </w:r>
      <w:r w:rsidR="005A5FE5" w:rsidRPr="004C5271">
        <w:rPr>
          <w:rFonts w:asciiTheme="majorBidi" w:hAnsiTheme="majorBidi" w:cstheme="majorBidi"/>
          <w:lang w:val="en-AU"/>
        </w:rPr>
        <w:t xml:space="preserve"> and</w:t>
      </w:r>
      <w:r w:rsidR="005573A9" w:rsidRPr="004C5271">
        <w:rPr>
          <w:rFonts w:asciiTheme="majorBidi" w:hAnsiTheme="majorBidi" w:cstheme="majorBidi"/>
          <w:lang w:val="en-AU"/>
        </w:rPr>
        <w:t>,</w:t>
      </w:r>
      <w:r w:rsidR="005A5FE5" w:rsidRPr="004C5271">
        <w:rPr>
          <w:rFonts w:asciiTheme="majorBidi" w:hAnsiTheme="majorBidi" w:cstheme="majorBidi"/>
          <w:lang w:val="en-AU"/>
        </w:rPr>
        <w:t xml:space="preserve"> if so</w:t>
      </w:r>
      <w:r w:rsidR="005573A9" w:rsidRPr="004C5271">
        <w:rPr>
          <w:rFonts w:asciiTheme="majorBidi" w:hAnsiTheme="majorBidi" w:cstheme="majorBidi"/>
          <w:lang w:val="en-AU"/>
        </w:rPr>
        <w:t>,</w:t>
      </w:r>
      <w:r w:rsidR="005A5FE5" w:rsidRPr="004C5271">
        <w:rPr>
          <w:rFonts w:asciiTheme="majorBidi" w:hAnsiTheme="majorBidi" w:cstheme="majorBidi"/>
          <w:lang w:val="en-AU"/>
        </w:rPr>
        <w:t xml:space="preserve"> the scope of those laws.</w:t>
      </w:r>
    </w:p>
    <w:p w14:paraId="026DA920" w14:textId="76D759B6" w:rsidR="00A675D1" w:rsidRPr="004C5271" w:rsidRDefault="00A675D1" w:rsidP="00A675D1">
      <w:pPr>
        <w:pStyle w:val="NormalNumberedTextTLRI"/>
        <w:rPr>
          <w:rFonts w:asciiTheme="majorBidi" w:hAnsiTheme="majorBidi" w:cstheme="majorBidi"/>
          <w:lang w:val="en-AU"/>
        </w:rPr>
      </w:pPr>
      <w:r w:rsidRPr="004C5271">
        <w:rPr>
          <w:rFonts w:asciiTheme="majorBidi" w:hAnsiTheme="majorBidi" w:cstheme="majorBidi"/>
          <w:lang w:val="en-AU"/>
        </w:rPr>
        <w:t xml:space="preserve">The first consideration is the degree to which there is a need for reform. Submissions demonstrate that there is at least a certain proportion of the population who have been unable to pursue claims under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because assets passed outside of the estate environment or were transferred prior to death. As noted earlier in this </w:t>
      </w:r>
      <w:r w:rsidR="00564E44" w:rsidRPr="004C5271">
        <w:rPr>
          <w:rFonts w:asciiTheme="majorBidi" w:hAnsiTheme="majorBidi" w:cstheme="majorBidi"/>
          <w:lang w:val="en-AU"/>
        </w:rPr>
        <w:t>p</w:t>
      </w:r>
      <w:r w:rsidRPr="004C5271">
        <w:rPr>
          <w:rFonts w:asciiTheme="majorBidi" w:hAnsiTheme="majorBidi" w:cstheme="majorBidi"/>
          <w:lang w:val="en-AU"/>
        </w:rPr>
        <w:t xml:space="preserve">art, the extent to which this occurs remains unquantified and has not been demonstrated through empirical evidence. This means that </w:t>
      </w:r>
      <w:r w:rsidR="00351326" w:rsidRPr="004C5271">
        <w:rPr>
          <w:rFonts w:asciiTheme="majorBidi" w:hAnsiTheme="majorBidi" w:cstheme="majorBidi"/>
          <w:lang w:val="en-AU"/>
        </w:rPr>
        <w:t xml:space="preserve">it </w:t>
      </w:r>
      <w:r w:rsidRPr="004C5271">
        <w:rPr>
          <w:rFonts w:asciiTheme="majorBidi" w:hAnsiTheme="majorBidi" w:cstheme="majorBidi"/>
          <w:lang w:val="en-AU"/>
        </w:rPr>
        <w:t xml:space="preserve">is not possible for the Institute to </w:t>
      </w:r>
      <w:r w:rsidR="006C546A" w:rsidRPr="004C5271">
        <w:rPr>
          <w:rFonts w:asciiTheme="majorBidi" w:hAnsiTheme="majorBidi" w:cstheme="majorBidi"/>
          <w:lang w:val="en-AU"/>
        </w:rPr>
        <w:t xml:space="preserve">reach a </w:t>
      </w:r>
      <w:r w:rsidRPr="004C5271">
        <w:rPr>
          <w:rFonts w:asciiTheme="majorBidi" w:hAnsiTheme="majorBidi" w:cstheme="majorBidi"/>
          <w:lang w:val="en-AU"/>
        </w:rPr>
        <w:t>conclu</w:t>
      </w:r>
      <w:r w:rsidR="006C546A" w:rsidRPr="004C5271">
        <w:rPr>
          <w:rFonts w:asciiTheme="majorBidi" w:hAnsiTheme="majorBidi" w:cstheme="majorBidi"/>
          <w:lang w:val="en-AU"/>
        </w:rPr>
        <w:t>sion about</w:t>
      </w:r>
      <w:r w:rsidRPr="004C5271">
        <w:rPr>
          <w:rFonts w:asciiTheme="majorBidi" w:hAnsiTheme="majorBidi" w:cstheme="majorBidi"/>
          <w:lang w:val="en-AU"/>
        </w:rPr>
        <w:t xml:space="preserve"> the extent of the problem that notional estate laws are intended to address.</w:t>
      </w:r>
    </w:p>
    <w:p w14:paraId="780F6A4B" w14:textId="5D82213D" w:rsidR="00A675D1" w:rsidRPr="004C5271" w:rsidRDefault="00A675D1" w:rsidP="00AE4AE8">
      <w:pPr>
        <w:pStyle w:val="NormalNumberedTextTLRI"/>
        <w:rPr>
          <w:rFonts w:asciiTheme="majorBidi" w:hAnsiTheme="majorBidi" w:cstheme="majorBidi"/>
          <w:lang w:val="en-AU"/>
        </w:rPr>
      </w:pPr>
      <w:r w:rsidRPr="004C5271">
        <w:rPr>
          <w:rFonts w:asciiTheme="majorBidi" w:hAnsiTheme="majorBidi" w:cstheme="majorBidi"/>
          <w:lang w:val="en-AU"/>
        </w:rPr>
        <w:t>Accepting that there is a</w:t>
      </w:r>
      <w:r w:rsidR="005A5FE5" w:rsidRPr="004C5271">
        <w:rPr>
          <w:rFonts w:asciiTheme="majorBidi" w:hAnsiTheme="majorBidi" w:cstheme="majorBidi"/>
          <w:lang w:val="en-AU"/>
        </w:rPr>
        <w:t xml:space="preserve">t least a </w:t>
      </w:r>
      <w:r w:rsidR="00C33FCA" w:rsidRPr="004C5271">
        <w:rPr>
          <w:rFonts w:asciiTheme="majorBidi" w:hAnsiTheme="majorBidi" w:cstheme="majorBidi"/>
          <w:lang w:val="en-AU"/>
        </w:rPr>
        <w:t xml:space="preserve">certain </w:t>
      </w:r>
      <w:r w:rsidR="005A5FE5" w:rsidRPr="004C5271">
        <w:rPr>
          <w:rFonts w:asciiTheme="majorBidi" w:hAnsiTheme="majorBidi" w:cstheme="majorBidi"/>
          <w:lang w:val="en-AU"/>
        </w:rPr>
        <w:t xml:space="preserve">number of individuals adversely impacted by the absence of notional estate laws and that </w:t>
      </w:r>
      <w:r w:rsidR="006C546A" w:rsidRPr="004C5271">
        <w:rPr>
          <w:rFonts w:asciiTheme="majorBidi" w:hAnsiTheme="majorBidi" w:cstheme="majorBidi"/>
          <w:lang w:val="en-AU"/>
        </w:rPr>
        <w:t xml:space="preserve">such laws </w:t>
      </w:r>
      <w:r w:rsidR="005A5FE5" w:rsidRPr="004C5271">
        <w:rPr>
          <w:rFonts w:asciiTheme="majorBidi" w:hAnsiTheme="majorBidi" w:cstheme="majorBidi"/>
          <w:lang w:val="en-AU"/>
        </w:rPr>
        <w:t xml:space="preserve">further the objectives and effectiveness of the </w:t>
      </w:r>
      <w:r w:rsidR="005A5FE5" w:rsidRPr="004C5271">
        <w:rPr>
          <w:rFonts w:asciiTheme="majorBidi" w:hAnsiTheme="majorBidi" w:cstheme="majorBidi"/>
          <w:i/>
          <w:iCs/>
          <w:lang w:val="en-AU"/>
        </w:rPr>
        <w:t>TFM Act</w:t>
      </w:r>
      <w:r w:rsidR="005A5FE5" w:rsidRPr="004C5271">
        <w:rPr>
          <w:rFonts w:asciiTheme="majorBidi" w:hAnsiTheme="majorBidi" w:cstheme="majorBidi"/>
          <w:lang w:val="en-AU"/>
        </w:rPr>
        <w:t xml:space="preserve">, the </w:t>
      </w:r>
      <w:r w:rsidR="00BF51D7" w:rsidRPr="004C5271">
        <w:rPr>
          <w:rFonts w:asciiTheme="majorBidi" w:hAnsiTheme="majorBidi" w:cstheme="majorBidi"/>
          <w:lang w:val="en-AU"/>
        </w:rPr>
        <w:t>question</w:t>
      </w:r>
      <w:r w:rsidR="00DC7DA1" w:rsidRPr="004C5271">
        <w:rPr>
          <w:rFonts w:asciiTheme="majorBidi" w:hAnsiTheme="majorBidi" w:cstheme="majorBidi"/>
          <w:lang w:val="en-AU"/>
        </w:rPr>
        <w:t xml:space="preserve"> that follows</w:t>
      </w:r>
      <w:r w:rsidR="005A5FE5" w:rsidRPr="004C5271">
        <w:rPr>
          <w:rFonts w:asciiTheme="majorBidi" w:hAnsiTheme="majorBidi" w:cstheme="majorBidi"/>
          <w:lang w:val="en-AU"/>
        </w:rPr>
        <w:t xml:space="preserve"> is </w:t>
      </w:r>
      <w:r w:rsidR="00DC7DA1" w:rsidRPr="004C5271">
        <w:rPr>
          <w:rFonts w:asciiTheme="majorBidi" w:hAnsiTheme="majorBidi" w:cstheme="majorBidi"/>
          <w:lang w:val="en-AU"/>
        </w:rPr>
        <w:t xml:space="preserve">what are </w:t>
      </w:r>
      <w:r w:rsidR="00BF51D7" w:rsidRPr="004C5271">
        <w:rPr>
          <w:rFonts w:asciiTheme="majorBidi" w:hAnsiTheme="majorBidi" w:cstheme="majorBidi"/>
          <w:lang w:val="en-AU"/>
        </w:rPr>
        <w:t>the potential cost</w:t>
      </w:r>
      <w:r w:rsidR="00DC7DA1" w:rsidRPr="004C5271">
        <w:rPr>
          <w:rFonts w:asciiTheme="majorBidi" w:hAnsiTheme="majorBidi" w:cstheme="majorBidi"/>
          <w:lang w:val="en-AU"/>
        </w:rPr>
        <w:t>s</w:t>
      </w:r>
      <w:r w:rsidR="00BF51D7" w:rsidRPr="004C5271">
        <w:rPr>
          <w:rFonts w:asciiTheme="majorBidi" w:hAnsiTheme="majorBidi" w:cstheme="majorBidi"/>
          <w:lang w:val="en-AU"/>
        </w:rPr>
        <w:t xml:space="preserve"> or problems </w:t>
      </w:r>
      <w:r w:rsidR="00DC7DA1" w:rsidRPr="004C5271">
        <w:rPr>
          <w:rFonts w:asciiTheme="majorBidi" w:hAnsiTheme="majorBidi" w:cstheme="majorBidi"/>
          <w:lang w:val="en-AU"/>
        </w:rPr>
        <w:t>with</w:t>
      </w:r>
      <w:r w:rsidR="00BF51D7" w:rsidRPr="004C5271">
        <w:rPr>
          <w:rFonts w:asciiTheme="majorBidi" w:hAnsiTheme="majorBidi" w:cstheme="majorBidi"/>
          <w:lang w:val="en-AU"/>
        </w:rPr>
        <w:t xml:space="preserve"> notional estate laws</w:t>
      </w:r>
      <w:r w:rsidR="00DC7DA1" w:rsidRPr="004C5271">
        <w:rPr>
          <w:rFonts w:asciiTheme="majorBidi" w:hAnsiTheme="majorBidi" w:cstheme="majorBidi"/>
          <w:lang w:val="en-AU"/>
        </w:rPr>
        <w:t>?</w:t>
      </w:r>
      <w:r w:rsidR="00BF51D7" w:rsidRPr="004C5271">
        <w:rPr>
          <w:rFonts w:asciiTheme="majorBidi" w:hAnsiTheme="majorBidi" w:cstheme="majorBidi"/>
          <w:lang w:val="en-AU"/>
        </w:rPr>
        <w:t xml:space="preserve"> </w:t>
      </w:r>
      <w:r w:rsidR="00B32DE9" w:rsidRPr="004C5271">
        <w:rPr>
          <w:rFonts w:asciiTheme="majorBidi" w:hAnsiTheme="majorBidi" w:cstheme="majorBidi"/>
          <w:lang w:val="en-AU"/>
        </w:rPr>
        <w:t>R</w:t>
      </w:r>
      <w:r w:rsidR="005A5FE5" w:rsidRPr="004C5271">
        <w:rPr>
          <w:rFonts w:asciiTheme="majorBidi" w:hAnsiTheme="majorBidi" w:cstheme="majorBidi"/>
          <w:lang w:val="en-AU"/>
        </w:rPr>
        <w:t xml:space="preserve">isks </w:t>
      </w:r>
      <w:r w:rsidR="00BF51D7" w:rsidRPr="004C5271">
        <w:rPr>
          <w:rFonts w:asciiTheme="majorBidi" w:hAnsiTheme="majorBidi" w:cstheme="majorBidi"/>
          <w:lang w:val="en-AU"/>
        </w:rPr>
        <w:t xml:space="preserve">that respondents </w:t>
      </w:r>
      <w:r w:rsidR="005A5FE5" w:rsidRPr="004C5271">
        <w:rPr>
          <w:rFonts w:asciiTheme="majorBidi" w:hAnsiTheme="majorBidi" w:cstheme="majorBidi"/>
          <w:lang w:val="en-AU"/>
        </w:rPr>
        <w:t>identified includ</w:t>
      </w:r>
      <w:r w:rsidR="00BF51D7" w:rsidRPr="004C5271">
        <w:rPr>
          <w:rFonts w:asciiTheme="majorBidi" w:hAnsiTheme="majorBidi" w:cstheme="majorBidi"/>
          <w:lang w:val="en-AU"/>
        </w:rPr>
        <w:t>e</w:t>
      </w:r>
      <w:r w:rsidR="005A5FE5" w:rsidRPr="004C5271">
        <w:rPr>
          <w:rFonts w:asciiTheme="majorBidi" w:hAnsiTheme="majorBidi" w:cstheme="majorBidi"/>
          <w:lang w:val="en-AU"/>
        </w:rPr>
        <w:t xml:space="preserve"> a</w:t>
      </w:r>
      <w:r w:rsidR="00BF51D7" w:rsidRPr="004C5271">
        <w:rPr>
          <w:rFonts w:asciiTheme="majorBidi" w:hAnsiTheme="majorBidi" w:cstheme="majorBidi"/>
          <w:lang w:val="en-AU"/>
        </w:rPr>
        <w:t xml:space="preserve"> potential</w:t>
      </w:r>
      <w:r w:rsidR="005A5FE5" w:rsidRPr="004C5271">
        <w:rPr>
          <w:rFonts w:asciiTheme="majorBidi" w:hAnsiTheme="majorBidi" w:cstheme="majorBidi"/>
          <w:lang w:val="en-AU"/>
        </w:rPr>
        <w:t xml:space="preserve"> increase in legal costs</w:t>
      </w:r>
      <w:r w:rsidR="00BF51D7" w:rsidRPr="004C5271">
        <w:rPr>
          <w:rFonts w:asciiTheme="majorBidi" w:hAnsiTheme="majorBidi" w:cstheme="majorBidi"/>
          <w:lang w:val="en-AU"/>
        </w:rPr>
        <w:t xml:space="preserve"> and</w:t>
      </w:r>
      <w:r w:rsidR="005A5FE5" w:rsidRPr="004C5271">
        <w:rPr>
          <w:rFonts w:asciiTheme="majorBidi" w:hAnsiTheme="majorBidi" w:cstheme="majorBidi"/>
          <w:lang w:val="en-AU"/>
        </w:rPr>
        <w:t xml:space="preserve"> the length of estate </w:t>
      </w:r>
      <w:r w:rsidR="00BF51D7" w:rsidRPr="004C5271">
        <w:rPr>
          <w:rFonts w:asciiTheme="majorBidi" w:hAnsiTheme="majorBidi" w:cstheme="majorBidi"/>
          <w:lang w:val="en-AU"/>
        </w:rPr>
        <w:t xml:space="preserve">administration. </w:t>
      </w:r>
      <w:r w:rsidR="005A5FE5" w:rsidRPr="004C5271">
        <w:rPr>
          <w:rFonts w:asciiTheme="majorBidi" w:hAnsiTheme="majorBidi" w:cstheme="majorBidi"/>
          <w:lang w:val="en-AU"/>
        </w:rPr>
        <w:t xml:space="preserve">A lack of certainty </w:t>
      </w:r>
      <w:r w:rsidR="00B32DE9" w:rsidRPr="004C5271">
        <w:rPr>
          <w:rFonts w:asciiTheme="majorBidi" w:hAnsiTheme="majorBidi" w:cstheme="majorBidi"/>
          <w:lang w:val="en-AU"/>
        </w:rPr>
        <w:t xml:space="preserve">for individuals </w:t>
      </w:r>
      <w:r w:rsidR="005A5FE5" w:rsidRPr="004C5271">
        <w:rPr>
          <w:rFonts w:asciiTheme="majorBidi" w:hAnsiTheme="majorBidi" w:cstheme="majorBidi"/>
          <w:lang w:val="en-AU"/>
        </w:rPr>
        <w:t xml:space="preserve">and the prospect of an increase in litigation and unmeritorious claims </w:t>
      </w:r>
      <w:r w:rsidR="00BF51D7" w:rsidRPr="004C5271">
        <w:rPr>
          <w:rFonts w:asciiTheme="majorBidi" w:hAnsiTheme="majorBidi" w:cstheme="majorBidi"/>
          <w:lang w:val="en-AU"/>
        </w:rPr>
        <w:t xml:space="preserve">were also raised as problems. </w:t>
      </w:r>
      <w:r w:rsidR="00D44478" w:rsidRPr="004C5271">
        <w:rPr>
          <w:rFonts w:asciiTheme="majorBidi" w:hAnsiTheme="majorBidi" w:cstheme="majorBidi"/>
          <w:lang w:val="en-AU"/>
        </w:rPr>
        <w:t xml:space="preserve">These issues would likely affect a large proportion of the population </w:t>
      </w:r>
      <w:r w:rsidR="00F679A3" w:rsidRPr="004C5271">
        <w:rPr>
          <w:rFonts w:asciiTheme="majorBidi" w:hAnsiTheme="majorBidi" w:cstheme="majorBidi"/>
          <w:lang w:val="en-AU"/>
        </w:rPr>
        <w:t xml:space="preserve">as </w:t>
      </w:r>
      <w:r w:rsidR="00D44478" w:rsidRPr="004C5271">
        <w:rPr>
          <w:rFonts w:asciiTheme="majorBidi" w:hAnsiTheme="majorBidi" w:cstheme="majorBidi"/>
          <w:lang w:val="en-AU"/>
        </w:rPr>
        <w:t>will</w:t>
      </w:r>
      <w:r w:rsidR="000B7F3C" w:rsidRPr="004C5271">
        <w:rPr>
          <w:rFonts w:asciiTheme="majorBidi" w:hAnsiTheme="majorBidi" w:cstheme="majorBidi"/>
          <w:lang w:val="en-AU"/>
        </w:rPr>
        <w:t>-</w:t>
      </w:r>
      <w:r w:rsidR="00D44478" w:rsidRPr="004C5271">
        <w:rPr>
          <w:rFonts w:asciiTheme="majorBidi" w:hAnsiTheme="majorBidi" w:cstheme="majorBidi"/>
          <w:lang w:val="en-AU"/>
        </w:rPr>
        <w:t>makers</w:t>
      </w:r>
      <w:r w:rsidR="00F679A3" w:rsidRPr="004C5271">
        <w:rPr>
          <w:rFonts w:asciiTheme="majorBidi" w:hAnsiTheme="majorBidi" w:cstheme="majorBidi"/>
          <w:lang w:val="en-AU"/>
        </w:rPr>
        <w:t xml:space="preserve">, </w:t>
      </w:r>
      <w:r w:rsidR="00D44478" w:rsidRPr="004C5271">
        <w:rPr>
          <w:rFonts w:asciiTheme="majorBidi" w:hAnsiTheme="majorBidi" w:cstheme="majorBidi"/>
          <w:lang w:val="en-AU"/>
        </w:rPr>
        <w:t xml:space="preserve">beneficiaries or family members of a deceased. </w:t>
      </w:r>
      <w:r w:rsidR="00F679A3" w:rsidRPr="004C5271">
        <w:rPr>
          <w:rFonts w:asciiTheme="majorBidi" w:hAnsiTheme="majorBidi" w:cstheme="majorBidi"/>
          <w:lang w:val="en-AU"/>
        </w:rPr>
        <w:t>Many</w:t>
      </w:r>
      <w:r w:rsidR="006C546A" w:rsidRPr="004C5271">
        <w:rPr>
          <w:rFonts w:asciiTheme="majorBidi" w:hAnsiTheme="majorBidi" w:cstheme="majorBidi"/>
          <w:lang w:val="en-AU"/>
        </w:rPr>
        <w:t xml:space="preserve"> of those potentially</w:t>
      </w:r>
      <w:r w:rsidR="00F679A3" w:rsidRPr="004C5271">
        <w:rPr>
          <w:rFonts w:asciiTheme="majorBidi" w:hAnsiTheme="majorBidi" w:cstheme="majorBidi"/>
          <w:lang w:val="en-AU"/>
        </w:rPr>
        <w:t xml:space="preserve"> </w:t>
      </w:r>
      <w:r w:rsidR="00C33FCA" w:rsidRPr="004C5271">
        <w:rPr>
          <w:rFonts w:asciiTheme="majorBidi" w:hAnsiTheme="majorBidi" w:cstheme="majorBidi"/>
          <w:lang w:val="en-AU"/>
        </w:rPr>
        <w:t xml:space="preserve">affected </w:t>
      </w:r>
      <w:r w:rsidR="005573A9" w:rsidRPr="004C5271">
        <w:rPr>
          <w:rFonts w:asciiTheme="majorBidi" w:hAnsiTheme="majorBidi" w:cstheme="majorBidi"/>
          <w:lang w:val="en-AU"/>
        </w:rPr>
        <w:t>w</w:t>
      </w:r>
      <w:r w:rsidR="00F679A3" w:rsidRPr="004C5271">
        <w:rPr>
          <w:rFonts w:asciiTheme="majorBidi" w:hAnsiTheme="majorBidi" w:cstheme="majorBidi"/>
          <w:lang w:val="en-AU"/>
        </w:rPr>
        <w:t xml:space="preserve">ould be described as ‘innocent’ given respondents’ advice that </w:t>
      </w:r>
      <w:r w:rsidR="005573A9" w:rsidRPr="004C5271">
        <w:rPr>
          <w:rFonts w:asciiTheme="majorBidi" w:hAnsiTheme="majorBidi" w:cstheme="majorBidi"/>
          <w:lang w:val="en-AU"/>
        </w:rPr>
        <w:t>most</w:t>
      </w:r>
      <w:r w:rsidR="00F679A3" w:rsidRPr="004C5271">
        <w:rPr>
          <w:rFonts w:asciiTheme="majorBidi" w:hAnsiTheme="majorBidi" w:cstheme="majorBidi"/>
          <w:lang w:val="en-AU"/>
        </w:rPr>
        <w:t xml:space="preserve"> will</w:t>
      </w:r>
      <w:r w:rsidR="000B7F3C" w:rsidRPr="004C5271">
        <w:rPr>
          <w:rFonts w:asciiTheme="majorBidi" w:hAnsiTheme="majorBidi" w:cstheme="majorBidi"/>
          <w:lang w:val="en-AU"/>
        </w:rPr>
        <w:t>-</w:t>
      </w:r>
      <w:r w:rsidR="00F679A3" w:rsidRPr="004C5271">
        <w:rPr>
          <w:rFonts w:asciiTheme="majorBidi" w:hAnsiTheme="majorBidi" w:cstheme="majorBidi"/>
          <w:lang w:val="en-AU"/>
        </w:rPr>
        <w:t xml:space="preserve">makers do not depart from what </w:t>
      </w:r>
      <w:r w:rsidR="005573A9" w:rsidRPr="004C5271">
        <w:rPr>
          <w:rFonts w:asciiTheme="majorBidi" w:hAnsiTheme="majorBidi" w:cstheme="majorBidi"/>
          <w:lang w:val="en-AU"/>
        </w:rPr>
        <w:t>many may</w:t>
      </w:r>
      <w:r w:rsidR="00F679A3" w:rsidRPr="004C5271">
        <w:rPr>
          <w:rFonts w:asciiTheme="majorBidi" w:hAnsiTheme="majorBidi" w:cstheme="majorBidi"/>
          <w:lang w:val="en-AU"/>
        </w:rPr>
        <w:t xml:space="preserve"> view</w:t>
      </w:r>
      <w:r w:rsidR="005573A9" w:rsidRPr="004C5271">
        <w:rPr>
          <w:rFonts w:asciiTheme="majorBidi" w:hAnsiTheme="majorBidi" w:cstheme="majorBidi"/>
          <w:lang w:val="en-AU"/>
        </w:rPr>
        <w:t xml:space="preserve"> </w:t>
      </w:r>
      <w:r w:rsidR="00F679A3" w:rsidRPr="004C5271">
        <w:rPr>
          <w:rFonts w:asciiTheme="majorBidi" w:hAnsiTheme="majorBidi" w:cstheme="majorBidi"/>
          <w:lang w:val="en-AU"/>
        </w:rPr>
        <w:t xml:space="preserve">as adequate provision for family and that even fewer still take active steps to structure their affairs to intentionally avoid claims. </w:t>
      </w:r>
    </w:p>
    <w:p w14:paraId="5F9A8C4B" w14:textId="58F8443F" w:rsidR="00673C6D" w:rsidRPr="004C5271" w:rsidRDefault="00BF51D7" w:rsidP="00BB314A">
      <w:pPr>
        <w:pStyle w:val="NormalNumberedTextTLRI"/>
        <w:rPr>
          <w:rFonts w:asciiTheme="majorBidi" w:hAnsiTheme="majorBidi" w:cstheme="majorBidi"/>
          <w:lang w:val="en-AU"/>
        </w:rPr>
      </w:pPr>
      <w:r w:rsidRPr="004C5271">
        <w:rPr>
          <w:rFonts w:asciiTheme="majorBidi" w:hAnsiTheme="majorBidi" w:cstheme="majorBidi"/>
          <w:lang w:val="en-AU"/>
        </w:rPr>
        <w:t>The impact of notional estate laws from a rights perspective</w:t>
      </w:r>
      <w:r w:rsidR="00B32DE9" w:rsidRPr="004C5271">
        <w:rPr>
          <w:rFonts w:asciiTheme="majorBidi" w:hAnsiTheme="majorBidi" w:cstheme="majorBidi"/>
          <w:lang w:val="en-AU"/>
        </w:rPr>
        <w:t xml:space="preserve"> also </w:t>
      </w:r>
      <w:r w:rsidR="00BB314A" w:rsidRPr="004C5271">
        <w:rPr>
          <w:rFonts w:asciiTheme="majorBidi" w:hAnsiTheme="majorBidi" w:cstheme="majorBidi"/>
          <w:lang w:val="en-AU"/>
        </w:rPr>
        <w:t xml:space="preserve">does not </w:t>
      </w:r>
      <w:r w:rsidR="00B32DE9" w:rsidRPr="004C5271">
        <w:rPr>
          <w:rFonts w:asciiTheme="majorBidi" w:hAnsiTheme="majorBidi" w:cstheme="majorBidi"/>
          <w:lang w:val="en-AU"/>
        </w:rPr>
        <w:t>produce</w:t>
      </w:r>
      <w:r w:rsidR="00BB314A" w:rsidRPr="004C5271">
        <w:rPr>
          <w:rFonts w:asciiTheme="majorBidi" w:hAnsiTheme="majorBidi" w:cstheme="majorBidi"/>
          <w:lang w:val="en-AU"/>
        </w:rPr>
        <w:t xml:space="preserve"> straightforward result</w:t>
      </w:r>
      <w:r w:rsidR="00B32DE9" w:rsidRPr="004C5271">
        <w:rPr>
          <w:rFonts w:asciiTheme="majorBidi" w:hAnsiTheme="majorBidi" w:cstheme="majorBidi"/>
          <w:lang w:val="en-AU"/>
        </w:rPr>
        <w:t>s</w:t>
      </w:r>
      <w:r w:rsidR="00BB314A" w:rsidRPr="004C5271">
        <w:rPr>
          <w:rFonts w:asciiTheme="majorBidi" w:hAnsiTheme="majorBidi" w:cstheme="majorBidi"/>
          <w:lang w:val="en-AU"/>
        </w:rPr>
        <w:t>. On the one hand, individuals must have equal access to the law. It could be said that the absence of notional estate law</w:t>
      </w:r>
      <w:r w:rsidR="00BE5E66" w:rsidRPr="004C5271">
        <w:rPr>
          <w:rFonts w:asciiTheme="majorBidi" w:hAnsiTheme="majorBidi" w:cstheme="majorBidi"/>
          <w:lang w:val="en-AU"/>
        </w:rPr>
        <w:t>s</w:t>
      </w:r>
      <w:r w:rsidR="00BB314A" w:rsidRPr="004C5271">
        <w:rPr>
          <w:rFonts w:asciiTheme="majorBidi" w:hAnsiTheme="majorBidi" w:cstheme="majorBidi"/>
          <w:lang w:val="en-AU"/>
        </w:rPr>
        <w:t xml:space="preserve"> precludes equal access </w:t>
      </w:r>
      <w:r w:rsidR="00B32DE9" w:rsidRPr="004C5271">
        <w:rPr>
          <w:rFonts w:asciiTheme="majorBidi" w:hAnsiTheme="majorBidi" w:cstheme="majorBidi"/>
          <w:lang w:val="en-AU"/>
        </w:rPr>
        <w:t xml:space="preserve">for people </w:t>
      </w:r>
      <w:r w:rsidR="00BB314A" w:rsidRPr="004C5271">
        <w:rPr>
          <w:rFonts w:asciiTheme="majorBidi" w:hAnsiTheme="majorBidi" w:cstheme="majorBidi"/>
          <w:lang w:val="en-AU"/>
        </w:rPr>
        <w:t>to pursue claims under the</w:t>
      </w:r>
      <w:r w:rsidR="00BB314A" w:rsidRPr="004C5271">
        <w:rPr>
          <w:rFonts w:asciiTheme="majorBidi" w:hAnsiTheme="majorBidi" w:cstheme="majorBidi"/>
          <w:i/>
          <w:iCs/>
          <w:lang w:val="en-AU"/>
        </w:rPr>
        <w:t xml:space="preserve"> TFM</w:t>
      </w:r>
      <w:r w:rsidR="00BB314A" w:rsidRPr="004C5271">
        <w:rPr>
          <w:rFonts w:asciiTheme="majorBidi" w:hAnsiTheme="majorBidi" w:cstheme="majorBidi"/>
          <w:lang w:val="en-AU"/>
        </w:rPr>
        <w:t xml:space="preserve"> </w:t>
      </w:r>
      <w:r w:rsidR="00BB314A" w:rsidRPr="004C5271">
        <w:rPr>
          <w:rFonts w:asciiTheme="majorBidi" w:hAnsiTheme="majorBidi" w:cstheme="majorBidi"/>
          <w:i/>
          <w:iCs/>
          <w:lang w:val="en-AU"/>
        </w:rPr>
        <w:t>Act</w:t>
      </w:r>
      <w:r w:rsidR="00BB314A" w:rsidRPr="004C5271">
        <w:rPr>
          <w:rFonts w:asciiTheme="majorBidi" w:hAnsiTheme="majorBidi" w:cstheme="majorBidi"/>
          <w:lang w:val="en-AU"/>
        </w:rPr>
        <w:t xml:space="preserve"> and that notional estate law</w:t>
      </w:r>
      <w:r w:rsidR="00B32DE9" w:rsidRPr="004C5271">
        <w:rPr>
          <w:rFonts w:asciiTheme="majorBidi" w:hAnsiTheme="majorBidi" w:cstheme="majorBidi"/>
          <w:lang w:val="en-AU"/>
        </w:rPr>
        <w:t>s</w:t>
      </w:r>
      <w:r w:rsidR="00BB314A" w:rsidRPr="004C5271">
        <w:rPr>
          <w:rFonts w:asciiTheme="majorBidi" w:hAnsiTheme="majorBidi" w:cstheme="majorBidi"/>
          <w:lang w:val="en-AU"/>
        </w:rPr>
        <w:t xml:space="preserve"> thus advance equal access to the law. But </w:t>
      </w:r>
      <w:r w:rsidR="00921BED" w:rsidRPr="004C5271">
        <w:rPr>
          <w:rFonts w:asciiTheme="majorBidi" w:hAnsiTheme="majorBidi" w:cstheme="majorBidi"/>
          <w:lang w:val="en-AU"/>
        </w:rPr>
        <w:t xml:space="preserve">as noted previously in this report, </w:t>
      </w:r>
      <w:r w:rsidR="00BB314A" w:rsidRPr="004C5271">
        <w:rPr>
          <w:rFonts w:asciiTheme="majorBidi" w:hAnsiTheme="majorBidi" w:cstheme="majorBidi"/>
          <w:lang w:val="en-AU"/>
        </w:rPr>
        <w:t xml:space="preserve">the </w:t>
      </w:r>
      <w:r w:rsidR="00B32DE9" w:rsidRPr="004C5271">
        <w:rPr>
          <w:rFonts w:asciiTheme="majorBidi" w:hAnsiTheme="majorBidi" w:cstheme="majorBidi"/>
          <w:lang w:val="en-AU"/>
        </w:rPr>
        <w:t>situation</w:t>
      </w:r>
      <w:r w:rsidR="00BB314A" w:rsidRPr="004C5271">
        <w:rPr>
          <w:rFonts w:asciiTheme="majorBidi" w:hAnsiTheme="majorBidi" w:cstheme="majorBidi"/>
          <w:lang w:val="en-AU"/>
        </w:rPr>
        <w:t xml:space="preserve"> is </w:t>
      </w:r>
      <w:r w:rsidR="00673C6D" w:rsidRPr="004C5271">
        <w:rPr>
          <w:rFonts w:asciiTheme="majorBidi" w:hAnsiTheme="majorBidi" w:cstheme="majorBidi"/>
          <w:lang w:val="en-AU"/>
        </w:rPr>
        <w:t xml:space="preserve">perhaps </w:t>
      </w:r>
      <w:r w:rsidR="00BB314A" w:rsidRPr="004C5271">
        <w:rPr>
          <w:rFonts w:asciiTheme="majorBidi" w:hAnsiTheme="majorBidi" w:cstheme="majorBidi"/>
          <w:lang w:val="en-AU"/>
        </w:rPr>
        <w:t xml:space="preserve">more </w:t>
      </w:r>
      <w:r w:rsidR="00B32DE9" w:rsidRPr="004C5271">
        <w:rPr>
          <w:rFonts w:asciiTheme="majorBidi" w:hAnsiTheme="majorBidi" w:cstheme="majorBidi"/>
          <w:lang w:val="en-AU"/>
        </w:rPr>
        <w:t>accurately</w:t>
      </w:r>
      <w:r w:rsidR="00673C6D" w:rsidRPr="004C5271">
        <w:rPr>
          <w:rFonts w:asciiTheme="majorBidi" w:hAnsiTheme="majorBidi" w:cstheme="majorBidi"/>
          <w:lang w:val="en-AU"/>
        </w:rPr>
        <w:t xml:space="preserve"> described as resulting from individuals</w:t>
      </w:r>
      <w:r w:rsidR="00BB314A" w:rsidRPr="004C5271">
        <w:rPr>
          <w:rFonts w:asciiTheme="majorBidi" w:hAnsiTheme="majorBidi" w:cstheme="majorBidi"/>
          <w:lang w:val="en-AU"/>
        </w:rPr>
        <w:t xml:space="preserve"> com</w:t>
      </w:r>
      <w:r w:rsidR="00B32DE9" w:rsidRPr="004C5271">
        <w:rPr>
          <w:rFonts w:asciiTheme="majorBidi" w:hAnsiTheme="majorBidi" w:cstheme="majorBidi"/>
          <w:lang w:val="en-AU"/>
        </w:rPr>
        <w:t>ing</w:t>
      </w:r>
      <w:r w:rsidR="00BB314A" w:rsidRPr="004C5271">
        <w:rPr>
          <w:rFonts w:asciiTheme="majorBidi" w:hAnsiTheme="majorBidi" w:cstheme="majorBidi"/>
          <w:lang w:val="en-AU"/>
        </w:rPr>
        <w:t xml:space="preserve"> to the law from an unequal position rather than the law itself creating unequal outcome</w:t>
      </w:r>
      <w:r w:rsidR="005573A9" w:rsidRPr="004C5271">
        <w:rPr>
          <w:rFonts w:asciiTheme="majorBidi" w:hAnsiTheme="majorBidi" w:cstheme="majorBidi"/>
          <w:lang w:val="en-AU"/>
        </w:rPr>
        <w:t>s</w:t>
      </w:r>
      <w:r w:rsidR="00BB314A" w:rsidRPr="004C5271">
        <w:rPr>
          <w:rFonts w:asciiTheme="majorBidi" w:hAnsiTheme="majorBidi" w:cstheme="majorBidi"/>
          <w:lang w:val="en-AU"/>
        </w:rPr>
        <w:t xml:space="preserve">. </w:t>
      </w:r>
    </w:p>
    <w:p w14:paraId="32A9B393" w14:textId="2402EBFA" w:rsidR="00BB314A" w:rsidRPr="004C5271" w:rsidRDefault="00BB314A" w:rsidP="00BB314A">
      <w:pPr>
        <w:pStyle w:val="NormalNumberedTextTLRI"/>
        <w:rPr>
          <w:rFonts w:asciiTheme="majorBidi" w:hAnsiTheme="majorBidi" w:cstheme="majorBidi"/>
          <w:lang w:val="en-AU"/>
        </w:rPr>
      </w:pPr>
      <w:r w:rsidRPr="004C5271">
        <w:rPr>
          <w:rFonts w:asciiTheme="majorBidi" w:hAnsiTheme="majorBidi" w:cstheme="majorBidi"/>
          <w:lang w:val="en-AU"/>
        </w:rPr>
        <w:lastRenderedPageBreak/>
        <w:t>Balanced with these considerations were views advanced that individuals have the right to deal with their assets as they wish during life</w:t>
      </w:r>
      <w:r w:rsidR="00673C6D" w:rsidRPr="004C5271">
        <w:rPr>
          <w:rFonts w:asciiTheme="majorBidi" w:hAnsiTheme="majorBidi" w:cstheme="majorBidi"/>
          <w:lang w:val="en-AU"/>
        </w:rPr>
        <w:t xml:space="preserve"> and that notional estate laws </w:t>
      </w:r>
      <w:r w:rsidR="00F679A3" w:rsidRPr="004C5271">
        <w:rPr>
          <w:rFonts w:asciiTheme="majorBidi" w:hAnsiTheme="majorBidi" w:cstheme="majorBidi"/>
          <w:lang w:val="en-AU"/>
        </w:rPr>
        <w:t>restrict</w:t>
      </w:r>
      <w:r w:rsidR="00673C6D" w:rsidRPr="004C5271">
        <w:rPr>
          <w:rFonts w:asciiTheme="majorBidi" w:hAnsiTheme="majorBidi" w:cstheme="majorBidi"/>
          <w:lang w:val="en-AU"/>
        </w:rPr>
        <w:t xml:space="preserve"> a person’s right to do so</w:t>
      </w:r>
      <w:r w:rsidRPr="004C5271">
        <w:rPr>
          <w:rFonts w:asciiTheme="majorBidi" w:hAnsiTheme="majorBidi" w:cstheme="majorBidi"/>
          <w:lang w:val="en-AU"/>
        </w:rPr>
        <w:t xml:space="preserve">. Similarly expressed was the notion of individuals having the right to testamentary freedom and the </w:t>
      </w:r>
      <w:r w:rsidR="00D44478" w:rsidRPr="004C5271">
        <w:rPr>
          <w:rFonts w:asciiTheme="majorBidi" w:hAnsiTheme="majorBidi" w:cstheme="majorBidi"/>
          <w:lang w:val="en-AU"/>
        </w:rPr>
        <w:t>ability</w:t>
      </w:r>
      <w:r w:rsidRPr="004C5271">
        <w:rPr>
          <w:rFonts w:asciiTheme="majorBidi" w:hAnsiTheme="majorBidi" w:cstheme="majorBidi"/>
          <w:lang w:val="en-AU"/>
        </w:rPr>
        <w:t xml:space="preserve"> to dispose of their assets as they please. This</w:t>
      </w:r>
      <w:r w:rsidR="00D44478" w:rsidRPr="004C5271">
        <w:rPr>
          <w:rFonts w:asciiTheme="majorBidi" w:hAnsiTheme="majorBidi" w:cstheme="majorBidi"/>
          <w:lang w:val="en-AU"/>
        </w:rPr>
        <w:t xml:space="preserve"> latter</w:t>
      </w:r>
      <w:r w:rsidRPr="004C5271">
        <w:rPr>
          <w:rFonts w:asciiTheme="majorBidi" w:hAnsiTheme="majorBidi" w:cstheme="majorBidi"/>
          <w:lang w:val="en-AU"/>
        </w:rPr>
        <w:t xml:space="preserve"> argument however, has limited weight as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itself is evidence of </w:t>
      </w:r>
      <w:r w:rsidR="00921BED" w:rsidRPr="004C5271">
        <w:rPr>
          <w:rFonts w:asciiTheme="majorBidi" w:hAnsiTheme="majorBidi" w:cstheme="majorBidi"/>
          <w:lang w:val="en-AU"/>
        </w:rPr>
        <w:t xml:space="preserve">a </w:t>
      </w:r>
      <w:r w:rsidRPr="004C5271">
        <w:rPr>
          <w:rFonts w:asciiTheme="majorBidi" w:hAnsiTheme="majorBidi" w:cstheme="majorBidi"/>
          <w:lang w:val="en-AU"/>
        </w:rPr>
        <w:t xml:space="preserve">long-standing qualification </w:t>
      </w:r>
      <w:r w:rsidR="00921BED" w:rsidRPr="004C5271">
        <w:rPr>
          <w:rFonts w:asciiTheme="majorBidi" w:hAnsiTheme="majorBidi" w:cstheme="majorBidi"/>
          <w:lang w:val="en-AU"/>
        </w:rPr>
        <w:t>upon</w:t>
      </w:r>
      <w:r w:rsidRPr="004C5271">
        <w:rPr>
          <w:rFonts w:asciiTheme="majorBidi" w:hAnsiTheme="majorBidi" w:cstheme="majorBidi"/>
          <w:lang w:val="en-AU"/>
        </w:rPr>
        <w:t xml:space="preserve"> a person’s </w:t>
      </w:r>
      <w:r w:rsidR="00921BED" w:rsidRPr="004C5271">
        <w:rPr>
          <w:rFonts w:asciiTheme="majorBidi" w:hAnsiTheme="majorBidi" w:cstheme="majorBidi"/>
          <w:lang w:val="en-AU"/>
        </w:rPr>
        <w:t xml:space="preserve">absolute </w:t>
      </w:r>
      <w:r w:rsidRPr="004C5271">
        <w:rPr>
          <w:rFonts w:asciiTheme="majorBidi" w:hAnsiTheme="majorBidi" w:cstheme="majorBidi"/>
          <w:lang w:val="en-AU"/>
        </w:rPr>
        <w:t xml:space="preserve">freedom of testamentary disposition. </w:t>
      </w:r>
    </w:p>
    <w:p w14:paraId="55B25C3B" w14:textId="5328EC44" w:rsidR="003F08B2" w:rsidRPr="004C5271" w:rsidRDefault="00BB314A" w:rsidP="001343B3">
      <w:pPr>
        <w:pStyle w:val="NormalNumberedTextTLRI"/>
        <w:rPr>
          <w:rFonts w:asciiTheme="majorBidi" w:hAnsiTheme="majorBidi" w:cstheme="majorBidi"/>
          <w:lang w:val="en-AU"/>
        </w:rPr>
      </w:pPr>
      <w:r w:rsidRPr="004C5271">
        <w:rPr>
          <w:rFonts w:asciiTheme="majorBidi" w:hAnsiTheme="majorBidi" w:cstheme="majorBidi"/>
          <w:lang w:val="en-AU"/>
        </w:rPr>
        <w:t>Several respondents and commentators have expressed the view that notional estate laws are too complex. This has the potential consequence of rendering the law inaccessible to many. Concerns were also raised that notional estate law</w:t>
      </w:r>
      <w:r w:rsidR="009C4D5A" w:rsidRPr="004C5271">
        <w:rPr>
          <w:rFonts w:asciiTheme="majorBidi" w:hAnsiTheme="majorBidi" w:cstheme="majorBidi"/>
          <w:lang w:val="en-AU"/>
        </w:rPr>
        <w:t>s</w:t>
      </w:r>
      <w:r w:rsidRPr="004C5271">
        <w:rPr>
          <w:rFonts w:asciiTheme="majorBidi" w:hAnsiTheme="majorBidi" w:cstheme="majorBidi"/>
          <w:lang w:val="en-AU"/>
        </w:rPr>
        <w:t xml:space="preserve"> would create great uncertainty, particularly for </w:t>
      </w:r>
      <w:r w:rsidR="005573A9" w:rsidRPr="004C5271">
        <w:rPr>
          <w:rFonts w:asciiTheme="majorBidi" w:hAnsiTheme="majorBidi" w:cstheme="majorBidi"/>
          <w:lang w:val="en-AU"/>
        </w:rPr>
        <w:t>individuals receiving gifts of assets</w:t>
      </w:r>
      <w:r w:rsidRPr="004C5271">
        <w:rPr>
          <w:rFonts w:asciiTheme="majorBidi" w:hAnsiTheme="majorBidi" w:cstheme="majorBidi"/>
          <w:lang w:val="en-AU"/>
        </w:rPr>
        <w:t xml:space="preserve"> during a person’s life. </w:t>
      </w:r>
      <w:r w:rsidR="00502E5C" w:rsidRPr="004C5271">
        <w:rPr>
          <w:rFonts w:asciiTheme="majorBidi" w:hAnsiTheme="majorBidi" w:cstheme="majorBidi"/>
          <w:lang w:val="en-AU"/>
        </w:rPr>
        <w:t>There is thus a need for caution before the enactment of notional estate law</w:t>
      </w:r>
      <w:r w:rsidR="00D44478" w:rsidRPr="004C5271">
        <w:rPr>
          <w:rFonts w:asciiTheme="majorBidi" w:hAnsiTheme="majorBidi" w:cstheme="majorBidi"/>
          <w:lang w:val="en-AU"/>
        </w:rPr>
        <w:t>s</w:t>
      </w:r>
      <w:r w:rsidR="00502E5C" w:rsidRPr="004C5271">
        <w:rPr>
          <w:rFonts w:asciiTheme="majorBidi" w:hAnsiTheme="majorBidi" w:cstheme="majorBidi"/>
          <w:lang w:val="en-AU"/>
        </w:rPr>
        <w:t xml:space="preserve"> with the risk of </w:t>
      </w:r>
      <w:r w:rsidR="00D44478" w:rsidRPr="004C5271">
        <w:rPr>
          <w:rFonts w:asciiTheme="majorBidi" w:hAnsiTheme="majorBidi" w:cstheme="majorBidi"/>
          <w:lang w:val="en-AU"/>
        </w:rPr>
        <w:t>them</w:t>
      </w:r>
      <w:r w:rsidR="00502E5C" w:rsidRPr="004C5271">
        <w:rPr>
          <w:rFonts w:asciiTheme="majorBidi" w:hAnsiTheme="majorBidi" w:cstheme="majorBidi"/>
          <w:lang w:val="en-AU"/>
        </w:rPr>
        <w:t xml:space="preserve"> </w:t>
      </w:r>
      <w:r w:rsidR="003F08B2" w:rsidRPr="004C5271">
        <w:rPr>
          <w:rFonts w:asciiTheme="majorBidi" w:hAnsiTheme="majorBidi" w:cstheme="majorBidi"/>
          <w:lang w:val="en-AU"/>
        </w:rPr>
        <w:t xml:space="preserve">rendering the law in this area less accessible </w:t>
      </w:r>
      <w:r w:rsidR="009C4D5A" w:rsidRPr="004C5271">
        <w:rPr>
          <w:rFonts w:asciiTheme="majorBidi" w:hAnsiTheme="majorBidi" w:cstheme="majorBidi"/>
          <w:lang w:val="en-AU"/>
        </w:rPr>
        <w:t>and thereby</w:t>
      </w:r>
      <w:r w:rsidR="003F08B2" w:rsidRPr="004C5271">
        <w:rPr>
          <w:rFonts w:asciiTheme="majorBidi" w:hAnsiTheme="majorBidi" w:cstheme="majorBidi"/>
          <w:lang w:val="en-AU"/>
        </w:rPr>
        <w:t xml:space="preserve"> breach</w:t>
      </w:r>
      <w:r w:rsidR="009C4D5A" w:rsidRPr="004C5271">
        <w:rPr>
          <w:rFonts w:asciiTheme="majorBidi" w:hAnsiTheme="majorBidi" w:cstheme="majorBidi"/>
          <w:lang w:val="en-AU"/>
        </w:rPr>
        <w:t>ing</w:t>
      </w:r>
      <w:r w:rsidR="003F08B2" w:rsidRPr="004C5271">
        <w:rPr>
          <w:rFonts w:asciiTheme="majorBidi" w:hAnsiTheme="majorBidi" w:cstheme="majorBidi"/>
          <w:lang w:val="en-AU"/>
        </w:rPr>
        <w:t xml:space="preserve"> the fundamental human rights princip</w:t>
      </w:r>
      <w:r w:rsidR="00F93361" w:rsidRPr="004C5271">
        <w:rPr>
          <w:rFonts w:asciiTheme="majorBidi" w:hAnsiTheme="majorBidi" w:cstheme="majorBidi"/>
          <w:lang w:val="en-AU"/>
        </w:rPr>
        <w:t>le</w:t>
      </w:r>
      <w:r w:rsidR="003F08B2" w:rsidRPr="004C5271">
        <w:rPr>
          <w:rFonts w:asciiTheme="majorBidi" w:hAnsiTheme="majorBidi" w:cstheme="majorBidi"/>
          <w:lang w:val="en-AU"/>
        </w:rPr>
        <w:t xml:space="preserve"> that the law should be certain and accessible.</w:t>
      </w:r>
      <w:r w:rsidR="00921BED" w:rsidRPr="004C5271">
        <w:rPr>
          <w:rStyle w:val="FootnoteReference"/>
          <w:rFonts w:asciiTheme="majorBidi" w:hAnsiTheme="majorBidi" w:cstheme="majorBidi"/>
          <w:lang w:val="en-AU"/>
        </w:rPr>
        <w:footnoteReference w:id="523"/>
      </w:r>
    </w:p>
    <w:p w14:paraId="2BA4E6E2" w14:textId="6625DF52" w:rsidR="00502E5C" w:rsidRPr="004C5271" w:rsidRDefault="00DC7DA1" w:rsidP="00502E5C">
      <w:pPr>
        <w:pStyle w:val="NormalNumberedTextTLRI"/>
        <w:rPr>
          <w:rFonts w:asciiTheme="majorBidi" w:hAnsiTheme="majorBidi" w:cstheme="majorBidi"/>
          <w:lang w:val="en-AU"/>
        </w:rPr>
      </w:pPr>
      <w:bookmarkStart w:id="213" w:name="_Ref13420249"/>
      <w:r w:rsidRPr="004C5271">
        <w:rPr>
          <w:rFonts w:asciiTheme="majorBidi" w:hAnsiTheme="majorBidi" w:cstheme="majorBidi"/>
          <w:lang w:val="en-AU"/>
        </w:rPr>
        <w:t>Considering</w:t>
      </w:r>
      <w:r w:rsidR="00502E5C" w:rsidRPr="004C5271">
        <w:rPr>
          <w:rFonts w:asciiTheme="majorBidi" w:hAnsiTheme="majorBidi" w:cstheme="majorBidi"/>
          <w:lang w:val="en-AU"/>
        </w:rPr>
        <w:t xml:space="preserve"> potential issues with the introduction of notional estate law, </w:t>
      </w:r>
      <w:r w:rsidR="00D44478" w:rsidRPr="004C5271">
        <w:rPr>
          <w:rFonts w:asciiTheme="majorBidi" w:hAnsiTheme="majorBidi" w:cstheme="majorBidi"/>
          <w:lang w:val="en-AU"/>
        </w:rPr>
        <w:t>a critical</w:t>
      </w:r>
      <w:r w:rsidR="00502E5C" w:rsidRPr="004C5271">
        <w:rPr>
          <w:rFonts w:asciiTheme="majorBidi" w:hAnsiTheme="majorBidi" w:cstheme="majorBidi"/>
          <w:lang w:val="en-AU"/>
        </w:rPr>
        <w:t xml:space="preserve"> question is whether they adequately resolve the problem identified. One difficulty is that the effectiveness of the New South Wales scheme has not been fully evaluated. Many respondents and commentators, however, submit that there are strategies available to avoid </w:t>
      </w:r>
      <w:r w:rsidR="00E63587" w:rsidRPr="004C5271">
        <w:rPr>
          <w:rFonts w:asciiTheme="majorBidi" w:hAnsiTheme="majorBidi" w:cstheme="majorBidi"/>
          <w:lang w:val="en-AU"/>
        </w:rPr>
        <w:t xml:space="preserve">the </w:t>
      </w:r>
      <w:r w:rsidR="00502E5C" w:rsidRPr="004C5271">
        <w:rPr>
          <w:rFonts w:asciiTheme="majorBidi" w:hAnsiTheme="majorBidi" w:cstheme="majorBidi"/>
          <w:lang w:val="en-AU"/>
        </w:rPr>
        <w:t xml:space="preserve">operation of notional estate legislation. One strategy identified is </w:t>
      </w:r>
      <w:r w:rsidR="00D44478" w:rsidRPr="004C5271">
        <w:rPr>
          <w:rFonts w:asciiTheme="majorBidi" w:hAnsiTheme="majorBidi" w:cstheme="majorBidi"/>
          <w:lang w:val="en-AU"/>
        </w:rPr>
        <w:t xml:space="preserve">through </w:t>
      </w:r>
      <w:r w:rsidR="00502E5C" w:rsidRPr="004C5271">
        <w:rPr>
          <w:rFonts w:asciiTheme="majorBidi" w:hAnsiTheme="majorBidi" w:cstheme="majorBidi"/>
          <w:lang w:val="en-AU"/>
        </w:rPr>
        <w:t xml:space="preserve">taking </w:t>
      </w:r>
      <w:r w:rsidR="0046440C" w:rsidRPr="004C5271">
        <w:rPr>
          <w:rFonts w:asciiTheme="majorBidi" w:hAnsiTheme="majorBidi" w:cstheme="majorBidi"/>
          <w:lang w:val="en-AU"/>
        </w:rPr>
        <w:t xml:space="preserve">legitimate </w:t>
      </w:r>
      <w:r w:rsidR="00502E5C" w:rsidRPr="004C5271">
        <w:rPr>
          <w:rFonts w:asciiTheme="majorBidi" w:hAnsiTheme="majorBidi" w:cstheme="majorBidi"/>
          <w:lang w:val="en-AU"/>
        </w:rPr>
        <w:t xml:space="preserve">advantage of the fact that most jurisdictions (presently all except New South Wales) do not have notional estate laws, meaning that individuals hold investment assets in those jurisdictions to avoid </w:t>
      </w:r>
      <w:r w:rsidR="00E63587" w:rsidRPr="004C5271">
        <w:rPr>
          <w:rFonts w:asciiTheme="majorBidi" w:hAnsiTheme="majorBidi" w:cstheme="majorBidi"/>
          <w:lang w:val="en-AU"/>
        </w:rPr>
        <w:t xml:space="preserve">the </w:t>
      </w:r>
      <w:r w:rsidR="00502E5C" w:rsidRPr="004C5271">
        <w:rPr>
          <w:rFonts w:asciiTheme="majorBidi" w:hAnsiTheme="majorBidi" w:cstheme="majorBidi"/>
          <w:lang w:val="en-AU"/>
        </w:rPr>
        <w:t xml:space="preserve">operation of the law. </w:t>
      </w:r>
      <w:r w:rsidR="00D44478" w:rsidRPr="004C5271">
        <w:rPr>
          <w:rFonts w:asciiTheme="majorBidi" w:hAnsiTheme="majorBidi" w:cstheme="majorBidi"/>
          <w:lang w:val="en-AU"/>
        </w:rPr>
        <w:t xml:space="preserve">This creates a significant barrier to the effectiveness of the law. </w:t>
      </w:r>
      <w:r w:rsidR="0040633E" w:rsidRPr="004C5271">
        <w:rPr>
          <w:rFonts w:asciiTheme="majorBidi" w:hAnsiTheme="majorBidi" w:cstheme="majorBidi"/>
          <w:lang w:val="en-AU"/>
        </w:rPr>
        <w:t xml:space="preserve">There is a risk that enactment of notional estate laws might </w:t>
      </w:r>
      <w:r w:rsidR="00254FD5" w:rsidRPr="004C5271">
        <w:rPr>
          <w:rFonts w:asciiTheme="majorBidi" w:hAnsiTheme="majorBidi" w:cstheme="majorBidi"/>
          <w:lang w:val="en-AU"/>
        </w:rPr>
        <w:t xml:space="preserve">create </w:t>
      </w:r>
      <w:r w:rsidR="0040633E" w:rsidRPr="004C5271">
        <w:rPr>
          <w:rFonts w:asciiTheme="majorBidi" w:hAnsiTheme="majorBidi" w:cstheme="majorBidi"/>
          <w:lang w:val="en-AU"/>
        </w:rPr>
        <w:t xml:space="preserve">the impression that they </w:t>
      </w:r>
      <w:r w:rsidR="00254FD5" w:rsidRPr="004C5271">
        <w:rPr>
          <w:rFonts w:asciiTheme="majorBidi" w:hAnsiTheme="majorBidi" w:cstheme="majorBidi"/>
          <w:lang w:val="en-AU"/>
        </w:rPr>
        <w:t xml:space="preserve">provide </w:t>
      </w:r>
      <w:r w:rsidR="0040633E" w:rsidRPr="004C5271">
        <w:rPr>
          <w:rFonts w:asciiTheme="majorBidi" w:hAnsiTheme="majorBidi" w:cstheme="majorBidi"/>
          <w:lang w:val="en-AU"/>
        </w:rPr>
        <w:t xml:space="preserve">protections when they too can be avoided. </w:t>
      </w:r>
      <w:r w:rsidR="00AD2F30" w:rsidRPr="004C5271">
        <w:rPr>
          <w:rFonts w:asciiTheme="majorBidi" w:hAnsiTheme="majorBidi" w:cstheme="majorBidi"/>
          <w:lang w:val="en-AU"/>
        </w:rPr>
        <w:t xml:space="preserve">When balanced with the fact that notional estate laws </w:t>
      </w:r>
      <w:r w:rsidR="00F679A3" w:rsidRPr="004C5271">
        <w:rPr>
          <w:rFonts w:asciiTheme="majorBidi" w:hAnsiTheme="majorBidi" w:cstheme="majorBidi"/>
          <w:lang w:val="en-AU"/>
        </w:rPr>
        <w:t xml:space="preserve">may </w:t>
      </w:r>
      <w:r w:rsidR="00DF40E2" w:rsidRPr="004C5271">
        <w:rPr>
          <w:rFonts w:asciiTheme="majorBidi" w:hAnsiTheme="majorBidi" w:cstheme="majorBidi"/>
          <w:lang w:val="en-AU"/>
        </w:rPr>
        <w:t>adverse</w:t>
      </w:r>
      <w:r w:rsidR="00F679A3" w:rsidRPr="004C5271">
        <w:rPr>
          <w:rFonts w:asciiTheme="majorBidi" w:hAnsiTheme="majorBidi" w:cstheme="majorBidi"/>
          <w:lang w:val="en-AU"/>
        </w:rPr>
        <w:t>ly</w:t>
      </w:r>
      <w:r w:rsidR="00DF40E2" w:rsidRPr="004C5271">
        <w:rPr>
          <w:rFonts w:asciiTheme="majorBidi" w:hAnsiTheme="majorBidi" w:cstheme="majorBidi"/>
          <w:lang w:val="en-AU"/>
        </w:rPr>
        <w:t xml:space="preserve"> impact</w:t>
      </w:r>
      <w:r w:rsidR="00AD2F30" w:rsidRPr="004C5271">
        <w:rPr>
          <w:rFonts w:asciiTheme="majorBidi" w:hAnsiTheme="majorBidi" w:cstheme="majorBidi"/>
          <w:lang w:val="en-AU"/>
        </w:rPr>
        <w:t xml:space="preserve"> a substantial proportion of </w:t>
      </w:r>
      <w:r w:rsidR="00AD2F30" w:rsidRPr="004C5271">
        <w:rPr>
          <w:rFonts w:asciiTheme="majorBidi" w:hAnsiTheme="majorBidi" w:cstheme="majorBidi"/>
          <w:lang w:val="en-AU"/>
        </w:rPr>
        <w:lastRenderedPageBreak/>
        <w:t xml:space="preserve">the population, their lack of effectiveness </w:t>
      </w:r>
      <w:r w:rsidR="005573A9" w:rsidRPr="004C5271">
        <w:rPr>
          <w:rFonts w:asciiTheme="majorBidi" w:hAnsiTheme="majorBidi" w:cstheme="majorBidi"/>
          <w:lang w:val="en-AU"/>
        </w:rPr>
        <w:t xml:space="preserve">also </w:t>
      </w:r>
      <w:r w:rsidR="00AD2F30" w:rsidRPr="004C5271">
        <w:rPr>
          <w:rFonts w:asciiTheme="majorBidi" w:hAnsiTheme="majorBidi" w:cstheme="majorBidi"/>
          <w:lang w:val="en-AU"/>
        </w:rPr>
        <w:t>supports the need for caution before enacting such a scheme.</w:t>
      </w:r>
      <w:bookmarkEnd w:id="213"/>
      <w:r w:rsidR="00AD2F30" w:rsidRPr="004C5271">
        <w:rPr>
          <w:rFonts w:asciiTheme="majorBidi" w:hAnsiTheme="majorBidi" w:cstheme="majorBidi"/>
          <w:lang w:val="en-AU"/>
        </w:rPr>
        <w:t xml:space="preserve"> </w:t>
      </w:r>
    </w:p>
    <w:p w14:paraId="1BDACE07" w14:textId="0C7EC8F7" w:rsidR="00873D09" w:rsidRPr="004C5271" w:rsidRDefault="00502E5C" w:rsidP="00502E5C">
      <w:pPr>
        <w:pStyle w:val="NormalNumberedTextTLRI"/>
        <w:rPr>
          <w:rFonts w:asciiTheme="majorBidi" w:hAnsiTheme="majorBidi" w:cstheme="majorBidi"/>
          <w:lang w:val="en-AU"/>
        </w:rPr>
      </w:pPr>
      <w:r w:rsidRPr="004C5271">
        <w:rPr>
          <w:rFonts w:asciiTheme="majorBidi" w:hAnsiTheme="majorBidi" w:cstheme="majorBidi"/>
          <w:lang w:val="en-AU"/>
        </w:rPr>
        <w:t xml:space="preserve">A </w:t>
      </w:r>
      <w:r w:rsidR="00F679A3" w:rsidRPr="004C5271">
        <w:rPr>
          <w:rFonts w:asciiTheme="majorBidi" w:hAnsiTheme="majorBidi" w:cstheme="majorBidi"/>
          <w:lang w:val="en-AU"/>
        </w:rPr>
        <w:t>final</w:t>
      </w:r>
      <w:r w:rsidRPr="004C5271">
        <w:rPr>
          <w:rFonts w:asciiTheme="majorBidi" w:hAnsiTheme="majorBidi" w:cstheme="majorBidi"/>
          <w:lang w:val="en-AU"/>
        </w:rPr>
        <w:t xml:space="preserve"> consideration is the extent to which the issue </w:t>
      </w:r>
      <w:r w:rsidR="005573A9" w:rsidRPr="004C5271">
        <w:rPr>
          <w:rFonts w:asciiTheme="majorBidi" w:hAnsiTheme="majorBidi" w:cstheme="majorBidi"/>
          <w:lang w:val="en-AU"/>
        </w:rPr>
        <w:t xml:space="preserve">identified </w:t>
      </w:r>
      <w:r w:rsidRPr="004C5271">
        <w:rPr>
          <w:rFonts w:asciiTheme="majorBidi" w:hAnsiTheme="majorBidi" w:cstheme="majorBidi"/>
          <w:lang w:val="en-AU"/>
        </w:rPr>
        <w:t xml:space="preserve">can be resolved through other means. </w:t>
      </w:r>
      <w:r w:rsidR="00873D09" w:rsidRPr="004C5271">
        <w:rPr>
          <w:rFonts w:asciiTheme="majorBidi" w:hAnsiTheme="majorBidi" w:cstheme="majorBidi"/>
          <w:lang w:val="en-AU"/>
        </w:rPr>
        <w:t>The availability of equitable doctrines, for example, enable individuals to pursue claims to non-estate assets where they have contributed to a deceased’s assets or been promised certain property after a family member’s death.</w:t>
      </w:r>
      <w:r w:rsidR="00873D09" w:rsidRPr="004C5271">
        <w:rPr>
          <w:rStyle w:val="FootnoteReference"/>
          <w:rFonts w:asciiTheme="majorBidi" w:hAnsiTheme="majorBidi" w:cstheme="majorBidi"/>
          <w:lang w:val="en-AU"/>
        </w:rPr>
        <w:footnoteReference w:id="524"/>
      </w:r>
      <w:r w:rsidR="00873D09" w:rsidRPr="004C5271">
        <w:rPr>
          <w:rFonts w:asciiTheme="majorBidi" w:hAnsiTheme="majorBidi" w:cstheme="majorBidi"/>
          <w:lang w:val="en-AU"/>
        </w:rPr>
        <w:t xml:space="preserve"> Similarly, concerns that respondents raised about the validity of pre-death transfers of assets based on undue influence, fraud or lack of capacity can already be addressed via existing causes of action. </w:t>
      </w:r>
      <w:r w:rsidR="00ED51DF" w:rsidRPr="004C5271">
        <w:rPr>
          <w:rFonts w:asciiTheme="majorBidi" w:hAnsiTheme="majorBidi" w:cstheme="majorBidi"/>
          <w:lang w:val="en-AU"/>
        </w:rPr>
        <w:t xml:space="preserve">The effect is that </w:t>
      </w:r>
      <w:r w:rsidR="00A93190" w:rsidRPr="004C5271">
        <w:rPr>
          <w:rFonts w:asciiTheme="majorBidi" w:hAnsiTheme="majorBidi" w:cstheme="majorBidi"/>
          <w:lang w:val="en-AU"/>
        </w:rPr>
        <w:t xml:space="preserve">remedies already exist which in part address </w:t>
      </w:r>
      <w:r w:rsidR="00ED51DF" w:rsidRPr="004C5271">
        <w:rPr>
          <w:rFonts w:asciiTheme="majorBidi" w:hAnsiTheme="majorBidi" w:cstheme="majorBidi"/>
          <w:lang w:val="en-AU"/>
        </w:rPr>
        <w:t xml:space="preserve">some of the </w:t>
      </w:r>
      <w:r w:rsidR="00CA19E2" w:rsidRPr="004C5271">
        <w:rPr>
          <w:rFonts w:asciiTheme="majorBidi" w:hAnsiTheme="majorBidi" w:cstheme="majorBidi"/>
          <w:lang w:val="en-AU"/>
        </w:rPr>
        <w:t>matters</w:t>
      </w:r>
      <w:r w:rsidR="00A93190" w:rsidRPr="004C5271">
        <w:rPr>
          <w:rFonts w:asciiTheme="majorBidi" w:hAnsiTheme="majorBidi" w:cstheme="majorBidi"/>
          <w:lang w:val="en-AU"/>
        </w:rPr>
        <w:t xml:space="preserve"> </w:t>
      </w:r>
      <w:r w:rsidR="00ED51DF" w:rsidRPr="004C5271">
        <w:rPr>
          <w:rFonts w:asciiTheme="majorBidi" w:hAnsiTheme="majorBidi" w:cstheme="majorBidi"/>
          <w:lang w:val="en-AU"/>
        </w:rPr>
        <w:t>respondents raised in support of notional estate legislation</w:t>
      </w:r>
      <w:r w:rsidR="00A93190" w:rsidRPr="004C5271">
        <w:rPr>
          <w:rFonts w:asciiTheme="majorBidi" w:hAnsiTheme="majorBidi" w:cstheme="majorBidi"/>
          <w:lang w:val="en-AU"/>
        </w:rPr>
        <w:t>.</w:t>
      </w:r>
    </w:p>
    <w:p w14:paraId="633D70E0" w14:textId="73F0E5D2" w:rsidR="00DC7DA1" w:rsidRPr="004C5271" w:rsidRDefault="005D75C6" w:rsidP="005D75C6">
      <w:pPr>
        <w:pStyle w:val="NormalNumberedTextTLRI"/>
        <w:rPr>
          <w:rFonts w:asciiTheme="majorBidi" w:hAnsiTheme="majorBidi" w:cstheme="majorBidi"/>
          <w:lang w:val="en-AU"/>
        </w:rPr>
      </w:pPr>
      <w:r w:rsidRPr="004C5271">
        <w:rPr>
          <w:rFonts w:asciiTheme="majorBidi" w:hAnsiTheme="majorBidi" w:cstheme="majorBidi"/>
          <w:lang w:val="en-AU"/>
        </w:rPr>
        <w:t xml:space="preserve">Given </w:t>
      </w:r>
      <w:r w:rsidR="00DA6FC6" w:rsidRPr="004C5271">
        <w:rPr>
          <w:rFonts w:asciiTheme="majorBidi" w:hAnsiTheme="majorBidi" w:cstheme="majorBidi"/>
          <w:lang w:val="en-AU"/>
        </w:rPr>
        <w:t>that</w:t>
      </w:r>
      <w:r w:rsidRPr="004C5271">
        <w:rPr>
          <w:rFonts w:asciiTheme="majorBidi" w:hAnsiTheme="majorBidi" w:cstheme="majorBidi"/>
          <w:lang w:val="en-AU"/>
        </w:rPr>
        <w:t xml:space="preserve"> the law </w:t>
      </w:r>
      <w:r w:rsidR="00DA6FC6" w:rsidRPr="004C5271">
        <w:rPr>
          <w:rFonts w:asciiTheme="majorBidi" w:hAnsiTheme="majorBidi" w:cstheme="majorBidi"/>
          <w:lang w:val="en-AU"/>
        </w:rPr>
        <w:t>must</w:t>
      </w:r>
      <w:r w:rsidRPr="004C5271">
        <w:rPr>
          <w:rFonts w:asciiTheme="majorBidi" w:hAnsiTheme="majorBidi" w:cstheme="majorBidi"/>
          <w:lang w:val="en-AU"/>
        </w:rPr>
        <w:t xml:space="preserve"> be effective and </w:t>
      </w:r>
      <w:r w:rsidR="00DA6FC6" w:rsidRPr="004C5271">
        <w:rPr>
          <w:rFonts w:asciiTheme="majorBidi" w:hAnsiTheme="majorBidi" w:cstheme="majorBidi"/>
          <w:lang w:val="en-AU"/>
        </w:rPr>
        <w:t xml:space="preserve">that </w:t>
      </w:r>
      <w:r w:rsidRPr="004C5271">
        <w:rPr>
          <w:rFonts w:asciiTheme="majorBidi" w:hAnsiTheme="majorBidi" w:cstheme="majorBidi"/>
          <w:lang w:val="en-AU"/>
        </w:rPr>
        <w:t>the lack of national</w:t>
      </w:r>
      <w:r w:rsidR="00DA6FC6" w:rsidRPr="004C5271">
        <w:rPr>
          <w:rFonts w:asciiTheme="majorBidi" w:hAnsiTheme="majorBidi" w:cstheme="majorBidi"/>
          <w:lang w:val="en-AU"/>
        </w:rPr>
        <w:t>ly</w:t>
      </w:r>
      <w:r w:rsidRPr="004C5271">
        <w:rPr>
          <w:rFonts w:asciiTheme="majorBidi" w:hAnsiTheme="majorBidi" w:cstheme="majorBidi"/>
          <w:lang w:val="en-AU"/>
        </w:rPr>
        <w:t xml:space="preserve"> uniform</w:t>
      </w:r>
      <w:r w:rsidR="00DA6FC6" w:rsidRPr="004C5271">
        <w:rPr>
          <w:rFonts w:asciiTheme="majorBidi" w:hAnsiTheme="majorBidi" w:cstheme="majorBidi"/>
          <w:lang w:val="en-AU"/>
        </w:rPr>
        <w:t xml:space="preserve"> </w:t>
      </w:r>
      <w:r w:rsidR="00DC7DA1" w:rsidRPr="004C5271">
        <w:rPr>
          <w:rFonts w:asciiTheme="majorBidi" w:hAnsiTheme="majorBidi" w:cstheme="majorBidi"/>
          <w:lang w:val="en-AU"/>
        </w:rPr>
        <w:t>legislation</w:t>
      </w:r>
      <w:r w:rsidRPr="004C5271">
        <w:rPr>
          <w:rFonts w:asciiTheme="majorBidi" w:hAnsiTheme="majorBidi" w:cstheme="majorBidi"/>
          <w:lang w:val="en-AU"/>
        </w:rPr>
        <w:t xml:space="preserve"> create</w:t>
      </w:r>
      <w:r w:rsidR="00DC7DA1" w:rsidRPr="004C5271">
        <w:rPr>
          <w:rFonts w:asciiTheme="majorBidi" w:hAnsiTheme="majorBidi" w:cstheme="majorBidi"/>
          <w:lang w:val="en-AU"/>
        </w:rPr>
        <w:t>s</w:t>
      </w:r>
      <w:r w:rsidRPr="004C5271">
        <w:rPr>
          <w:rFonts w:asciiTheme="majorBidi" w:hAnsiTheme="majorBidi" w:cstheme="majorBidi"/>
          <w:lang w:val="en-AU"/>
        </w:rPr>
        <w:t xml:space="preserve"> a significant barrier to the effectiveness of notional estate law</w:t>
      </w:r>
      <w:r w:rsidR="00DA6FC6" w:rsidRPr="004C5271">
        <w:rPr>
          <w:rFonts w:asciiTheme="majorBidi" w:hAnsiTheme="majorBidi" w:cstheme="majorBidi"/>
          <w:lang w:val="en-AU"/>
        </w:rPr>
        <w:t>s</w:t>
      </w:r>
      <w:r w:rsidRPr="004C5271">
        <w:rPr>
          <w:rFonts w:asciiTheme="majorBidi" w:hAnsiTheme="majorBidi" w:cstheme="majorBidi"/>
          <w:lang w:val="en-AU"/>
        </w:rPr>
        <w:t xml:space="preserve">, </w:t>
      </w:r>
      <w:bookmarkStart w:id="214" w:name="_Hlk17381551"/>
      <w:r w:rsidR="00DA6FC6" w:rsidRPr="004C5271">
        <w:rPr>
          <w:rFonts w:asciiTheme="majorBidi" w:hAnsiTheme="majorBidi" w:cstheme="majorBidi"/>
          <w:lang w:val="en-AU"/>
        </w:rPr>
        <w:t xml:space="preserve">viewed together with </w:t>
      </w:r>
      <w:r w:rsidRPr="004C5271">
        <w:rPr>
          <w:rFonts w:asciiTheme="majorBidi" w:hAnsiTheme="majorBidi" w:cstheme="majorBidi"/>
          <w:lang w:val="en-AU"/>
        </w:rPr>
        <w:t xml:space="preserve">questions about the </w:t>
      </w:r>
      <w:r w:rsidR="00DA6FC6" w:rsidRPr="004C5271">
        <w:rPr>
          <w:rFonts w:asciiTheme="majorBidi" w:hAnsiTheme="majorBidi" w:cstheme="majorBidi"/>
          <w:lang w:val="en-AU"/>
        </w:rPr>
        <w:t xml:space="preserve">extent of </w:t>
      </w:r>
      <w:r w:rsidRPr="004C5271">
        <w:rPr>
          <w:rFonts w:asciiTheme="majorBidi" w:hAnsiTheme="majorBidi" w:cstheme="majorBidi"/>
          <w:lang w:val="en-AU"/>
        </w:rPr>
        <w:t xml:space="preserve">need for reform and the potential problems </w:t>
      </w:r>
      <w:r w:rsidR="00DA6FC6" w:rsidRPr="004C5271">
        <w:rPr>
          <w:rFonts w:asciiTheme="majorBidi" w:hAnsiTheme="majorBidi" w:cstheme="majorBidi"/>
          <w:lang w:val="en-AU"/>
        </w:rPr>
        <w:t>it</w:t>
      </w:r>
      <w:r w:rsidR="00DC7DA1" w:rsidRPr="004C5271">
        <w:rPr>
          <w:rFonts w:asciiTheme="majorBidi" w:hAnsiTheme="majorBidi" w:cstheme="majorBidi"/>
          <w:lang w:val="en-AU"/>
        </w:rPr>
        <w:t xml:space="preserve"> may</w:t>
      </w:r>
      <w:r w:rsidRPr="004C5271">
        <w:rPr>
          <w:rFonts w:asciiTheme="majorBidi" w:hAnsiTheme="majorBidi" w:cstheme="majorBidi"/>
          <w:lang w:val="en-AU"/>
        </w:rPr>
        <w:t xml:space="preserve"> create, the Institute has formed the view that notional estate </w:t>
      </w:r>
      <w:r w:rsidR="006C546A" w:rsidRPr="004C5271">
        <w:rPr>
          <w:rFonts w:asciiTheme="majorBidi" w:hAnsiTheme="majorBidi" w:cstheme="majorBidi"/>
          <w:lang w:val="en-AU"/>
        </w:rPr>
        <w:t xml:space="preserve">provisions </w:t>
      </w:r>
      <w:r w:rsidR="002B5516">
        <w:rPr>
          <w:rFonts w:asciiTheme="majorBidi" w:hAnsiTheme="majorBidi" w:cstheme="majorBidi"/>
          <w:lang w:val="en-AU"/>
        </w:rPr>
        <w:t xml:space="preserve">should </w:t>
      </w:r>
      <w:r w:rsidRPr="004C5271">
        <w:rPr>
          <w:rFonts w:asciiTheme="majorBidi" w:hAnsiTheme="majorBidi" w:cstheme="majorBidi"/>
          <w:lang w:val="en-AU"/>
        </w:rPr>
        <w:t xml:space="preserve">not be enacted in Tasmania </w:t>
      </w:r>
      <w:r w:rsidR="006C2634" w:rsidRPr="004C5271">
        <w:rPr>
          <w:rFonts w:asciiTheme="majorBidi" w:hAnsiTheme="majorBidi" w:cstheme="majorBidi"/>
          <w:lang w:val="en-AU"/>
        </w:rPr>
        <w:t xml:space="preserve">in the absence of nationally uniform </w:t>
      </w:r>
      <w:r w:rsidRPr="004C5271">
        <w:rPr>
          <w:rFonts w:asciiTheme="majorBidi" w:hAnsiTheme="majorBidi" w:cstheme="majorBidi"/>
          <w:lang w:val="en-AU"/>
        </w:rPr>
        <w:t>family provision</w:t>
      </w:r>
      <w:r w:rsidR="006C2634" w:rsidRPr="004C5271">
        <w:rPr>
          <w:rFonts w:asciiTheme="majorBidi" w:hAnsiTheme="majorBidi" w:cstheme="majorBidi"/>
          <w:lang w:val="en-AU"/>
        </w:rPr>
        <w:t xml:space="preserve"> laws</w:t>
      </w:r>
      <w:r w:rsidR="00DC7DA1" w:rsidRPr="004C5271">
        <w:rPr>
          <w:rFonts w:asciiTheme="majorBidi" w:hAnsiTheme="majorBidi" w:cstheme="majorBidi"/>
          <w:lang w:val="en-AU"/>
        </w:rPr>
        <w:t xml:space="preserve"> and further evaluation</w:t>
      </w:r>
      <w:bookmarkEnd w:id="214"/>
      <w:r w:rsidR="006C2634" w:rsidRPr="004C5271">
        <w:rPr>
          <w:rFonts w:asciiTheme="majorBidi" w:hAnsiTheme="majorBidi" w:cstheme="majorBidi"/>
          <w:lang w:val="en-AU"/>
        </w:rPr>
        <w:t>.</w:t>
      </w:r>
    </w:p>
    <w:p w14:paraId="1F92EDB7" w14:textId="43A7A5E1" w:rsidR="00000998" w:rsidRPr="004C5271" w:rsidRDefault="00BA313F" w:rsidP="00BA313F">
      <w:pPr>
        <w:pStyle w:val="NormalNumberedTextTLRI"/>
        <w:rPr>
          <w:rFonts w:asciiTheme="majorBidi" w:hAnsiTheme="majorBidi" w:cstheme="majorBidi"/>
          <w:lang w:val="en-AU"/>
        </w:rPr>
      </w:pPr>
      <w:r w:rsidRPr="004C5271">
        <w:rPr>
          <w:rFonts w:asciiTheme="majorBidi" w:hAnsiTheme="majorBidi" w:cstheme="majorBidi"/>
          <w:lang w:val="en-AU"/>
        </w:rPr>
        <w:t xml:space="preserve">Given that the absence of national uniformity </w:t>
      </w:r>
      <w:r w:rsidR="00711FE5" w:rsidRPr="004C5271">
        <w:rPr>
          <w:rFonts w:asciiTheme="majorBidi" w:hAnsiTheme="majorBidi" w:cstheme="majorBidi"/>
          <w:lang w:val="en-AU"/>
        </w:rPr>
        <w:t>has been identified</w:t>
      </w:r>
      <w:r w:rsidRPr="004C5271">
        <w:rPr>
          <w:rFonts w:asciiTheme="majorBidi" w:hAnsiTheme="majorBidi" w:cstheme="majorBidi"/>
          <w:lang w:val="en-AU"/>
        </w:rPr>
        <w:t xml:space="preserve"> as a barrier to the effectiveness of notional estate laws, t</w:t>
      </w:r>
      <w:r w:rsidR="00000998" w:rsidRPr="004C5271">
        <w:rPr>
          <w:rFonts w:asciiTheme="majorBidi" w:hAnsiTheme="majorBidi" w:cstheme="majorBidi"/>
          <w:lang w:val="en-AU"/>
        </w:rPr>
        <w:t xml:space="preserve">he Institute </w:t>
      </w:r>
      <w:r w:rsidRPr="004C5271">
        <w:rPr>
          <w:rFonts w:asciiTheme="majorBidi" w:hAnsiTheme="majorBidi" w:cstheme="majorBidi"/>
          <w:lang w:val="en-AU"/>
        </w:rPr>
        <w:t>recommends</w:t>
      </w:r>
      <w:r w:rsidR="00000998" w:rsidRPr="004C5271">
        <w:rPr>
          <w:rFonts w:asciiTheme="majorBidi" w:hAnsiTheme="majorBidi" w:cstheme="majorBidi"/>
          <w:lang w:val="en-AU"/>
        </w:rPr>
        <w:t xml:space="preserve"> th</w:t>
      </w:r>
      <w:r w:rsidRPr="004C5271">
        <w:rPr>
          <w:rFonts w:asciiTheme="majorBidi" w:hAnsiTheme="majorBidi" w:cstheme="majorBidi"/>
          <w:lang w:val="en-AU"/>
        </w:rPr>
        <w:t xml:space="preserve">at the debate surrounding nationally uniform family provision legislation be re-energised. This </w:t>
      </w:r>
      <w:r w:rsidR="006F323D" w:rsidRPr="004C5271">
        <w:rPr>
          <w:rFonts w:asciiTheme="majorBidi" w:hAnsiTheme="majorBidi" w:cstheme="majorBidi"/>
          <w:lang w:val="en-AU"/>
        </w:rPr>
        <w:t>should</w:t>
      </w:r>
      <w:r w:rsidRPr="004C5271">
        <w:rPr>
          <w:rFonts w:asciiTheme="majorBidi" w:hAnsiTheme="majorBidi" w:cstheme="majorBidi"/>
          <w:lang w:val="en-AU"/>
        </w:rPr>
        <w:t xml:space="preserve"> include opportunity for national input and consultation into the question of whether, and if so to what degree, model legislation ought to include notional estate provisions. </w:t>
      </w:r>
      <w:r w:rsidR="006F323D" w:rsidRPr="004C5271">
        <w:rPr>
          <w:rFonts w:asciiTheme="majorBidi" w:hAnsiTheme="majorBidi" w:cstheme="majorBidi"/>
          <w:lang w:val="en-AU"/>
        </w:rPr>
        <w:t>It</w:t>
      </w:r>
      <w:r w:rsidRPr="004C5271">
        <w:rPr>
          <w:rFonts w:asciiTheme="majorBidi" w:hAnsiTheme="majorBidi" w:cstheme="majorBidi"/>
          <w:lang w:val="en-AU"/>
        </w:rPr>
        <w:t xml:space="preserve"> is a matter that the State Government may pursue via the Attorney-General’s position on the Council of Attorneys-General (‘CAG’). Alternatively, </w:t>
      </w:r>
      <w:r w:rsidR="00742AD7" w:rsidRPr="004C5271">
        <w:rPr>
          <w:rFonts w:asciiTheme="majorBidi" w:hAnsiTheme="majorBidi" w:cstheme="majorBidi"/>
          <w:lang w:val="en-AU"/>
        </w:rPr>
        <w:t>the State Government</w:t>
      </w:r>
      <w:r w:rsidR="006F323D" w:rsidRPr="004C5271">
        <w:rPr>
          <w:rFonts w:asciiTheme="majorBidi" w:hAnsiTheme="majorBidi" w:cstheme="majorBidi"/>
          <w:lang w:val="en-AU"/>
        </w:rPr>
        <w:t xml:space="preserve"> may refer </w:t>
      </w:r>
      <w:r w:rsidRPr="004C5271">
        <w:rPr>
          <w:rFonts w:asciiTheme="majorBidi" w:hAnsiTheme="majorBidi" w:cstheme="majorBidi"/>
          <w:lang w:val="en-AU"/>
        </w:rPr>
        <w:t>coordinat</w:t>
      </w:r>
      <w:r w:rsidR="006F323D" w:rsidRPr="004C5271">
        <w:rPr>
          <w:rFonts w:asciiTheme="majorBidi" w:hAnsiTheme="majorBidi" w:cstheme="majorBidi"/>
          <w:lang w:val="en-AU"/>
        </w:rPr>
        <w:t>ion of</w:t>
      </w:r>
      <w:r w:rsidRPr="004C5271">
        <w:rPr>
          <w:rFonts w:asciiTheme="majorBidi" w:hAnsiTheme="majorBidi" w:cstheme="majorBidi"/>
          <w:lang w:val="en-AU"/>
        </w:rPr>
        <w:t xml:space="preserve"> a </w:t>
      </w:r>
      <w:r w:rsidR="006F323D" w:rsidRPr="004C5271">
        <w:rPr>
          <w:rFonts w:asciiTheme="majorBidi" w:hAnsiTheme="majorBidi" w:cstheme="majorBidi"/>
          <w:lang w:val="en-AU"/>
        </w:rPr>
        <w:t xml:space="preserve">national </w:t>
      </w:r>
      <w:r w:rsidRPr="004C5271">
        <w:rPr>
          <w:rFonts w:asciiTheme="majorBidi" w:hAnsiTheme="majorBidi" w:cstheme="majorBidi"/>
          <w:lang w:val="en-AU"/>
        </w:rPr>
        <w:t>project between law reform agencies</w:t>
      </w:r>
      <w:r w:rsidR="006F323D" w:rsidRPr="004C5271">
        <w:rPr>
          <w:rFonts w:asciiTheme="majorBidi" w:hAnsiTheme="majorBidi" w:cstheme="majorBidi"/>
          <w:lang w:val="en-AU"/>
        </w:rPr>
        <w:t xml:space="preserve"> to the Institute</w:t>
      </w:r>
      <w:r w:rsidRPr="004C5271">
        <w:rPr>
          <w:rFonts w:asciiTheme="majorBidi" w:hAnsiTheme="majorBidi" w:cstheme="majorBidi"/>
          <w:lang w:val="en-AU"/>
        </w:rPr>
        <w:t>.</w:t>
      </w:r>
      <w:r w:rsidR="006F323D" w:rsidRPr="004C5271">
        <w:rPr>
          <w:rFonts w:asciiTheme="majorBidi" w:hAnsiTheme="majorBidi" w:cstheme="majorBidi"/>
          <w:lang w:val="en-AU"/>
        </w:rPr>
        <w:t xml:space="preserve"> This project should consider the outcomes of reviews in Victoria and South Australia and feedback that the Institute received that, to introduce a substantial change like notional estate legislation, there </w:t>
      </w:r>
      <w:r w:rsidR="00742AD7" w:rsidRPr="004C5271">
        <w:rPr>
          <w:rFonts w:asciiTheme="majorBidi" w:hAnsiTheme="majorBidi" w:cstheme="majorBidi"/>
          <w:lang w:val="en-AU"/>
        </w:rPr>
        <w:t>should</w:t>
      </w:r>
      <w:r w:rsidR="006F323D" w:rsidRPr="004C5271">
        <w:rPr>
          <w:rFonts w:asciiTheme="majorBidi" w:hAnsiTheme="majorBidi" w:cstheme="majorBidi"/>
          <w:lang w:val="en-AU"/>
        </w:rPr>
        <w:t xml:space="preserve"> be empirical evidence of the need for reform, along with a robust evaluation of the effectiveness of the New South Wales legislation if this is to be adopted as the preferred approach. </w:t>
      </w:r>
    </w:p>
    <w:p w14:paraId="47203DE8" w14:textId="0512D3C0" w:rsidR="00DC7DA1" w:rsidRPr="004C5271" w:rsidRDefault="00DC7DA1" w:rsidP="00DC7DA1">
      <w:pPr>
        <w:pStyle w:val="NormalNumberedTextTLRI"/>
        <w:rPr>
          <w:rFonts w:asciiTheme="majorBidi" w:hAnsiTheme="majorBidi" w:cstheme="majorBidi"/>
          <w:lang w:val="en-AU"/>
        </w:rPr>
      </w:pPr>
      <w:r w:rsidRPr="004C5271">
        <w:rPr>
          <w:rFonts w:asciiTheme="majorBidi" w:hAnsiTheme="majorBidi" w:cstheme="majorBidi"/>
          <w:lang w:val="en-AU"/>
        </w:rPr>
        <w:lastRenderedPageBreak/>
        <w:t xml:space="preserve">Noting the strong arguments for notional estate legislation, the State Government may legitimately conclude that there is a need for legislative reform to incorporate notional estate provisions within the </w:t>
      </w:r>
      <w:r w:rsidRPr="004C5271">
        <w:rPr>
          <w:rFonts w:asciiTheme="majorBidi" w:hAnsiTheme="majorBidi" w:cstheme="majorBidi"/>
          <w:i/>
          <w:iCs/>
          <w:lang w:val="en-AU"/>
        </w:rPr>
        <w:t>TFM Act</w:t>
      </w:r>
      <w:r w:rsidRPr="004C5271">
        <w:rPr>
          <w:rFonts w:asciiTheme="majorBidi" w:hAnsiTheme="majorBidi" w:cstheme="majorBidi"/>
          <w:lang w:val="en-AU"/>
        </w:rPr>
        <w:t xml:space="preserve">. If notional estate laws </w:t>
      </w:r>
      <w:r w:rsidR="006C546A" w:rsidRPr="004C5271">
        <w:rPr>
          <w:rFonts w:asciiTheme="majorBidi" w:hAnsiTheme="majorBidi" w:cstheme="majorBidi"/>
          <w:lang w:val="en-AU"/>
        </w:rPr>
        <w:t xml:space="preserve">were </w:t>
      </w:r>
      <w:r w:rsidRPr="004C5271">
        <w:rPr>
          <w:rFonts w:asciiTheme="majorBidi" w:hAnsiTheme="majorBidi" w:cstheme="majorBidi"/>
          <w:lang w:val="en-AU"/>
        </w:rPr>
        <w:t xml:space="preserve">to be enacted, then reflecting the Institute’s view that there is a need for caution, introduction of a more limited scheme </w:t>
      </w:r>
      <w:r w:rsidR="006C546A" w:rsidRPr="004C5271">
        <w:rPr>
          <w:rFonts w:asciiTheme="majorBidi" w:hAnsiTheme="majorBidi" w:cstheme="majorBidi"/>
          <w:lang w:val="en-AU"/>
        </w:rPr>
        <w:t xml:space="preserve">would be </w:t>
      </w:r>
      <w:r w:rsidRPr="004C5271">
        <w:rPr>
          <w:rFonts w:asciiTheme="majorBidi" w:hAnsiTheme="majorBidi" w:cstheme="majorBidi"/>
          <w:lang w:val="en-AU"/>
        </w:rPr>
        <w:t xml:space="preserve">appropriate. </w:t>
      </w:r>
    </w:p>
    <w:p w14:paraId="6EF2BD51" w14:textId="61CA7A4F" w:rsidR="00AD2F30" w:rsidRPr="004C5271" w:rsidRDefault="00A06281" w:rsidP="000E5E1A">
      <w:pPr>
        <w:pStyle w:val="NormalNumberedTextTLRI"/>
        <w:rPr>
          <w:rFonts w:asciiTheme="majorBidi" w:hAnsiTheme="majorBidi" w:cstheme="majorBidi"/>
          <w:lang w:val="en-AU"/>
        </w:rPr>
      </w:pPr>
      <w:r w:rsidRPr="004C5271">
        <w:rPr>
          <w:rFonts w:asciiTheme="majorBidi" w:hAnsiTheme="majorBidi" w:cstheme="majorBidi"/>
          <w:lang w:val="en-AU"/>
        </w:rPr>
        <w:t xml:space="preserve">One of the concerns that respondents </w:t>
      </w:r>
      <w:r w:rsidR="00D00CBC" w:rsidRPr="004C5271">
        <w:rPr>
          <w:rFonts w:asciiTheme="majorBidi" w:hAnsiTheme="majorBidi" w:cstheme="majorBidi"/>
          <w:lang w:val="en-AU"/>
        </w:rPr>
        <w:t>expressed</w:t>
      </w:r>
      <w:r w:rsidRPr="004C5271">
        <w:rPr>
          <w:rFonts w:asciiTheme="majorBidi" w:hAnsiTheme="majorBidi" w:cstheme="majorBidi"/>
          <w:lang w:val="en-AU"/>
        </w:rPr>
        <w:t xml:space="preserve"> with the New South Wales approach to notional estate is its breadth.</w:t>
      </w:r>
      <w:r w:rsidRPr="004C5271">
        <w:rPr>
          <w:rStyle w:val="FootnoteReference"/>
          <w:rFonts w:asciiTheme="majorBidi" w:hAnsiTheme="majorBidi" w:cstheme="majorBidi"/>
          <w:lang w:val="en-AU"/>
        </w:rPr>
        <w:footnoteReference w:id="525"/>
      </w:r>
      <w:r w:rsidRPr="004C5271">
        <w:rPr>
          <w:rFonts w:asciiTheme="majorBidi" w:hAnsiTheme="majorBidi" w:cstheme="majorBidi"/>
          <w:lang w:val="en-AU"/>
        </w:rPr>
        <w:t xml:space="preserve"> There were concerns raised about its application to trusts, superannuation, joint tenancy properties and more broadly, its application to omissions, or a person’s failure to act, rather than solely </w:t>
      </w:r>
      <w:r w:rsidR="00D00CBC" w:rsidRPr="004C5271">
        <w:rPr>
          <w:rFonts w:asciiTheme="majorBidi" w:hAnsiTheme="majorBidi" w:cstheme="majorBidi"/>
          <w:lang w:val="en-AU"/>
        </w:rPr>
        <w:t>to</w:t>
      </w:r>
      <w:r w:rsidRPr="004C5271">
        <w:rPr>
          <w:rFonts w:asciiTheme="majorBidi" w:hAnsiTheme="majorBidi" w:cstheme="majorBidi"/>
          <w:lang w:val="en-AU"/>
        </w:rPr>
        <w:t xml:space="preserve"> a person’s positive acts. When compared to notional estate</w:t>
      </w:r>
      <w:r w:rsidR="00ED23F0" w:rsidRPr="004C5271">
        <w:rPr>
          <w:rFonts w:asciiTheme="majorBidi" w:hAnsiTheme="majorBidi" w:cstheme="majorBidi"/>
          <w:lang w:val="en-AU"/>
        </w:rPr>
        <w:t>-</w:t>
      </w:r>
      <w:r w:rsidRPr="004C5271">
        <w:rPr>
          <w:rFonts w:asciiTheme="majorBidi" w:hAnsiTheme="majorBidi" w:cstheme="majorBidi"/>
          <w:lang w:val="en-AU"/>
        </w:rPr>
        <w:t>style provisions</w:t>
      </w:r>
      <w:r w:rsidR="00ED23F0" w:rsidRPr="004C5271">
        <w:rPr>
          <w:rFonts w:asciiTheme="majorBidi" w:hAnsiTheme="majorBidi" w:cstheme="majorBidi"/>
          <w:lang w:val="en-AU"/>
        </w:rPr>
        <w:t xml:space="preserve"> operating in </w:t>
      </w:r>
      <w:r w:rsidR="000E5E1A" w:rsidRPr="004C5271">
        <w:rPr>
          <w:rFonts w:asciiTheme="majorBidi" w:hAnsiTheme="majorBidi" w:cstheme="majorBidi"/>
          <w:lang w:val="en-AU"/>
        </w:rPr>
        <w:t xml:space="preserve">family provision legislation in </w:t>
      </w:r>
      <w:r w:rsidR="00ED23F0" w:rsidRPr="004C5271">
        <w:rPr>
          <w:rFonts w:asciiTheme="majorBidi" w:hAnsiTheme="majorBidi" w:cstheme="majorBidi"/>
          <w:lang w:val="en-AU"/>
        </w:rPr>
        <w:t>the UK and two provinces of Canada</w:t>
      </w:r>
      <w:r w:rsidRPr="004C5271">
        <w:rPr>
          <w:rFonts w:asciiTheme="majorBidi" w:hAnsiTheme="majorBidi" w:cstheme="majorBidi"/>
          <w:lang w:val="en-AU"/>
        </w:rPr>
        <w:t>,</w:t>
      </w:r>
      <w:r w:rsidR="000E5E1A" w:rsidRPr="004C5271">
        <w:rPr>
          <w:rStyle w:val="FootnoteReference"/>
          <w:rFonts w:asciiTheme="majorBidi" w:hAnsiTheme="majorBidi" w:cstheme="majorBidi"/>
          <w:lang w:val="en-AU"/>
        </w:rPr>
        <w:footnoteReference w:id="526"/>
      </w:r>
      <w:r w:rsidRPr="004C5271">
        <w:rPr>
          <w:rFonts w:asciiTheme="majorBidi" w:hAnsiTheme="majorBidi" w:cstheme="majorBidi"/>
          <w:lang w:val="en-AU"/>
        </w:rPr>
        <w:t xml:space="preserve"> </w:t>
      </w:r>
      <w:r w:rsidR="00ED23F0" w:rsidRPr="004C5271">
        <w:rPr>
          <w:rFonts w:asciiTheme="majorBidi" w:hAnsiTheme="majorBidi" w:cstheme="majorBidi"/>
          <w:lang w:val="en-AU"/>
        </w:rPr>
        <w:t xml:space="preserve">the NSW </w:t>
      </w:r>
      <w:r w:rsidR="00ED23F0" w:rsidRPr="004C5271">
        <w:rPr>
          <w:rFonts w:asciiTheme="majorBidi" w:hAnsiTheme="majorBidi" w:cstheme="majorBidi"/>
          <w:i/>
          <w:iCs/>
          <w:lang w:val="en-AU"/>
        </w:rPr>
        <w:t xml:space="preserve">Succession Act </w:t>
      </w:r>
      <w:r w:rsidRPr="004C5271">
        <w:rPr>
          <w:rFonts w:asciiTheme="majorBidi" w:hAnsiTheme="majorBidi" w:cstheme="majorBidi"/>
          <w:lang w:val="en-AU"/>
        </w:rPr>
        <w:t xml:space="preserve">is </w:t>
      </w:r>
      <w:r w:rsidR="000E5E1A" w:rsidRPr="004C5271">
        <w:rPr>
          <w:rFonts w:asciiTheme="majorBidi" w:hAnsiTheme="majorBidi" w:cstheme="majorBidi"/>
          <w:lang w:val="en-AU"/>
        </w:rPr>
        <w:t xml:space="preserve">arguably </w:t>
      </w:r>
      <w:r w:rsidR="005D6B9E" w:rsidRPr="004C5271">
        <w:rPr>
          <w:rFonts w:asciiTheme="majorBidi" w:hAnsiTheme="majorBidi" w:cstheme="majorBidi"/>
          <w:lang w:val="en-AU"/>
        </w:rPr>
        <w:t xml:space="preserve">the </w:t>
      </w:r>
      <w:r w:rsidRPr="004C5271">
        <w:rPr>
          <w:rFonts w:asciiTheme="majorBidi" w:hAnsiTheme="majorBidi" w:cstheme="majorBidi"/>
          <w:lang w:val="en-AU"/>
        </w:rPr>
        <w:t xml:space="preserve">most far-reaching </w:t>
      </w:r>
      <w:r w:rsidR="005D6B9E" w:rsidRPr="004C5271">
        <w:rPr>
          <w:rFonts w:asciiTheme="majorBidi" w:hAnsiTheme="majorBidi" w:cstheme="majorBidi"/>
          <w:lang w:val="en-AU"/>
        </w:rPr>
        <w:t xml:space="preserve">scheme </w:t>
      </w:r>
      <w:r w:rsidR="000E5E1A" w:rsidRPr="004C5271">
        <w:rPr>
          <w:rFonts w:asciiTheme="majorBidi" w:hAnsiTheme="majorBidi" w:cstheme="majorBidi"/>
          <w:lang w:val="en-AU"/>
        </w:rPr>
        <w:t xml:space="preserve">of which the </w:t>
      </w:r>
      <w:r w:rsidRPr="004C5271">
        <w:rPr>
          <w:rFonts w:asciiTheme="majorBidi" w:hAnsiTheme="majorBidi" w:cstheme="majorBidi"/>
          <w:lang w:val="en-AU"/>
        </w:rPr>
        <w:t>Institute is aware.</w:t>
      </w:r>
      <w:r w:rsidR="000E5E1A" w:rsidRPr="004C5271">
        <w:rPr>
          <w:rFonts w:asciiTheme="majorBidi" w:hAnsiTheme="majorBidi" w:cstheme="majorBidi"/>
          <w:lang w:val="en-AU"/>
        </w:rPr>
        <w:t xml:space="preserve"> </w:t>
      </w:r>
      <w:r w:rsidR="00AD2F30" w:rsidRPr="004C5271">
        <w:rPr>
          <w:rFonts w:asciiTheme="majorBidi" w:hAnsiTheme="majorBidi" w:cstheme="majorBidi"/>
          <w:lang w:val="en-AU"/>
        </w:rPr>
        <w:t xml:space="preserve">This may be one of the underlying reasons why legislation consistent with the model legislation </w:t>
      </w:r>
      <w:r w:rsidR="000E5E1A" w:rsidRPr="004C5271">
        <w:rPr>
          <w:rFonts w:asciiTheme="majorBidi" w:hAnsiTheme="majorBidi" w:cstheme="majorBidi"/>
          <w:lang w:val="en-AU"/>
        </w:rPr>
        <w:t xml:space="preserve">(based upon the </w:t>
      </w:r>
      <w:r w:rsidR="00254FD5" w:rsidRPr="004C5271">
        <w:rPr>
          <w:rFonts w:asciiTheme="majorBidi" w:hAnsiTheme="majorBidi" w:cstheme="majorBidi"/>
          <w:lang w:val="en-AU"/>
        </w:rPr>
        <w:t>New South Wales legislation</w:t>
      </w:r>
      <w:r w:rsidR="000E5E1A" w:rsidRPr="004C5271">
        <w:rPr>
          <w:rFonts w:asciiTheme="majorBidi" w:hAnsiTheme="majorBidi" w:cstheme="majorBidi"/>
          <w:lang w:val="en-AU"/>
        </w:rPr>
        <w:t xml:space="preserve">) </w:t>
      </w:r>
      <w:r w:rsidR="00AD2F30" w:rsidRPr="004C5271">
        <w:rPr>
          <w:rFonts w:asciiTheme="majorBidi" w:hAnsiTheme="majorBidi" w:cstheme="majorBidi"/>
          <w:lang w:val="en-AU"/>
        </w:rPr>
        <w:t xml:space="preserve">has not been enacted </w:t>
      </w:r>
      <w:r w:rsidR="00D00CBC" w:rsidRPr="004C5271">
        <w:rPr>
          <w:rFonts w:asciiTheme="majorBidi" w:hAnsiTheme="majorBidi" w:cstheme="majorBidi"/>
          <w:lang w:val="en-AU"/>
        </w:rPr>
        <w:t>elsewhere in Australia.</w:t>
      </w:r>
    </w:p>
    <w:p w14:paraId="7709AEE3" w14:textId="4C1BB4E4" w:rsidR="00985517" w:rsidRPr="004C5271" w:rsidRDefault="00642695" w:rsidP="000E5E1A">
      <w:pPr>
        <w:pStyle w:val="NormalNumberedTextTLRI"/>
        <w:rPr>
          <w:rFonts w:asciiTheme="majorBidi" w:hAnsiTheme="majorBidi" w:cstheme="majorBidi"/>
          <w:lang w:val="en-AU"/>
        </w:rPr>
      </w:pPr>
      <w:r w:rsidRPr="004C5271">
        <w:rPr>
          <w:rFonts w:asciiTheme="majorBidi" w:hAnsiTheme="majorBidi" w:cstheme="majorBidi"/>
          <w:lang w:val="en-AU"/>
        </w:rPr>
        <w:t>T</w:t>
      </w:r>
      <w:r w:rsidR="00985517" w:rsidRPr="004C5271">
        <w:rPr>
          <w:rFonts w:asciiTheme="majorBidi" w:hAnsiTheme="majorBidi" w:cstheme="majorBidi"/>
          <w:lang w:val="en-AU"/>
        </w:rPr>
        <w:t xml:space="preserve">he Institute notes </w:t>
      </w:r>
      <w:r w:rsidR="0044185B" w:rsidRPr="004C5271">
        <w:rPr>
          <w:rFonts w:asciiTheme="majorBidi" w:hAnsiTheme="majorBidi" w:cstheme="majorBidi"/>
          <w:lang w:val="en-AU"/>
        </w:rPr>
        <w:t xml:space="preserve">that several respondents identified </w:t>
      </w:r>
      <w:r w:rsidR="00985517" w:rsidRPr="004C5271">
        <w:rPr>
          <w:rFonts w:asciiTheme="majorBidi" w:hAnsiTheme="majorBidi" w:cstheme="majorBidi"/>
          <w:lang w:val="en-AU"/>
        </w:rPr>
        <w:t xml:space="preserve">the utility of broadly framing provisions based upon the NSW </w:t>
      </w:r>
      <w:r w:rsidR="00985517" w:rsidRPr="004C5271">
        <w:rPr>
          <w:rFonts w:asciiTheme="majorBidi" w:hAnsiTheme="majorBidi" w:cstheme="majorBidi"/>
          <w:i/>
          <w:iCs/>
          <w:lang w:val="en-AU"/>
        </w:rPr>
        <w:t>Succession Act</w:t>
      </w:r>
      <w:r w:rsidR="00985517" w:rsidRPr="004C5271">
        <w:rPr>
          <w:rFonts w:asciiTheme="majorBidi" w:hAnsiTheme="majorBidi" w:cstheme="majorBidi"/>
          <w:lang w:val="en-AU"/>
        </w:rPr>
        <w:t xml:space="preserve"> given the availability of existing educational materials and jurisprudence t</w:t>
      </w:r>
      <w:r w:rsidR="00F064A8" w:rsidRPr="004C5271">
        <w:rPr>
          <w:rFonts w:asciiTheme="majorBidi" w:hAnsiTheme="majorBidi" w:cstheme="majorBidi"/>
          <w:lang w:val="en-AU"/>
        </w:rPr>
        <w:t xml:space="preserve">o assist </w:t>
      </w:r>
      <w:r w:rsidR="00985517" w:rsidRPr="004C5271">
        <w:rPr>
          <w:rFonts w:asciiTheme="majorBidi" w:hAnsiTheme="majorBidi" w:cstheme="majorBidi"/>
          <w:lang w:val="en-AU"/>
        </w:rPr>
        <w:t>the court and lawyers in interpreting the scheme.</w:t>
      </w:r>
      <w:r w:rsidRPr="004C5271">
        <w:rPr>
          <w:rFonts w:asciiTheme="majorBidi" w:hAnsiTheme="majorBidi" w:cstheme="majorBidi"/>
          <w:lang w:val="en-AU"/>
        </w:rPr>
        <w:t xml:space="preserve"> </w:t>
      </w:r>
      <w:r w:rsidR="0044185B" w:rsidRPr="004C5271">
        <w:rPr>
          <w:rFonts w:asciiTheme="majorBidi" w:hAnsiTheme="majorBidi" w:cstheme="majorBidi"/>
          <w:lang w:val="en-AU"/>
        </w:rPr>
        <w:t>The Institute</w:t>
      </w:r>
      <w:r w:rsidRPr="004C5271">
        <w:rPr>
          <w:rFonts w:asciiTheme="majorBidi" w:hAnsiTheme="majorBidi" w:cstheme="majorBidi"/>
          <w:lang w:val="en-AU"/>
        </w:rPr>
        <w:t xml:space="preserve"> therefore suggests that </w:t>
      </w:r>
      <w:r w:rsidR="00DC7DA1" w:rsidRPr="004C5271">
        <w:rPr>
          <w:rFonts w:asciiTheme="majorBidi" w:hAnsiTheme="majorBidi" w:cstheme="majorBidi"/>
          <w:lang w:val="en-AU"/>
        </w:rPr>
        <w:t>a</w:t>
      </w:r>
      <w:r w:rsidRPr="004C5271">
        <w:rPr>
          <w:rFonts w:asciiTheme="majorBidi" w:hAnsiTheme="majorBidi" w:cstheme="majorBidi"/>
          <w:lang w:val="en-AU"/>
        </w:rPr>
        <w:t xml:space="preserve"> framework be broadly drafted based upon the NSW </w:t>
      </w:r>
      <w:r w:rsidRPr="004C5271">
        <w:rPr>
          <w:rFonts w:asciiTheme="majorBidi" w:hAnsiTheme="majorBidi" w:cstheme="majorBidi"/>
          <w:i/>
          <w:iCs/>
          <w:lang w:val="en-AU"/>
        </w:rPr>
        <w:t>Succession Act</w:t>
      </w:r>
      <w:r w:rsidRPr="004C5271">
        <w:rPr>
          <w:rFonts w:asciiTheme="majorBidi" w:hAnsiTheme="majorBidi" w:cstheme="majorBidi"/>
          <w:lang w:val="en-AU"/>
        </w:rPr>
        <w:t xml:space="preserve">. </w:t>
      </w:r>
      <w:r w:rsidR="0044185B" w:rsidRPr="004C5271">
        <w:rPr>
          <w:rFonts w:asciiTheme="majorBidi" w:hAnsiTheme="majorBidi" w:cstheme="majorBidi"/>
          <w:lang w:val="en-AU"/>
        </w:rPr>
        <w:t>One</w:t>
      </w:r>
      <w:r w:rsidRPr="004C5271">
        <w:rPr>
          <w:rFonts w:asciiTheme="majorBidi" w:hAnsiTheme="majorBidi" w:cstheme="majorBidi"/>
          <w:lang w:val="en-AU"/>
        </w:rPr>
        <w:t xml:space="preserve"> variation</w:t>
      </w:r>
      <w:r w:rsidR="0044185B" w:rsidRPr="004C5271">
        <w:rPr>
          <w:rFonts w:asciiTheme="majorBidi" w:hAnsiTheme="majorBidi" w:cstheme="majorBidi"/>
          <w:lang w:val="en-AU"/>
        </w:rPr>
        <w:t xml:space="preserve"> is, however, proposed to narrow </w:t>
      </w:r>
      <w:r w:rsidR="00254FD5" w:rsidRPr="004C5271">
        <w:rPr>
          <w:rFonts w:asciiTheme="majorBidi" w:hAnsiTheme="majorBidi" w:cstheme="majorBidi"/>
          <w:lang w:val="en-AU"/>
        </w:rPr>
        <w:t>its</w:t>
      </w:r>
      <w:r w:rsidR="0044185B" w:rsidRPr="004C5271">
        <w:rPr>
          <w:rFonts w:asciiTheme="majorBidi" w:hAnsiTheme="majorBidi" w:cstheme="majorBidi"/>
          <w:lang w:val="en-AU"/>
        </w:rPr>
        <w:t xml:space="preserve"> scope.</w:t>
      </w:r>
    </w:p>
    <w:p w14:paraId="454AA6DB" w14:textId="7954C677" w:rsidR="000E5E1A" w:rsidRPr="004C5271" w:rsidRDefault="00DC7DA1" w:rsidP="00985517">
      <w:pPr>
        <w:pStyle w:val="NormalNumberedTextTLRI"/>
        <w:rPr>
          <w:rFonts w:asciiTheme="majorBidi" w:hAnsiTheme="majorBidi" w:cstheme="majorBidi"/>
          <w:lang w:val="en-AU"/>
        </w:rPr>
      </w:pPr>
      <w:r w:rsidRPr="004C5271">
        <w:rPr>
          <w:rFonts w:asciiTheme="majorBidi" w:hAnsiTheme="majorBidi" w:cstheme="majorBidi"/>
          <w:lang w:val="en-AU"/>
        </w:rPr>
        <w:t>T</w:t>
      </w:r>
      <w:r w:rsidR="00985517" w:rsidRPr="004C5271">
        <w:rPr>
          <w:rFonts w:asciiTheme="majorBidi" w:hAnsiTheme="majorBidi" w:cstheme="majorBidi"/>
          <w:lang w:val="en-AU"/>
        </w:rPr>
        <w:t xml:space="preserve">he Institute proposes that the scheme be limited only to acts (for example transfers of assets) rather than omissions (for example, a failure to sever a joint tenancy or BDBN). </w:t>
      </w:r>
      <w:r w:rsidR="0044185B" w:rsidRPr="004C5271">
        <w:rPr>
          <w:rFonts w:asciiTheme="majorBidi" w:hAnsiTheme="majorBidi" w:cstheme="majorBidi"/>
          <w:lang w:val="en-AU"/>
        </w:rPr>
        <w:t>This can be achieved by limiting the definition of ‘relevant property transaction’</w:t>
      </w:r>
      <w:r w:rsidR="00441752" w:rsidRPr="004C5271">
        <w:rPr>
          <w:rFonts w:asciiTheme="majorBidi" w:hAnsiTheme="majorBidi" w:cstheme="majorBidi"/>
          <w:lang w:val="en-AU"/>
        </w:rPr>
        <w:t xml:space="preserve"> in the </w:t>
      </w:r>
      <w:r w:rsidR="00441752" w:rsidRPr="004C5271">
        <w:rPr>
          <w:rFonts w:asciiTheme="majorBidi" w:hAnsiTheme="majorBidi" w:cstheme="majorBidi"/>
          <w:i/>
          <w:iCs/>
          <w:lang w:val="en-AU"/>
        </w:rPr>
        <w:t>Succession Act</w:t>
      </w:r>
      <w:r w:rsidR="00441752" w:rsidRPr="004C5271">
        <w:rPr>
          <w:rFonts w:asciiTheme="majorBidi" w:hAnsiTheme="majorBidi" w:cstheme="majorBidi"/>
          <w:lang w:val="en-AU"/>
        </w:rPr>
        <w:t>.</w:t>
      </w:r>
      <w:r w:rsidR="0044185B" w:rsidRPr="004C5271">
        <w:rPr>
          <w:rFonts w:asciiTheme="majorBidi" w:hAnsiTheme="majorBidi" w:cstheme="majorBidi"/>
          <w:lang w:val="en-AU"/>
        </w:rPr>
        <w:t xml:space="preserve"> The effect</w:t>
      </w:r>
      <w:r w:rsidR="00985517" w:rsidRPr="004C5271">
        <w:rPr>
          <w:rFonts w:asciiTheme="majorBidi" w:hAnsiTheme="majorBidi" w:cstheme="majorBidi"/>
          <w:lang w:val="en-AU"/>
        </w:rPr>
        <w:t xml:space="preserve"> would </w:t>
      </w:r>
      <w:r w:rsidR="0044185B" w:rsidRPr="004C5271">
        <w:rPr>
          <w:rFonts w:asciiTheme="majorBidi" w:hAnsiTheme="majorBidi" w:cstheme="majorBidi"/>
          <w:lang w:val="en-AU"/>
        </w:rPr>
        <w:t xml:space="preserve">be to remove </w:t>
      </w:r>
      <w:r w:rsidR="00BE1CE7" w:rsidRPr="004C5271">
        <w:rPr>
          <w:rFonts w:asciiTheme="majorBidi" w:hAnsiTheme="majorBidi" w:cstheme="majorBidi"/>
          <w:lang w:val="en-AU"/>
        </w:rPr>
        <w:t xml:space="preserve">its </w:t>
      </w:r>
      <w:r w:rsidR="00985517" w:rsidRPr="004C5271">
        <w:rPr>
          <w:rFonts w:asciiTheme="majorBidi" w:hAnsiTheme="majorBidi" w:cstheme="majorBidi"/>
          <w:lang w:val="en-AU"/>
        </w:rPr>
        <w:t xml:space="preserve">application to failures to sever a joint tenancy or make </w:t>
      </w:r>
      <w:r w:rsidR="00985517" w:rsidRPr="004C5271">
        <w:rPr>
          <w:rFonts w:asciiTheme="majorBidi" w:hAnsiTheme="majorBidi" w:cstheme="majorBidi"/>
          <w:lang w:val="en-AU"/>
        </w:rPr>
        <w:lastRenderedPageBreak/>
        <w:t xml:space="preserve">or change a nomination for a superannuation fund or life insurance policy. It would also exclude trusts, except in situations where, prior to death, an individual </w:t>
      </w:r>
      <w:r w:rsidR="00254FD5" w:rsidRPr="004C5271">
        <w:rPr>
          <w:rFonts w:asciiTheme="majorBidi" w:hAnsiTheme="majorBidi" w:cstheme="majorBidi"/>
          <w:lang w:val="en-AU"/>
        </w:rPr>
        <w:t>gifted</w:t>
      </w:r>
      <w:r w:rsidR="00985517" w:rsidRPr="004C5271">
        <w:rPr>
          <w:rFonts w:asciiTheme="majorBidi" w:hAnsiTheme="majorBidi" w:cstheme="majorBidi"/>
          <w:lang w:val="en-AU"/>
        </w:rPr>
        <w:t xml:space="preserve"> an asset to a trust within the prescribed </w:t>
      </w:r>
      <w:r w:rsidR="00CA19E2" w:rsidRPr="004C5271">
        <w:rPr>
          <w:rFonts w:asciiTheme="majorBidi" w:hAnsiTheme="majorBidi" w:cstheme="majorBidi"/>
          <w:lang w:val="en-AU"/>
        </w:rPr>
        <w:t>period</w:t>
      </w:r>
      <w:r w:rsidR="00985517" w:rsidRPr="004C5271">
        <w:rPr>
          <w:rFonts w:asciiTheme="majorBidi" w:hAnsiTheme="majorBidi" w:cstheme="majorBidi"/>
          <w:lang w:val="en-AU"/>
        </w:rPr>
        <w:t xml:space="preserve">. </w:t>
      </w:r>
      <w:r w:rsidR="000E5E1A" w:rsidRPr="004C5271">
        <w:rPr>
          <w:rFonts w:asciiTheme="majorBidi" w:hAnsiTheme="majorBidi" w:cstheme="majorBidi"/>
          <w:lang w:val="en-AU"/>
        </w:rPr>
        <w:t>This approach provide</w:t>
      </w:r>
      <w:r w:rsidR="00985517" w:rsidRPr="004C5271">
        <w:rPr>
          <w:rFonts w:asciiTheme="majorBidi" w:hAnsiTheme="majorBidi" w:cstheme="majorBidi"/>
          <w:lang w:val="en-AU"/>
        </w:rPr>
        <w:t>s</w:t>
      </w:r>
      <w:r w:rsidR="000E5E1A" w:rsidRPr="004C5271">
        <w:rPr>
          <w:rFonts w:asciiTheme="majorBidi" w:hAnsiTheme="majorBidi" w:cstheme="majorBidi"/>
          <w:lang w:val="en-AU"/>
        </w:rPr>
        <w:t xml:space="preserve"> greater consistency with models operating in </w:t>
      </w:r>
      <w:r w:rsidR="00642695" w:rsidRPr="004C5271">
        <w:rPr>
          <w:rFonts w:asciiTheme="majorBidi" w:hAnsiTheme="majorBidi" w:cstheme="majorBidi"/>
          <w:lang w:val="en-AU"/>
        </w:rPr>
        <w:t>Yukon</w:t>
      </w:r>
      <w:r w:rsidR="00642695" w:rsidRPr="004C5271">
        <w:rPr>
          <w:rStyle w:val="FootnoteReference"/>
          <w:rFonts w:asciiTheme="majorBidi" w:hAnsiTheme="majorBidi" w:cstheme="majorBidi"/>
          <w:lang w:val="en-AU"/>
        </w:rPr>
        <w:footnoteReference w:id="527"/>
      </w:r>
      <w:r w:rsidR="000E5E1A" w:rsidRPr="004C5271">
        <w:rPr>
          <w:rFonts w:asciiTheme="majorBidi" w:hAnsiTheme="majorBidi" w:cstheme="majorBidi"/>
          <w:lang w:val="en-AU"/>
        </w:rPr>
        <w:t xml:space="preserve"> </w:t>
      </w:r>
      <w:r w:rsidR="00642695" w:rsidRPr="004C5271">
        <w:rPr>
          <w:rFonts w:asciiTheme="majorBidi" w:hAnsiTheme="majorBidi" w:cstheme="majorBidi"/>
          <w:lang w:val="en-AU"/>
        </w:rPr>
        <w:t>and Ontario</w:t>
      </w:r>
      <w:r w:rsidR="00642695" w:rsidRPr="004C5271">
        <w:rPr>
          <w:rStyle w:val="FootnoteReference"/>
          <w:rFonts w:asciiTheme="majorBidi" w:hAnsiTheme="majorBidi" w:cstheme="majorBidi"/>
          <w:lang w:val="en-AU"/>
        </w:rPr>
        <w:footnoteReference w:id="528"/>
      </w:r>
      <w:r w:rsidR="00642695" w:rsidRPr="004C5271">
        <w:rPr>
          <w:rFonts w:asciiTheme="majorBidi" w:hAnsiTheme="majorBidi" w:cstheme="majorBidi"/>
          <w:lang w:val="en-AU"/>
        </w:rPr>
        <w:t xml:space="preserve"> in Canada </w:t>
      </w:r>
      <w:r w:rsidR="000E5E1A" w:rsidRPr="004C5271">
        <w:rPr>
          <w:rFonts w:asciiTheme="majorBidi" w:hAnsiTheme="majorBidi" w:cstheme="majorBidi"/>
          <w:lang w:val="en-AU"/>
        </w:rPr>
        <w:t>which deal with acts rather than omissions.</w:t>
      </w:r>
      <w:r w:rsidR="00D75EDB" w:rsidRPr="004C5271">
        <w:rPr>
          <w:rFonts w:asciiTheme="majorBidi" w:hAnsiTheme="majorBidi" w:cstheme="majorBidi"/>
          <w:lang w:val="en-AU"/>
        </w:rPr>
        <w:t xml:space="preserve"> It also limit</w:t>
      </w:r>
      <w:r w:rsidR="00F064A8" w:rsidRPr="004C5271">
        <w:rPr>
          <w:rFonts w:asciiTheme="majorBidi" w:hAnsiTheme="majorBidi" w:cstheme="majorBidi"/>
          <w:lang w:val="en-AU"/>
        </w:rPr>
        <w:t>s</w:t>
      </w:r>
      <w:r w:rsidR="00D75EDB" w:rsidRPr="004C5271">
        <w:rPr>
          <w:rFonts w:asciiTheme="majorBidi" w:hAnsiTheme="majorBidi" w:cstheme="majorBidi"/>
          <w:lang w:val="en-AU"/>
        </w:rPr>
        <w:t xml:space="preserve"> criticisms of notional estate laws based upon a view that they undermine </w:t>
      </w:r>
      <w:r w:rsidR="000A7B48" w:rsidRPr="004C5271">
        <w:rPr>
          <w:rFonts w:asciiTheme="majorBidi" w:hAnsiTheme="majorBidi" w:cstheme="majorBidi"/>
          <w:lang w:val="en-AU"/>
        </w:rPr>
        <w:t>the</w:t>
      </w:r>
      <w:r w:rsidR="00D75EDB" w:rsidRPr="004C5271">
        <w:rPr>
          <w:rFonts w:asciiTheme="majorBidi" w:hAnsiTheme="majorBidi" w:cstheme="majorBidi"/>
          <w:lang w:val="en-AU"/>
        </w:rPr>
        <w:t xml:space="preserve"> legal foundations </w:t>
      </w:r>
      <w:r w:rsidR="000A7B48" w:rsidRPr="004C5271">
        <w:rPr>
          <w:rFonts w:asciiTheme="majorBidi" w:hAnsiTheme="majorBidi" w:cstheme="majorBidi"/>
          <w:lang w:val="en-AU"/>
        </w:rPr>
        <w:t>of fundamental laws including</w:t>
      </w:r>
      <w:r w:rsidR="00D75EDB" w:rsidRPr="004C5271">
        <w:rPr>
          <w:rFonts w:asciiTheme="majorBidi" w:hAnsiTheme="majorBidi" w:cstheme="majorBidi"/>
          <w:lang w:val="en-AU"/>
        </w:rPr>
        <w:t xml:space="preserve"> trust law and joint tenancy.</w:t>
      </w:r>
      <w:r w:rsidR="007F1589" w:rsidRPr="004C5271">
        <w:rPr>
          <w:rStyle w:val="FootnoteReference"/>
          <w:rFonts w:asciiTheme="majorBidi" w:hAnsiTheme="majorBidi" w:cstheme="majorBidi"/>
          <w:lang w:val="en-AU"/>
        </w:rPr>
        <w:footnoteReference w:id="529"/>
      </w:r>
      <w:r w:rsidR="0044185B" w:rsidRPr="004C5271">
        <w:rPr>
          <w:rFonts w:asciiTheme="majorBidi" w:hAnsiTheme="majorBidi" w:cstheme="majorBidi"/>
          <w:lang w:val="en-AU"/>
        </w:rPr>
        <w:t xml:space="preserve"> It is broadly consistent with the 2006 recommendations of the </w:t>
      </w:r>
      <w:r w:rsidR="00AF7348" w:rsidRPr="004C5271">
        <w:rPr>
          <w:rFonts w:asciiTheme="majorBidi" w:hAnsiTheme="majorBidi" w:cstheme="majorBidi"/>
          <w:lang w:val="en-AU"/>
        </w:rPr>
        <w:t>BCLI</w:t>
      </w:r>
      <w:r w:rsidR="0044185B" w:rsidRPr="004C5271">
        <w:rPr>
          <w:rStyle w:val="FootnoteReference"/>
          <w:rFonts w:asciiTheme="majorBidi" w:hAnsiTheme="majorBidi" w:cstheme="majorBidi"/>
          <w:lang w:val="en-AU"/>
        </w:rPr>
        <w:footnoteReference w:id="530"/>
      </w:r>
      <w:r w:rsidR="0044185B" w:rsidRPr="004C5271">
        <w:rPr>
          <w:rFonts w:asciiTheme="majorBidi" w:hAnsiTheme="majorBidi" w:cstheme="majorBidi"/>
          <w:lang w:val="en-AU"/>
        </w:rPr>
        <w:t xml:space="preserve"> and accords with the thrust of the </w:t>
      </w:r>
      <w:r w:rsidR="00AF7348" w:rsidRPr="004C5271">
        <w:rPr>
          <w:rFonts w:asciiTheme="majorBidi" w:hAnsiTheme="majorBidi" w:cstheme="majorBidi"/>
          <w:lang w:val="en-AU"/>
        </w:rPr>
        <w:t>WALRC</w:t>
      </w:r>
      <w:r w:rsidR="0044185B" w:rsidRPr="004C5271">
        <w:rPr>
          <w:rFonts w:asciiTheme="majorBidi" w:hAnsiTheme="majorBidi" w:cstheme="majorBidi"/>
          <w:lang w:val="en-AU"/>
        </w:rPr>
        <w:t xml:space="preserve">’s </w:t>
      </w:r>
      <w:r w:rsidR="00254FD5" w:rsidRPr="004C5271">
        <w:rPr>
          <w:rFonts w:asciiTheme="majorBidi" w:hAnsiTheme="majorBidi" w:cstheme="majorBidi"/>
          <w:lang w:val="en-AU"/>
        </w:rPr>
        <w:t xml:space="preserve">preliminary </w:t>
      </w:r>
      <w:r w:rsidR="0044185B" w:rsidRPr="004C5271">
        <w:rPr>
          <w:rFonts w:asciiTheme="majorBidi" w:hAnsiTheme="majorBidi" w:cstheme="majorBidi"/>
          <w:lang w:val="en-AU"/>
        </w:rPr>
        <w:t xml:space="preserve">views conveyed </w:t>
      </w:r>
      <w:r w:rsidR="00CA19E2" w:rsidRPr="004C5271">
        <w:rPr>
          <w:rFonts w:asciiTheme="majorBidi" w:hAnsiTheme="majorBidi" w:cstheme="majorBidi"/>
          <w:lang w:val="en-AU"/>
        </w:rPr>
        <w:t>about</w:t>
      </w:r>
      <w:r w:rsidR="0044185B" w:rsidRPr="004C5271">
        <w:rPr>
          <w:rFonts w:asciiTheme="majorBidi" w:hAnsiTheme="majorBidi" w:cstheme="majorBidi"/>
          <w:lang w:val="en-AU"/>
        </w:rPr>
        <w:t xml:space="preserve"> the potential application of notional estate law to joint tenancy.</w:t>
      </w:r>
      <w:r w:rsidR="0044185B" w:rsidRPr="004C5271">
        <w:rPr>
          <w:rStyle w:val="FootnoteReference"/>
          <w:rFonts w:asciiTheme="majorBidi" w:hAnsiTheme="majorBidi" w:cstheme="majorBidi"/>
          <w:lang w:val="en-AU"/>
        </w:rPr>
        <w:footnoteReference w:id="531"/>
      </w:r>
    </w:p>
    <w:p w14:paraId="41DDBF35" w14:textId="22B156AD" w:rsidR="00FC257D" w:rsidRPr="004C5271" w:rsidRDefault="00FC257D" w:rsidP="007F1589">
      <w:pPr>
        <w:pStyle w:val="NormalNumberedTextTLRI"/>
        <w:rPr>
          <w:rFonts w:asciiTheme="majorBidi" w:hAnsiTheme="majorBidi" w:cstheme="majorBidi"/>
          <w:lang w:val="en-AU"/>
        </w:rPr>
      </w:pPr>
      <w:r w:rsidRPr="004C5271">
        <w:rPr>
          <w:rFonts w:asciiTheme="majorBidi" w:hAnsiTheme="majorBidi" w:cstheme="majorBidi"/>
          <w:lang w:val="en-AU"/>
        </w:rPr>
        <w:t>The Institute</w:t>
      </w:r>
      <w:r w:rsidR="0044185B" w:rsidRPr="004C5271">
        <w:rPr>
          <w:rFonts w:asciiTheme="majorBidi" w:hAnsiTheme="majorBidi" w:cstheme="majorBidi"/>
          <w:lang w:val="en-AU"/>
        </w:rPr>
        <w:t xml:space="preserve"> further</w:t>
      </w:r>
      <w:r w:rsidRPr="004C5271">
        <w:rPr>
          <w:rFonts w:asciiTheme="majorBidi" w:hAnsiTheme="majorBidi" w:cstheme="majorBidi"/>
          <w:lang w:val="en-AU"/>
        </w:rPr>
        <w:t xml:space="preserve"> recommends that</w:t>
      </w:r>
      <w:r w:rsidR="00646EE6" w:rsidRPr="004C5271">
        <w:rPr>
          <w:rFonts w:asciiTheme="majorBidi" w:hAnsiTheme="majorBidi" w:cstheme="majorBidi"/>
          <w:lang w:val="en-AU"/>
        </w:rPr>
        <w:t xml:space="preserve">, if </w:t>
      </w:r>
      <w:r w:rsidR="00A3556F" w:rsidRPr="004C5271">
        <w:rPr>
          <w:rFonts w:asciiTheme="majorBidi" w:hAnsiTheme="majorBidi" w:cstheme="majorBidi"/>
          <w:lang w:val="en-AU"/>
        </w:rPr>
        <w:t>notional estate laws are enacted, the following strategies should be deployed to mitigate any adverse effect they may have</w:t>
      </w:r>
      <w:r w:rsidRPr="004C5271">
        <w:rPr>
          <w:rFonts w:asciiTheme="majorBidi" w:hAnsiTheme="majorBidi" w:cstheme="majorBidi"/>
          <w:lang w:val="en-AU"/>
        </w:rPr>
        <w:t xml:space="preserve">: </w:t>
      </w:r>
    </w:p>
    <w:p w14:paraId="6DE7979C" w14:textId="0040B15F" w:rsidR="00FC257D" w:rsidRPr="004C5271" w:rsidRDefault="00254FD5" w:rsidP="00FC257D">
      <w:pPr>
        <w:pStyle w:val="DotPointTLRI"/>
        <w:rPr>
          <w:rFonts w:asciiTheme="majorBidi" w:hAnsiTheme="majorBidi" w:cstheme="majorBidi"/>
          <w:lang w:val="en-AU"/>
        </w:rPr>
      </w:pPr>
      <w:r w:rsidRPr="004C5271">
        <w:rPr>
          <w:rFonts w:asciiTheme="majorBidi" w:hAnsiTheme="majorBidi" w:cstheme="majorBidi"/>
          <w:lang w:val="en-AU"/>
        </w:rPr>
        <w:t>providing</w:t>
      </w:r>
      <w:r w:rsidR="00A3556F" w:rsidRPr="004C5271">
        <w:rPr>
          <w:rFonts w:asciiTheme="majorBidi" w:hAnsiTheme="majorBidi" w:cstheme="majorBidi"/>
          <w:lang w:val="en-AU"/>
        </w:rPr>
        <w:t xml:space="preserve"> that the</w:t>
      </w:r>
      <w:r w:rsidR="00FC257D" w:rsidRPr="004C5271">
        <w:rPr>
          <w:rFonts w:asciiTheme="majorBidi" w:hAnsiTheme="majorBidi" w:cstheme="majorBidi"/>
          <w:lang w:val="en-AU"/>
        </w:rPr>
        <w:t xml:space="preserve"> reforms </w:t>
      </w:r>
      <w:r w:rsidR="00A3556F" w:rsidRPr="004C5271">
        <w:rPr>
          <w:rFonts w:asciiTheme="majorBidi" w:hAnsiTheme="majorBidi" w:cstheme="majorBidi"/>
          <w:lang w:val="en-AU"/>
        </w:rPr>
        <w:t>do not</w:t>
      </w:r>
      <w:r w:rsidR="00FC257D" w:rsidRPr="004C5271">
        <w:rPr>
          <w:rFonts w:asciiTheme="majorBidi" w:hAnsiTheme="majorBidi" w:cstheme="majorBidi"/>
          <w:lang w:val="en-AU"/>
        </w:rPr>
        <w:t xml:space="preserve"> operate retrospectively;</w:t>
      </w:r>
    </w:p>
    <w:p w14:paraId="3AD99AF2" w14:textId="12F66AA9" w:rsidR="00FC257D" w:rsidRPr="004C5271" w:rsidRDefault="00FC257D" w:rsidP="00FC257D">
      <w:pPr>
        <w:pStyle w:val="DotPointTLRI"/>
        <w:rPr>
          <w:rFonts w:asciiTheme="majorBidi" w:hAnsiTheme="majorBidi" w:cstheme="majorBidi"/>
          <w:lang w:val="en-AU"/>
        </w:rPr>
      </w:pPr>
      <w:r w:rsidRPr="004C5271">
        <w:rPr>
          <w:rFonts w:asciiTheme="majorBidi" w:hAnsiTheme="majorBidi" w:cstheme="majorBidi"/>
          <w:lang w:val="en-AU"/>
        </w:rPr>
        <w:t xml:space="preserve">ensuring that </w:t>
      </w:r>
      <w:r w:rsidR="00A3556F" w:rsidRPr="004C5271">
        <w:rPr>
          <w:rFonts w:asciiTheme="majorBidi" w:hAnsiTheme="majorBidi" w:cstheme="majorBidi"/>
          <w:lang w:val="en-AU"/>
        </w:rPr>
        <w:t xml:space="preserve">the </w:t>
      </w:r>
      <w:r w:rsidRPr="004C5271">
        <w:rPr>
          <w:rFonts w:asciiTheme="majorBidi" w:hAnsiTheme="majorBidi" w:cstheme="majorBidi"/>
          <w:lang w:val="en-AU"/>
        </w:rPr>
        <w:t xml:space="preserve">legislative reforms are complemented by a comprehensive public education campaign to </w:t>
      </w:r>
      <w:r w:rsidR="005D6B9E" w:rsidRPr="004C5271">
        <w:rPr>
          <w:rFonts w:asciiTheme="majorBidi" w:hAnsiTheme="majorBidi" w:cstheme="majorBidi"/>
          <w:lang w:val="en-AU"/>
        </w:rPr>
        <w:t>inform</w:t>
      </w:r>
      <w:r w:rsidRPr="004C5271">
        <w:rPr>
          <w:rFonts w:asciiTheme="majorBidi" w:hAnsiTheme="majorBidi" w:cstheme="majorBidi"/>
          <w:lang w:val="en-AU"/>
        </w:rPr>
        <w:t xml:space="preserve"> members of the public of </w:t>
      </w:r>
      <w:r w:rsidR="005D6B9E" w:rsidRPr="004C5271">
        <w:rPr>
          <w:rFonts w:asciiTheme="majorBidi" w:hAnsiTheme="majorBidi" w:cstheme="majorBidi"/>
          <w:lang w:val="en-AU"/>
        </w:rPr>
        <w:t>the</w:t>
      </w:r>
      <w:r w:rsidRPr="004C5271">
        <w:rPr>
          <w:rFonts w:asciiTheme="majorBidi" w:hAnsiTheme="majorBidi" w:cstheme="majorBidi"/>
          <w:lang w:val="en-AU"/>
        </w:rPr>
        <w:t xml:space="preserve"> </w:t>
      </w:r>
      <w:r w:rsidR="005D6B9E" w:rsidRPr="004C5271">
        <w:rPr>
          <w:rFonts w:asciiTheme="majorBidi" w:hAnsiTheme="majorBidi" w:cstheme="majorBidi"/>
          <w:lang w:val="en-AU"/>
        </w:rPr>
        <w:t>e</w:t>
      </w:r>
      <w:r w:rsidRPr="004C5271">
        <w:rPr>
          <w:rFonts w:asciiTheme="majorBidi" w:hAnsiTheme="majorBidi" w:cstheme="majorBidi"/>
          <w:lang w:val="en-AU"/>
        </w:rPr>
        <w:t>ffect</w:t>
      </w:r>
      <w:r w:rsidR="005D6B9E" w:rsidRPr="004C5271">
        <w:rPr>
          <w:rFonts w:asciiTheme="majorBidi" w:hAnsiTheme="majorBidi" w:cstheme="majorBidi"/>
          <w:lang w:val="en-AU"/>
        </w:rPr>
        <w:t xml:space="preserve"> of laws</w:t>
      </w:r>
      <w:r w:rsidRPr="004C5271">
        <w:rPr>
          <w:rFonts w:asciiTheme="majorBidi" w:hAnsiTheme="majorBidi" w:cstheme="majorBidi"/>
          <w:lang w:val="en-AU"/>
        </w:rPr>
        <w:t>; and</w:t>
      </w:r>
    </w:p>
    <w:p w14:paraId="04966A25" w14:textId="3CDD1723" w:rsidR="001205F2" w:rsidRPr="004C5271" w:rsidRDefault="00A3556F" w:rsidP="00126F9A">
      <w:pPr>
        <w:pStyle w:val="DotPointTLRI"/>
        <w:rPr>
          <w:rFonts w:asciiTheme="majorBidi" w:hAnsiTheme="majorBidi" w:cstheme="majorBidi"/>
          <w:lang w:val="en-AU"/>
        </w:rPr>
      </w:pPr>
      <w:r w:rsidRPr="004C5271">
        <w:rPr>
          <w:rFonts w:asciiTheme="majorBidi" w:hAnsiTheme="majorBidi" w:cstheme="majorBidi"/>
          <w:lang w:val="en-AU"/>
        </w:rPr>
        <w:t>consistent with th</w:t>
      </w:r>
      <w:r w:rsidR="00FC257D" w:rsidRPr="004C5271">
        <w:rPr>
          <w:rFonts w:asciiTheme="majorBidi" w:hAnsiTheme="majorBidi" w:cstheme="majorBidi"/>
          <w:lang w:val="en-AU"/>
        </w:rPr>
        <w:t xml:space="preserve">e NSW </w:t>
      </w:r>
      <w:r w:rsidR="00FC257D" w:rsidRPr="004C5271">
        <w:rPr>
          <w:rFonts w:asciiTheme="majorBidi" w:hAnsiTheme="majorBidi" w:cstheme="majorBidi"/>
          <w:i/>
          <w:iCs/>
          <w:lang w:val="en-AU"/>
        </w:rPr>
        <w:t>Succession Act</w:t>
      </w:r>
      <w:r w:rsidR="0044185B" w:rsidRPr="004C5271">
        <w:rPr>
          <w:rFonts w:asciiTheme="majorBidi" w:hAnsiTheme="majorBidi" w:cstheme="majorBidi"/>
          <w:lang w:val="en-AU"/>
        </w:rPr>
        <w:t>,</w:t>
      </w:r>
      <w:r w:rsidR="00254FD5" w:rsidRPr="004C5271">
        <w:rPr>
          <w:rStyle w:val="FootnoteReference"/>
          <w:rFonts w:asciiTheme="majorBidi" w:hAnsiTheme="majorBidi" w:cstheme="majorBidi"/>
          <w:lang w:val="en-AU"/>
        </w:rPr>
        <w:footnoteReference w:id="532"/>
      </w:r>
      <w:r w:rsidR="00FC257D" w:rsidRPr="004C5271">
        <w:rPr>
          <w:rFonts w:asciiTheme="majorBidi" w:hAnsiTheme="majorBidi" w:cstheme="majorBidi"/>
          <w:i/>
          <w:iCs/>
          <w:lang w:val="en-AU"/>
        </w:rPr>
        <w:t xml:space="preserve"> </w:t>
      </w:r>
      <w:r w:rsidR="00254FD5" w:rsidRPr="004C5271">
        <w:rPr>
          <w:rFonts w:asciiTheme="majorBidi" w:hAnsiTheme="majorBidi" w:cstheme="majorBidi"/>
          <w:lang w:val="en-AU"/>
        </w:rPr>
        <w:t>a section be included</w:t>
      </w:r>
      <w:r w:rsidRPr="004C5271">
        <w:rPr>
          <w:rFonts w:asciiTheme="majorBidi" w:hAnsiTheme="majorBidi" w:cstheme="majorBidi"/>
          <w:lang w:val="en-AU"/>
        </w:rPr>
        <w:t xml:space="preserve"> </w:t>
      </w:r>
      <w:r w:rsidR="00FC257D" w:rsidRPr="004C5271">
        <w:rPr>
          <w:rFonts w:asciiTheme="majorBidi" w:hAnsiTheme="majorBidi" w:cstheme="majorBidi"/>
          <w:lang w:val="en-AU"/>
        </w:rPr>
        <w:t xml:space="preserve">enabling families to enter into agreements to </w:t>
      </w:r>
      <w:r w:rsidR="0039644A" w:rsidRPr="004C5271">
        <w:rPr>
          <w:rFonts w:asciiTheme="majorBidi" w:hAnsiTheme="majorBidi" w:cstheme="majorBidi"/>
          <w:lang w:val="en-AU"/>
        </w:rPr>
        <w:t xml:space="preserve">effectively </w:t>
      </w:r>
      <w:r w:rsidR="00FC257D" w:rsidRPr="004C5271">
        <w:rPr>
          <w:rFonts w:asciiTheme="majorBidi" w:hAnsiTheme="majorBidi" w:cstheme="majorBidi"/>
          <w:lang w:val="en-AU"/>
        </w:rPr>
        <w:t xml:space="preserve">‘contract out’ of family provision claims. This </w:t>
      </w:r>
      <w:r w:rsidR="005D6B9E" w:rsidRPr="004C5271">
        <w:rPr>
          <w:rFonts w:asciiTheme="majorBidi" w:hAnsiTheme="majorBidi" w:cstheme="majorBidi"/>
          <w:lang w:val="en-AU"/>
        </w:rPr>
        <w:t xml:space="preserve">strategy </w:t>
      </w:r>
      <w:r w:rsidR="00FC257D" w:rsidRPr="004C5271">
        <w:rPr>
          <w:rFonts w:asciiTheme="majorBidi" w:hAnsiTheme="majorBidi" w:cstheme="majorBidi"/>
          <w:lang w:val="en-AU"/>
        </w:rPr>
        <w:t>goes some way to providing certainty for family members who mutually agree upon the desirability of transferring or gifting assets before death.</w:t>
      </w:r>
    </w:p>
    <w:p w14:paraId="0D6134A9" w14:textId="7F00E86D" w:rsidR="0027563E" w:rsidRPr="004C5271" w:rsidRDefault="0027563E" w:rsidP="0027563E">
      <w:pPr>
        <w:pStyle w:val="NormalNumberedTextTLRI"/>
        <w:rPr>
          <w:rFonts w:asciiTheme="majorBidi" w:hAnsiTheme="majorBidi" w:cstheme="majorBidi"/>
          <w:lang w:val="en-AU"/>
        </w:rPr>
      </w:pPr>
      <w:r w:rsidRPr="004C5271">
        <w:rPr>
          <w:rFonts w:asciiTheme="majorBidi" w:hAnsiTheme="majorBidi" w:cstheme="majorBidi"/>
          <w:lang w:val="en-AU"/>
        </w:rPr>
        <w:t xml:space="preserve">The Institute acknowledges that a more limited framework to that operating in New South Wales may be criticised on the basis that it does not adequately cover the range of issues that the NSW </w:t>
      </w:r>
      <w:r w:rsidRPr="004C5271">
        <w:rPr>
          <w:rFonts w:asciiTheme="majorBidi" w:hAnsiTheme="majorBidi" w:cstheme="majorBidi"/>
          <w:i/>
          <w:iCs/>
          <w:lang w:val="en-AU"/>
        </w:rPr>
        <w:t>Succession Act</w:t>
      </w:r>
      <w:r w:rsidRPr="004C5271">
        <w:rPr>
          <w:rFonts w:asciiTheme="majorBidi" w:hAnsiTheme="majorBidi" w:cstheme="majorBidi"/>
          <w:lang w:val="en-AU"/>
        </w:rPr>
        <w:t xml:space="preserve"> addresses. This is one of the risks of introducing a more limited scheme, however, the </w:t>
      </w:r>
      <w:r w:rsidRPr="004C5271">
        <w:rPr>
          <w:rFonts w:asciiTheme="majorBidi" w:hAnsiTheme="majorBidi" w:cstheme="majorBidi"/>
          <w:lang w:val="en-AU"/>
        </w:rPr>
        <w:lastRenderedPageBreak/>
        <w:t xml:space="preserve">Institute considers it a more moderate approach that responds to concerns identified. </w:t>
      </w:r>
    </w:p>
    <w:p w14:paraId="51E2F4A2" w14:textId="150EA5D3" w:rsidR="00D00982" w:rsidRPr="004C5271" w:rsidRDefault="00D00982" w:rsidP="00961683">
      <w:pPr>
        <w:pStyle w:val="Recheading"/>
        <w:keepNex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 w:val="left" w:pos="851"/>
        </w:tabs>
        <w:ind w:left="425" w:hanging="425"/>
        <w:rPr>
          <w:rFonts w:asciiTheme="majorBidi" w:hAnsiTheme="majorBidi" w:cstheme="majorBidi"/>
        </w:rPr>
      </w:pPr>
      <w:r w:rsidRPr="004C5271">
        <w:rPr>
          <w:rFonts w:asciiTheme="majorBidi" w:hAnsiTheme="majorBidi" w:cstheme="majorBidi"/>
        </w:rPr>
        <w:t>Recommendations</w:t>
      </w:r>
    </w:p>
    <w:p w14:paraId="22285C6E" w14:textId="030F9A36" w:rsidR="00D00982" w:rsidRPr="004C5271" w:rsidRDefault="00D00982" w:rsidP="00961683">
      <w:pPr>
        <w:pStyle w:val="Reclist"/>
        <w:keepNex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 w:val="left" w:pos="851"/>
        </w:tabs>
        <w:ind w:left="425" w:hanging="425"/>
        <w:rPr>
          <w:rFonts w:asciiTheme="majorBidi" w:hAnsiTheme="majorBidi" w:cstheme="majorBidi"/>
        </w:rPr>
      </w:pPr>
      <w:r w:rsidRPr="004C5271">
        <w:rPr>
          <w:rFonts w:asciiTheme="majorBidi" w:hAnsiTheme="majorBidi" w:cstheme="majorBidi"/>
        </w:rPr>
        <w:t>1.</w:t>
      </w:r>
      <w:r w:rsidRPr="004C5271">
        <w:rPr>
          <w:rFonts w:asciiTheme="majorBidi" w:hAnsiTheme="majorBidi" w:cstheme="majorBidi"/>
        </w:rPr>
        <w:tab/>
        <w:t xml:space="preserve">That notional estate laws not be introduced in Tasmania in the absence of nationally uniform </w:t>
      </w:r>
      <w:r w:rsidR="00873D09" w:rsidRPr="004C5271">
        <w:rPr>
          <w:rFonts w:asciiTheme="majorBidi" w:hAnsiTheme="majorBidi" w:cstheme="majorBidi"/>
        </w:rPr>
        <w:t xml:space="preserve">family provision </w:t>
      </w:r>
      <w:r w:rsidRPr="004C5271">
        <w:rPr>
          <w:rFonts w:asciiTheme="majorBidi" w:hAnsiTheme="majorBidi" w:cstheme="majorBidi"/>
        </w:rPr>
        <w:t>laws.</w:t>
      </w:r>
    </w:p>
    <w:p w14:paraId="016EA495" w14:textId="09E264B8" w:rsidR="00D00982" w:rsidRPr="004C5271" w:rsidRDefault="00D00982" w:rsidP="00821ED0">
      <w:pPr>
        <w:pStyle w:val="Reclis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 w:val="left" w:pos="851"/>
        </w:tabs>
        <w:rPr>
          <w:rFonts w:asciiTheme="majorBidi" w:hAnsiTheme="majorBidi" w:cstheme="majorBidi"/>
        </w:rPr>
      </w:pPr>
      <w:r w:rsidRPr="004C5271">
        <w:rPr>
          <w:rFonts w:asciiTheme="majorBidi" w:hAnsiTheme="majorBidi" w:cstheme="majorBidi"/>
        </w:rPr>
        <w:t>2.</w:t>
      </w:r>
      <w:r w:rsidRPr="004C5271">
        <w:rPr>
          <w:rFonts w:asciiTheme="majorBidi" w:hAnsiTheme="majorBidi" w:cstheme="majorBidi"/>
        </w:rPr>
        <w:tab/>
        <w:t>That, if notional estate laws are introduced:</w:t>
      </w:r>
    </w:p>
    <w:p w14:paraId="0CAC9996" w14:textId="77777777" w:rsidR="00D00982" w:rsidRPr="004C5271" w:rsidRDefault="00D00982" w:rsidP="00821ED0">
      <w:pPr>
        <w:pStyle w:val="Reclis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 w:val="left" w:pos="851"/>
        </w:tabs>
        <w:ind w:left="851" w:hanging="851"/>
        <w:rPr>
          <w:rFonts w:asciiTheme="majorBidi" w:hAnsiTheme="majorBidi" w:cstheme="majorBidi"/>
        </w:rPr>
      </w:pPr>
      <w:r w:rsidRPr="004C5271">
        <w:rPr>
          <w:rFonts w:asciiTheme="majorBidi" w:hAnsiTheme="majorBidi" w:cstheme="majorBidi"/>
        </w:rPr>
        <w:tab/>
        <w:t>2.1</w:t>
      </w:r>
      <w:r w:rsidRPr="004C5271">
        <w:rPr>
          <w:rFonts w:asciiTheme="majorBidi" w:hAnsiTheme="majorBidi" w:cstheme="majorBidi"/>
        </w:rPr>
        <w:tab/>
        <w:t>There be a comprehensive public education campaign advising stakeholders of the effect of legislative reform.</w:t>
      </w:r>
    </w:p>
    <w:p w14:paraId="548CBE79" w14:textId="759C7B57" w:rsidR="00D00982" w:rsidRPr="004C5271" w:rsidRDefault="00D00982" w:rsidP="00821ED0">
      <w:pPr>
        <w:pStyle w:val="Reclis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 w:val="left" w:pos="851"/>
        </w:tabs>
        <w:rPr>
          <w:rFonts w:asciiTheme="majorBidi" w:hAnsiTheme="majorBidi" w:cstheme="majorBidi"/>
        </w:rPr>
      </w:pPr>
      <w:r w:rsidRPr="004C5271">
        <w:rPr>
          <w:rFonts w:asciiTheme="majorBidi" w:hAnsiTheme="majorBidi" w:cstheme="majorBidi"/>
        </w:rPr>
        <w:tab/>
        <w:t>2.2</w:t>
      </w:r>
      <w:r w:rsidRPr="004C5271">
        <w:rPr>
          <w:rFonts w:asciiTheme="majorBidi" w:hAnsiTheme="majorBidi" w:cstheme="majorBidi"/>
        </w:rPr>
        <w:tab/>
      </w:r>
      <w:r w:rsidR="00873D09" w:rsidRPr="004C5271">
        <w:rPr>
          <w:rFonts w:asciiTheme="majorBidi" w:hAnsiTheme="majorBidi" w:cstheme="majorBidi"/>
        </w:rPr>
        <w:t>R</w:t>
      </w:r>
      <w:r w:rsidRPr="004C5271">
        <w:rPr>
          <w:rFonts w:asciiTheme="majorBidi" w:hAnsiTheme="majorBidi" w:cstheme="majorBidi"/>
        </w:rPr>
        <w:t>eforms not operate retrospectively.</w:t>
      </w:r>
    </w:p>
    <w:p w14:paraId="36740907" w14:textId="3764CF02" w:rsidR="00D00982" w:rsidRPr="004C5271" w:rsidRDefault="00D00982" w:rsidP="00821ED0">
      <w:pPr>
        <w:pStyle w:val="Reclis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 w:val="left" w:pos="851"/>
        </w:tabs>
        <w:ind w:left="851" w:hanging="851"/>
        <w:rPr>
          <w:rFonts w:asciiTheme="majorBidi" w:hAnsiTheme="majorBidi" w:cstheme="majorBidi"/>
        </w:rPr>
      </w:pPr>
      <w:r w:rsidRPr="004C5271">
        <w:rPr>
          <w:rFonts w:asciiTheme="majorBidi" w:hAnsiTheme="majorBidi" w:cstheme="majorBidi"/>
        </w:rPr>
        <w:tab/>
        <w:t>2.</w:t>
      </w:r>
      <w:r w:rsidR="00821ED0" w:rsidRPr="004C5271">
        <w:rPr>
          <w:rFonts w:asciiTheme="majorBidi" w:hAnsiTheme="majorBidi" w:cstheme="majorBidi"/>
        </w:rPr>
        <w:t>3</w:t>
      </w:r>
      <w:r w:rsidRPr="004C5271">
        <w:rPr>
          <w:rFonts w:asciiTheme="majorBidi" w:hAnsiTheme="majorBidi" w:cstheme="majorBidi"/>
        </w:rPr>
        <w:tab/>
      </w:r>
      <w:r w:rsidR="00873D09" w:rsidRPr="004C5271">
        <w:rPr>
          <w:rFonts w:asciiTheme="majorBidi" w:hAnsiTheme="majorBidi" w:cstheme="majorBidi"/>
        </w:rPr>
        <w:t>L</w:t>
      </w:r>
      <w:r w:rsidRPr="004C5271">
        <w:rPr>
          <w:rFonts w:asciiTheme="majorBidi" w:hAnsiTheme="majorBidi" w:cstheme="majorBidi"/>
        </w:rPr>
        <w:t xml:space="preserve">egislative reform broadly align with Part 3.3 of the </w:t>
      </w:r>
      <w:r w:rsidRPr="004C5271">
        <w:rPr>
          <w:rFonts w:asciiTheme="majorBidi" w:hAnsiTheme="majorBidi" w:cstheme="majorBidi"/>
          <w:i/>
          <w:iCs/>
        </w:rPr>
        <w:t>Succession Act 2006</w:t>
      </w:r>
      <w:r w:rsidRPr="004C5271">
        <w:rPr>
          <w:rFonts w:asciiTheme="majorBidi" w:hAnsiTheme="majorBidi" w:cstheme="majorBidi"/>
        </w:rPr>
        <w:t xml:space="preserve"> (NSW), subject to any variations made necessary to ensure consistency with existing terminology used in the </w:t>
      </w:r>
      <w:r w:rsidRPr="004C5271">
        <w:rPr>
          <w:rFonts w:asciiTheme="majorBidi" w:hAnsiTheme="majorBidi" w:cstheme="majorBidi"/>
          <w:i/>
          <w:iCs/>
        </w:rPr>
        <w:t>Testator’s Family Maintenance Act 1912</w:t>
      </w:r>
      <w:r w:rsidRPr="004C5271">
        <w:rPr>
          <w:rFonts w:asciiTheme="majorBidi" w:hAnsiTheme="majorBidi" w:cstheme="majorBidi"/>
        </w:rPr>
        <w:t xml:space="preserve"> (Tas)</w:t>
      </w:r>
      <w:r w:rsidR="00873D09" w:rsidRPr="004C5271">
        <w:rPr>
          <w:rFonts w:asciiTheme="majorBidi" w:hAnsiTheme="majorBidi" w:cstheme="majorBidi"/>
        </w:rPr>
        <w:t xml:space="preserve"> and Recommendation 2.</w:t>
      </w:r>
      <w:r w:rsidR="00821ED0" w:rsidRPr="004C5271">
        <w:rPr>
          <w:rFonts w:asciiTheme="majorBidi" w:hAnsiTheme="majorBidi" w:cstheme="majorBidi"/>
        </w:rPr>
        <w:t>4.</w:t>
      </w:r>
    </w:p>
    <w:p w14:paraId="1C8B2444" w14:textId="5D6B581C" w:rsidR="00D00982" w:rsidRPr="004C5271" w:rsidRDefault="00D00982" w:rsidP="00821ED0">
      <w:pPr>
        <w:pStyle w:val="Reclis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 w:val="left" w:pos="851"/>
        </w:tabs>
        <w:ind w:left="851" w:hanging="851"/>
        <w:rPr>
          <w:rFonts w:asciiTheme="majorBidi" w:hAnsiTheme="majorBidi" w:cstheme="majorBidi"/>
        </w:rPr>
      </w:pPr>
      <w:r w:rsidRPr="004C5271">
        <w:rPr>
          <w:rFonts w:asciiTheme="majorBidi" w:hAnsiTheme="majorBidi" w:cstheme="majorBidi"/>
        </w:rPr>
        <w:tab/>
        <w:t>2.</w:t>
      </w:r>
      <w:r w:rsidR="00821ED0" w:rsidRPr="004C5271">
        <w:rPr>
          <w:rFonts w:asciiTheme="majorBidi" w:hAnsiTheme="majorBidi" w:cstheme="majorBidi"/>
        </w:rPr>
        <w:t>4</w:t>
      </w:r>
      <w:r w:rsidRPr="004C5271">
        <w:rPr>
          <w:rFonts w:asciiTheme="majorBidi" w:hAnsiTheme="majorBidi" w:cstheme="majorBidi"/>
        </w:rPr>
        <w:tab/>
      </w:r>
      <w:r w:rsidR="00873D09" w:rsidRPr="004C5271">
        <w:rPr>
          <w:rFonts w:asciiTheme="majorBidi" w:hAnsiTheme="majorBidi" w:cstheme="majorBidi"/>
        </w:rPr>
        <w:t xml:space="preserve">The </w:t>
      </w:r>
      <w:r w:rsidR="00B13581" w:rsidRPr="004C5271">
        <w:rPr>
          <w:rFonts w:asciiTheme="majorBidi" w:hAnsiTheme="majorBidi" w:cstheme="majorBidi"/>
        </w:rPr>
        <w:t>term</w:t>
      </w:r>
      <w:r w:rsidRPr="004C5271">
        <w:rPr>
          <w:rFonts w:asciiTheme="majorBidi" w:hAnsiTheme="majorBidi" w:cstheme="majorBidi"/>
        </w:rPr>
        <w:t xml:space="preserve"> ‘relevant property transaction’ </w:t>
      </w:r>
      <w:r w:rsidR="00873D09" w:rsidRPr="004C5271">
        <w:rPr>
          <w:rFonts w:asciiTheme="majorBidi" w:hAnsiTheme="majorBidi" w:cstheme="majorBidi"/>
        </w:rPr>
        <w:t>be limited to</w:t>
      </w:r>
      <w:r w:rsidRPr="004C5271">
        <w:rPr>
          <w:rFonts w:asciiTheme="majorBidi" w:hAnsiTheme="majorBidi" w:cstheme="majorBidi"/>
        </w:rPr>
        <w:t xml:space="preserve"> acts rather than </w:t>
      </w:r>
      <w:r w:rsidR="00873D09" w:rsidRPr="004C5271">
        <w:rPr>
          <w:rFonts w:asciiTheme="majorBidi" w:hAnsiTheme="majorBidi" w:cstheme="majorBidi"/>
        </w:rPr>
        <w:t>failures to act</w:t>
      </w:r>
      <w:r w:rsidRPr="004C5271">
        <w:rPr>
          <w:rFonts w:asciiTheme="majorBidi" w:hAnsiTheme="majorBidi" w:cstheme="majorBidi"/>
        </w:rPr>
        <w:t>.</w:t>
      </w:r>
    </w:p>
    <w:p w14:paraId="5A1DAB34" w14:textId="72F6DE27" w:rsidR="00D00982" w:rsidRPr="004C5271" w:rsidRDefault="00D00982" w:rsidP="00821ED0">
      <w:pPr>
        <w:pStyle w:val="Reclist"/>
        <w:pBdr>
          <w:top w:val="single" w:sz="4" w:space="1" w:color="auto"/>
          <w:left w:val="single" w:sz="4" w:space="1" w:color="auto"/>
          <w:bottom w:val="single" w:sz="4" w:space="1" w:color="auto"/>
          <w:right w:val="single" w:sz="4" w:space="1" w:color="auto"/>
        </w:pBdr>
        <w:shd w:val="clear" w:color="auto" w:fill="D9D9D9" w:themeFill="background1" w:themeFillShade="D9"/>
        <w:tabs>
          <w:tab w:val="left" w:pos="0"/>
          <w:tab w:val="left" w:pos="851"/>
        </w:tabs>
        <w:ind w:left="851" w:hanging="851"/>
        <w:rPr>
          <w:rFonts w:asciiTheme="majorBidi" w:hAnsiTheme="majorBidi" w:cstheme="majorBidi"/>
        </w:rPr>
      </w:pPr>
      <w:r w:rsidRPr="004C5271">
        <w:rPr>
          <w:rFonts w:asciiTheme="majorBidi" w:hAnsiTheme="majorBidi" w:cstheme="majorBidi"/>
        </w:rPr>
        <w:tab/>
        <w:t>2.</w:t>
      </w:r>
      <w:r w:rsidR="00821ED0" w:rsidRPr="004C5271">
        <w:rPr>
          <w:rFonts w:asciiTheme="majorBidi" w:hAnsiTheme="majorBidi" w:cstheme="majorBidi"/>
        </w:rPr>
        <w:t>5</w:t>
      </w:r>
      <w:r w:rsidRPr="004C5271">
        <w:rPr>
          <w:rFonts w:asciiTheme="majorBidi" w:hAnsiTheme="majorBidi" w:cstheme="majorBidi"/>
        </w:rPr>
        <w:tab/>
        <w:t xml:space="preserve">The legislative framework </w:t>
      </w:r>
      <w:r w:rsidR="00CA19E2" w:rsidRPr="004C5271">
        <w:rPr>
          <w:rFonts w:asciiTheme="majorBidi" w:hAnsiTheme="majorBidi" w:cstheme="majorBidi"/>
        </w:rPr>
        <w:t>incorporates</w:t>
      </w:r>
      <w:r w:rsidRPr="004C5271">
        <w:rPr>
          <w:rFonts w:asciiTheme="majorBidi" w:hAnsiTheme="majorBidi" w:cstheme="majorBidi"/>
        </w:rPr>
        <w:t xml:space="preserve"> a section consistent with s</w:t>
      </w:r>
      <w:r w:rsidR="00961683">
        <w:rPr>
          <w:rFonts w:asciiTheme="majorBidi" w:hAnsiTheme="majorBidi" w:cstheme="majorBidi"/>
        </w:rPr>
        <w:t> </w:t>
      </w:r>
      <w:r w:rsidRPr="004C5271">
        <w:rPr>
          <w:rFonts w:asciiTheme="majorBidi" w:hAnsiTheme="majorBidi" w:cstheme="majorBidi"/>
        </w:rPr>
        <w:t xml:space="preserve">95 of the </w:t>
      </w:r>
      <w:r w:rsidRPr="004C5271">
        <w:rPr>
          <w:rFonts w:asciiTheme="majorBidi" w:hAnsiTheme="majorBidi" w:cstheme="majorBidi"/>
          <w:i/>
          <w:iCs/>
        </w:rPr>
        <w:t>Succession Act 2006</w:t>
      </w:r>
      <w:r w:rsidRPr="004C5271">
        <w:rPr>
          <w:rFonts w:asciiTheme="majorBidi" w:hAnsiTheme="majorBidi" w:cstheme="majorBidi"/>
        </w:rPr>
        <w:t xml:space="preserve"> (NSW) enabling the Supreme Court to approve agreements between eligible claimants about the transfer of assets and relinquishment of claims.</w:t>
      </w:r>
    </w:p>
    <w:p w14:paraId="61AD3103" w14:textId="592E2A49" w:rsidR="00742AD7" w:rsidRPr="004C5271" w:rsidRDefault="00821ED0" w:rsidP="00821ED0">
      <w:pPr>
        <w:pStyle w:val="Recnumberedlist"/>
        <w:numPr>
          <w:ilvl w:val="0"/>
          <w:numId w:val="0"/>
        </w:numPr>
        <w:pBdr>
          <w:top w:val="single" w:sz="4" w:space="1" w:color="auto"/>
          <w:left w:val="single" w:sz="4" w:space="1" w:color="auto"/>
          <w:bottom w:val="single" w:sz="4" w:space="1" w:color="auto"/>
          <w:right w:val="single" w:sz="4" w:space="1" w:color="auto"/>
        </w:pBdr>
        <w:shd w:val="clear" w:color="auto" w:fill="D9D9D9" w:themeFill="background1" w:themeFillShade="D9"/>
        <w:ind w:left="426" w:hanging="426"/>
        <w:rPr>
          <w:rFonts w:asciiTheme="majorBidi" w:hAnsiTheme="majorBidi" w:cstheme="majorBidi"/>
        </w:rPr>
      </w:pPr>
      <w:r w:rsidRPr="004C5271">
        <w:rPr>
          <w:rFonts w:asciiTheme="majorBidi" w:hAnsiTheme="majorBidi" w:cstheme="majorBidi"/>
        </w:rPr>
        <w:t>3.</w:t>
      </w:r>
      <w:r w:rsidRPr="004C5271">
        <w:rPr>
          <w:rFonts w:asciiTheme="majorBidi" w:hAnsiTheme="majorBidi" w:cstheme="majorBidi"/>
        </w:rPr>
        <w:tab/>
      </w:r>
      <w:r w:rsidR="00742AD7" w:rsidRPr="004C5271">
        <w:rPr>
          <w:rFonts w:asciiTheme="majorBidi" w:hAnsiTheme="majorBidi" w:cstheme="majorBidi"/>
        </w:rPr>
        <w:t>That the State Government advance the national debate surrounding nationally uniform family provision legislation via the Council of Attorneys-General or by referring the matter to the Institute to advance through coordination of a national project amongst law reform bodies.</w:t>
      </w:r>
    </w:p>
    <w:p w14:paraId="6465C9F2" w14:textId="414DDB89" w:rsidR="00821ED0" w:rsidRPr="004C5271" w:rsidRDefault="00742AD7" w:rsidP="00821ED0">
      <w:pPr>
        <w:pStyle w:val="Recnumberedlist"/>
        <w:numPr>
          <w:ilvl w:val="0"/>
          <w:numId w:val="0"/>
        </w:numPr>
        <w:pBdr>
          <w:top w:val="single" w:sz="4" w:space="1" w:color="auto"/>
          <w:left w:val="single" w:sz="4" w:space="1" w:color="auto"/>
          <w:bottom w:val="single" w:sz="4" w:space="1" w:color="auto"/>
          <w:right w:val="single" w:sz="4" w:space="1" w:color="auto"/>
        </w:pBdr>
        <w:shd w:val="clear" w:color="auto" w:fill="D9D9D9" w:themeFill="background1" w:themeFillShade="D9"/>
        <w:ind w:left="426" w:hanging="426"/>
        <w:rPr>
          <w:rFonts w:asciiTheme="majorBidi" w:hAnsiTheme="majorBidi" w:cstheme="majorBidi"/>
        </w:rPr>
        <w:sectPr w:rsidR="00821ED0" w:rsidRPr="004C5271" w:rsidSect="004C5271">
          <w:headerReference w:type="default" r:id="rId49"/>
          <w:pgSz w:w="9979" w:h="14232" w:code="9"/>
          <w:pgMar w:top="1440" w:right="1440" w:bottom="1440" w:left="1440" w:header="709" w:footer="709" w:gutter="0"/>
          <w:cols w:space="708"/>
          <w:titlePg/>
          <w:docGrid w:linePitch="360"/>
        </w:sectPr>
      </w:pPr>
      <w:r w:rsidRPr="004C5271">
        <w:rPr>
          <w:rFonts w:asciiTheme="majorBidi" w:hAnsiTheme="majorBidi" w:cstheme="majorBidi"/>
        </w:rPr>
        <w:t>4.</w:t>
      </w:r>
      <w:r w:rsidRPr="004C5271">
        <w:rPr>
          <w:rFonts w:asciiTheme="majorBidi" w:hAnsiTheme="majorBidi" w:cstheme="majorBidi"/>
        </w:rPr>
        <w:tab/>
      </w:r>
      <w:r w:rsidR="00821ED0" w:rsidRPr="004C5271">
        <w:rPr>
          <w:rFonts w:asciiTheme="majorBidi" w:hAnsiTheme="majorBidi" w:cstheme="majorBidi"/>
        </w:rPr>
        <w:t xml:space="preserve">That, if nationally uniform estate dispute laws are progressed, this matter be revisited, and, following a full evaluation of the operation of the New South Wales notional estate scheme, the utility of incorporating notional estate provisions within national uniform laws be considered as well as the form that those provisions might take. </w:t>
      </w:r>
    </w:p>
    <w:p w14:paraId="1C7AEE3F" w14:textId="4A9A8F80" w:rsidR="007A0D0B" w:rsidRPr="004C5271" w:rsidRDefault="007A0D0B" w:rsidP="00971BF6">
      <w:pPr>
        <w:pStyle w:val="NumberlessSectionHeading"/>
        <w:rPr>
          <w:rFonts w:asciiTheme="majorBidi" w:hAnsiTheme="majorBidi" w:cstheme="majorBidi"/>
        </w:rPr>
      </w:pPr>
      <w:bookmarkStart w:id="215" w:name="_Toc12268973"/>
      <w:r w:rsidRPr="004C5271">
        <w:rPr>
          <w:rFonts w:asciiTheme="majorBidi" w:hAnsiTheme="majorBidi" w:cstheme="majorBidi"/>
        </w:rPr>
        <w:lastRenderedPageBreak/>
        <w:t xml:space="preserve">Appendix 1: ‘Notional estate’ style provisions – </w:t>
      </w:r>
      <w:r w:rsidR="008D6F74" w:rsidRPr="004C5271">
        <w:rPr>
          <w:rFonts w:asciiTheme="majorBidi" w:hAnsiTheme="majorBidi" w:cstheme="majorBidi"/>
        </w:rPr>
        <w:t>New South Wales and England and Wales</w:t>
      </w:r>
      <w:bookmarkEnd w:id="215"/>
    </w:p>
    <w:tbl>
      <w:tblPr>
        <w:tblStyle w:val="TableGrid"/>
        <w:tblW w:w="5000" w:type="pct"/>
        <w:jc w:val="center"/>
        <w:tblLook w:val="04A0" w:firstRow="1" w:lastRow="0" w:firstColumn="1" w:lastColumn="0" w:noHBand="0" w:noVBand="1"/>
      </w:tblPr>
      <w:tblGrid>
        <w:gridCol w:w="2780"/>
        <w:gridCol w:w="2074"/>
        <w:gridCol w:w="2239"/>
      </w:tblGrid>
      <w:tr w:rsidR="007A0D0B" w:rsidRPr="004C5271" w14:paraId="0E0D83E0" w14:textId="77777777" w:rsidTr="00400E07">
        <w:trPr>
          <w:trHeight w:val="336"/>
          <w:tblHeader/>
          <w:jc w:val="center"/>
        </w:trPr>
        <w:tc>
          <w:tcPr>
            <w:tcW w:w="1960" w:type="pct"/>
            <w:tcBorders>
              <w:top w:val="single" w:sz="2" w:space="0" w:color="auto"/>
              <w:left w:val="single" w:sz="2" w:space="0" w:color="auto"/>
              <w:bottom w:val="single" w:sz="4" w:space="0" w:color="auto"/>
            </w:tcBorders>
            <w:shd w:val="clear" w:color="auto" w:fill="D9D9D9" w:themeFill="background1" w:themeFillShade="D9"/>
          </w:tcPr>
          <w:p w14:paraId="6AA3BEFD" w14:textId="77777777" w:rsidR="007A0D0B" w:rsidRPr="004C5271" w:rsidRDefault="007A0D0B" w:rsidP="008E1A85">
            <w:pPr>
              <w:spacing w:beforeLines="20" w:before="48" w:afterLines="20" w:after="48"/>
              <w:jc w:val="center"/>
              <w:rPr>
                <w:rFonts w:asciiTheme="majorBidi" w:hAnsiTheme="majorBidi" w:cstheme="majorBidi"/>
                <w:sz w:val="20"/>
                <w:szCs w:val="20"/>
              </w:rPr>
            </w:pPr>
          </w:p>
        </w:tc>
        <w:tc>
          <w:tcPr>
            <w:tcW w:w="1462" w:type="pct"/>
            <w:tcBorders>
              <w:top w:val="single" w:sz="2" w:space="0" w:color="auto"/>
              <w:bottom w:val="single" w:sz="4" w:space="0" w:color="auto"/>
            </w:tcBorders>
            <w:shd w:val="clear" w:color="auto" w:fill="D9D9D9" w:themeFill="background1" w:themeFillShade="D9"/>
            <w:vAlign w:val="center"/>
          </w:tcPr>
          <w:p w14:paraId="26E2D271" w14:textId="77777777" w:rsidR="007A0D0B" w:rsidRPr="004C5271" w:rsidRDefault="007A0D0B" w:rsidP="008E1A85">
            <w:pPr>
              <w:spacing w:beforeLines="20" w:before="48" w:afterLines="20" w:after="48"/>
              <w:jc w:val="center"/>
              <w:rPr>
                <w:rFonts w:asciiTheme="majorBidi" w:hAnsiTheme="majorBidi" w:cstheme="majorBidi"/>
                <w:b/>
                <w:bCs/>
                <w:sz w:val="20"/>
                <w:szCs w:val="20"/>
              </w:rPr>
            </w:pPr>
            <w:r w:rsidRPr="004C5271">
              <w:rPr>
                <w:rFonts w:asciiTheme="majorBidi" w:hAnsiTheme="majorBidi" w:cstheme="majorBidi"/>
                <w:b/>
                <w:bCs/>
                <w:sz w:val="20"/>
                <w:szCs w:val="20"/>
              </w:rPr>
              <w:t>New South Wales</w:t>
            </w:r>
          </w:p>
        </w:tc>
        <w:tc>
          <w:tcPr>
            <w:tcW w:w="1578" w:type="pct"/>
            <w:tcBorders>
              <w:top w:val="single" w:sz="2" w:space="0" w:color="auto"/>
              <w:bottom w:val="single" w:sz="4" w:space="0" w:color="auto"/>
              <w:right w:val="single" w:sz="2" w:space="0" w:color="auto"/>
            </w:tcBorders>
            <w:shd w:val="clear" w:color="auto" w:fill="D9D9D9" w:themeFill="background1" w:themeFillShade="D9"/>
            <w:vAlign w:val="center"/>
          </w:tcPr>
          <w:p w14:paraId="66B00D6B" w14:textId="2A333C9D" w:rsidR="007A0D0B" w:rsidRPr="004C5271" w:rsidRDefault="00D52973" w:rsidP="008E1A85">
            <w:pPr>
              <w:spacing w:beforeLines="20" w:before="48" w:afterLines="20" w:after="48"/>
              <w:jc w:val="center"/>
              <w:rPr>
                <w:rFonts w:asciiTheme="majorBidi" w:hAnsiTheme="majorBidi" w:cstheme="majorBidi"/>
                <w:b/>
                <w:bCs/>
                <w:sz w:val="20"/>
                <w:szCs w:val="20"/>
              </w:rPr>
            </w:pPr>
            <w:r w:rsidRPr="004C5271">
              <w:rPr>
                <w:rFonts w:asciiTheme="majorBidi" w:hAnsiTheme="majorBidi" w:cstheme="majorBidi"/>
                <w:b/>
                <w:bCs/>
                <w:sz w:val="20"/>
                <w:szCs w:val="20"/>
              </w:rPr>
              <w:t>England and Wales</w:t>
            </w:r>
          </w:p>
        </w:tc>
      </w:tr>
      <w:tr w:rsidR="00400E07" w:rsidRPr="004C5271" w14:paraId="4D7D7E93" w14:textId="48A7C778" w:rsidTr="00400E07">
        <w:trPr>
          <w:trHeight w:val="346"/>
          <w:jc w:val="center"/>
        </w:trPr>
        <w:tc>
          <w:tcPr>
            <w:tcW w:w="1960" w:type="pct"/>
            <w:tcBorders>
              <w:left w:val="single" w:sz="2" w:space="0" w:color="auto"/>
              <w:bottom w:val="single" w:sz="4" w:space="0" w:color="auto"/>
              <w:right w:val="single" w:sz="4" w:space="0" w:color="auto"/>
            </w:tcBorders>
            <w:vAlign w:val="center"/>
          </w:tcPr>
          <w:p w14:paraId="29E7553D" w14:textId="5C8A82D2" w:rsidR="00400E07" w:rsidRPr="004C5271" w:rsidRDefault="00400E07" w:rsidP="00400E07">
            <w:pPr>
              <w:pStyle w:val="legclearfix"/>
              <w:shd w:val="clear" w:color="auto" w:fill="FFFFFF"/>
              <w:spacing w:beforeLines="20" w:before="48" w:beforeAutospacing="0" w:afterLines="20" w:after="48" w:afterAutospacing="0"/>
              <w:rPr>
                <w:rFonts w:asciiTheme="majorBidi" w:hAnsiTheme="majorBidi" w:cstheme="majorBidi"/>
                <w:sz w:val="20"/>
                <w:szCs w:val="20"/>
              </w:rPr>
            </w:pPr>
            <w:r w:rsidRPr="004C5271">
              <w:rPr>
                <w:rFonts w:asciiTheme="majorBidi" w:hAnsiTheme="majorBidi" w:cstheme="majorBidi"/>
                <w:b/>
                <w:bCs/>
                <w:sz w:val="20"/>
                <w:szCs w:val="20"/>
              </w:rPr>
              <w:t>Eligible claimants</w:t>
            </w:r>
          </w:p>
        </w:tc>
        <w:tc>
          <w:tcPr>
            <w:tcW w:w="1462" w:type="pct"/>
            <w:tcBorders>
              <w:left w:val="single" w:sz="4" w:space="0" w:color="auto"/>
              <w:bottom w:val="single" w:sz="4" w:space="0" w:color="auto"/>
              <w:right w:val="single" w:sz="2" w:space="0" w:color="auto"/>
            </w:tcBorders>
            <w:vAlign w:val="center"/>
          </w:tcPr>
          <w:p w14:paraId="01A27085" w14:textId="77777777" w:rsidR="00400E07" w:rsidRPr="004C5271" w:rsidRDefault="00400E07" w:rsidP="00400E07">
            <w:pPr>
              <w:pStyle w:val="legclearfix"/>
              <w:shd w:val="clear" w:color="auto" w:fill="FFFFFF"/>
              <w:spacing w:beforeLines="20" w:before="48" w:beforeAutospacing="0" w:afterLines="20" w:after="48" w:afterAutospacing="0"/>
              <w:rPr>
                <w:rFonts w:asciiTheme="majorBidi" w:hAnsiTheme="majorBidi" w:cstheme="majorBidi"/>
                <w:sz w:val="20"/>
                <w:szCs w:val="20"/>
              </w:rPr>
            </w:pPr>
          </w:p>
        </w:tc>
        <w:tc>
          <w:tcPr>
            <w:tcW w:w="1578" w:type="pct"/>
            <w:tcBorders>
              <w:left w:val="single" w:sz="4" w:space="0" w:color="auto"/>
              <w:bottom w:val="single" w:sz="4" w:space="0" w:color="auto"/>
              <w:right w:val="single" w:sz="2" w:space="0" w:color="auto"/>
            </w:tcBorders>
            <w:vAlign w:val="center"/>
          </w:tcPr>
          <w:p w14:paraId="679C2BBF" w14:textId="77777777" w:rsidR="00400E07" w:rsidRPr="004C5271" w:rsidRDefault="00400E07" w:rsidP="00400E07">
            <w:pPr>
              <w:pStyle w:val="legclearfix"/>
              <w:shd w:val="clear" w:color="auto" w:fill="FFFFFF"/>
              <w:spacing w:beforeLines="20" w:before="48" w:beforeAutospacing="0" w:afterLines="20" w:after="48" w:afterAutospacing="0"/>
              <w:rPr>
                <w:rFonts w:asciiTheme="majorBidi" w:hAnsiTheme="majorBidi" w:cstheme="majorBidi"/>
                <w:sz w:val="20"/>
                <w:szCs w:val="20"/>
              </w:rPr>
            </w:pPr>
          </w:p>
        </w:tc>
      </w:tr>
      <w:tr w:rsidR="007A0D0B" w:rsidRPr="004C5271" w14:paraId="324A9D34" w14:textId="77777777" w:rsidTr="00400E07">
        <w:trPr>
          <w:trHeight w:val="346"/>
          <w:jc w:val="center"/>
        </w:trPr>
        <w:tc>
          <w:tcPr>
            <w:tcW w:w="1960" w:type="pct"/>
            <w:tcBorders>
              <w:top w:val="single" w:sz="4" w:space="0" w:color="auto"/>
              <w:left w:val="single" w:sz="2" w:space="0" w:color="auto"/>
              <w:bottom w:val="single" w:sz="2" w:space="0" w:color="auto"/>
            </w:tcBorders>
            <w:vAlign w:val="center"/>
          </w:tcPr>
          <w:p w14:paraId="626D9F4C" w14:textId="77777777" w:rsidR="007A0D0B" w:rsidRPr="004C5271" w:rsidRDefault="007A0D0B" w:rsidP="00CB7F69">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t>Spouse</w:t>
            </w:r>
            <w:r w:rsidRPr="004C5271">
              <w:rPr>
                <w:rStyle w:val="FootnoteReference"/>
                <w:rFonts w:asciiTheme="majorBidi" w:hAnsiTheme="majorBidi" w:cstheme="majorBidi"/>
                <w:szCs w:val="20"/>
              </w:rPr>
              <w:footnoteReference w:id="533"/>
            </w:r>
          </w:p>
        </w:tc>
        <w:tc>
          <w:tcPr>
            <w:tcW w:w="1462" w:type="pct"/>
            <w:tcBorders>
              <w:top w:val="single" w:sz="4" w:space="0" w:color="auto"/>
              <w:bottom w:val="single" w:sz="2" w:space="0" w:color="auto"/>
            </w:tcBorders>
            <w:vAlign w:val="center"/>
          </w:tcPr>
          <w:p w14:paraId="228514E8" w14:textId="44D77662" w:rsidR="007A0D0B" w:rsidRPr="004C5271" w:rsidRDefault="00971BF6" w:rsidP="008E1A85">
            <w:pPr>
              <w:tabs>
                <w:tab w:val="left" w:pos="309"/>
                <w:tab w:val="center" w:pos="1152"/>
              </w:tabs>
              <w:spacing w:beforeLines="20" w:before="48" w:afterLines="20" w:after="48"/>
              <w:jc w:val="center"/>
              <w:rPr>
                <w:rFonts w:asciiTheme="majorBidi" w:hAnsiTheme="majorBidi" w:cstheme="majorBidi"/>
                <w:sz w:val="24"/>
                <w:szCs w:val="24"/>
              </w:rPr>
            </w:pPr>
            <w:r w:rsidRPr="004C5271">
              <w:rPr>
                <w:rFonts w:asciiTheme="majorBidi" w:hAnsiTheme="majorBidi" w:cstheme="majorBidi"/>
                <w:sz w:val="24"/>
                <w:szCs w:val="24"/>
              </w:rPr>
              <w:sym w:font="Wingdings" w:char="F0FC"/>
            </w:r>
          </w:p>
        </w:tc>
        <w:tc>
          <w:tcPr>
            <w:tcW w:w="1578" w:type="pct"/>
            <w:tcBorders>
              <w:top w:val="single" w:sz="4" w:space="0" w:color="auto"/>
              <w:bottom w:val="single" w:sz="2" w:space="0" w:color="auto"/>
              <w:right w:val="single" w:sz="2" w:space="0" w:color="auto"/>
            </w:tcBorders>
            <w:vAlign w:val="center"/>
          </w:tcPr>
          <w:p w14:paraId="667FCA24" w14:textId="6E634E22" w:rsidR="007A0D0B" w:rsidRPr="004C5271" w:rsidRDefault="00971BF6" w:rsidP="008E1A85">
            <w:pPr>
              <w:tabs>
                <w:tab w:val="left" w:pos="309"/>
                <w:tab w:val="center" w:pos="1152"/>
              </w:tabs>
              <w:spacing w:beforeLines="20" w:before="48" w:afterLines="20" w:after="48"/>
              <w:jc w:val="center"/>
              <w:rPr>
                <w:rStyle w:val="legsubstitution"/>
                <w:rFonts w:asciiTheme="majorBidi" w:hAnsiTheme="majorBidi" w:cstheme="majorBidi"/>
                <w:color w:val="000000"/>
                <w:sz w:val="20"/>
                <w:szCs w:val="20"/>
              </w:rPr>
            </w:pPr>
            <w:r w:rsidRPr="004C5271">
              <w:rPr>
                <w:rFonts w:asciiTheme="majorBidi" w:hAnsiTheme="majorBidi" w:cstheme="majorBidi"/>
                <w:sz w:val="24"/>
                <w:szCs w:val="24"/>
              </w:rPr>
              <w:sym w:font="Wingdings" w:char="F0FC"/>
            </w:r>
          </w:p>
        </w:tc>
      </w:tr>
      <w:tr w:rsidR="007A0D0B" w:rsidRPr="004C5271" w14:paraId="383632D2" w14:textId="77777777" w:rsidTr="00400E07">
        <w:trPr>
          <w:trHeight w:val="346"/>
          <w:jc w:val="center"/>
        </w:trPr>
        <w:tc>
          <w:tcPr>
            <w:tcW w:w="1960" w:type="pct"/>
            <w:tcBorders>
              <w:top w:val="single" w:sz="2" w:space="0" w:color="auto"/>
              <w:left w:val="single" w:sz="2" w:space="0" w:color="auto"/>
              <w:bottom w:val="single" w:sz="2" w:space="0" w:color="auto"/>
            </w:tcBorders>
            <w:vAlign w:val="center"/>
          </w:tcPr>
          <w:p w14:paraId="737D9D51" w14:textId="77777777" w:rsidR="007A0D0B" w:rsidRPr="004C5271" w:rsidRDefault="007A0D0B" w:rsidP="00CB7F69">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t>Former Spouse</w:t>
            </w:r>
            <w:r w:rsidRPr="004C5271">
              <w:rPr>
                <w:rStyle w:val="FootnoteReference"/>
                <w:rFonts w:asciiTheme="majorBidi" w:hAnsiTheme="majorBidi" w:cstheme="majorBidi"/>
                <w:szCs w:val="20"/>
              </w:rPr>
              <w:footnoteReference w:id="534"/>
            </w:r>
          </w:p>
        </w:tc>
        <w:tc>
          <w:tcPr>
            <w:tcW w:w="1462" w:type="pct"/>
            <w:tcBorders>
              <w:top w:val="single" w:sz="2" w:space="0" w:color="auto"/>
              <w:bottom w:val="single" w:sz="2" w:space="0" w:color="auto"/>
            </w:tcBorders>
            <w:vAlign w:val="center"/>
          </w:tcPr>
          <w:p w14:paraId="3C0D6DB8" w14:textId="0D33BABC" w:rsidR="007A0D0B" w:rsidRPr="004C5271" w:rsidRDefault="00971BF6"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2" w:space="0" w:color="auto"/>
              <w:right w:val="single" w:sz="2" w:space="0" w:color="auto"/>
            </w:tcBorders>
            <w:vAlign w:val="center"/>
          </w:tcPr>
          <w:p w14:paraId="6A36FBB7" w14:textId="5E4BC7C1" w:rsidR="007A0D0B" w:rsidRPr="004C5271" w:rsidRDefault="00971BF6" w:rsidP="008E1A85">
            <w:pPr>
              <w:pStyle w:val="legclearfix"/>
              <w:shd w:val="clear" w:color="auto" w:fill="FFFFFF"/>
              <w:spacing w:beforeLines="20" w:before="48" w:beforeAutospacing="0" w:afterLines="20" w:after="48" w:afterAutospacing="0"/>
              <w:jc w:val="center"/>
              <w:rPr>
                <w:rStyle w:val="legsubstitution"/>
                <w:rFonts w:asciiTheme="majorBidi" w:hAnsiTheme="majorBidi" w:cstheme="majorBidi"/>
                <w:color w:val="000000"/>
                <w:sz w:val="20"/>
                <w:szCs w:val="20"/>
              </w:rPr>
            </w:pPr>
            <w:r w:rsidRPr="004C5271">
              <w:rPr>
                <w:rFonts w:asciiTheme="majorBidi" w:hAnsiTheme="majorBidi" w:cstheme="majorBidi"/>
                <w:sz w:val="24"/>
                <w:szCs w:val="24"/>
              </w:rPr>
              <w:sym w:font="Wingdings" w:char="F0FC"/>
            </w:r>
            <w:r w:rsidRPr="004C5271">
              <w:rPr>
                <w:rStyle w:val="legsubstitution"/>
                <w:rFonts w:asciiTheme="majorBidi" w:hAnsiTheme="majorBidi" w:cstheme="majorBidi"/>
                <w:color w:val="000000"/>
                <w:sz w:val="20"/>
                <w:szCs w:val="20"/>
              </w:rPr>
              <w:t xml:space="preserve"> </w:t>
            </w:r>
            <w:r w:rsidR="007A0D0B" w:rsidRPr="004C5271">
              <w:rPr>
                <w:rStyle w:val="legsubstitution"/>
                <w:rFonts w:asciiTheme="majorBidi" w:hAnsiTheme="majorBidi" w:cstheme="majorBidi"/>
                <w:color w:val="000000"/>
                <w:sz w:val="20"/>
                <w:szCs w:val="20"/>
              </w:rPr>
              <w:t>(if not re-partnered)</w:t>
            </w:r>
          </w:p>
        </w:tc>
      </w:tr>
      <w:tr w:rsidR="007A0D0B" w:rsidRPr="004C5271" w14:paraId="6A92AEDB" w14:textId="77777777" w:rsidTr="00400E07">
        <w:trPr>
          <w:trHeight w:val="346"/>
          <w:jc w:val="center"/>
        </w:trPr>
        <w:tc>
          <w:tcPr>
            <w:tcW w:w="1960" w:type="pct"/>
            <w:tcBorders>
              <w:top w:val="single" w:sz="2" w:space="0" w:color="auto"/>
              <w:left w:val="single" w:sz="2" w:space="0" w:color="auto"/>
              <w:bottom w:val="single" w:sz="2" w:space="0" w:color="auto"/>
            </w:tcBorders>
            <w:vAlign w:val="center"/>
          </w:tcPr>
          <w:p w14:paraId="1248650E" w14:textId="77777777" w:rsidR="007A0D0B" w:rsidRPr="004C5271" w:rsidRDefault="007A0D0B" w:rsidP="00CB7F69">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t>Child</w:t>
            </w:r>
            <w:r w:rsidRPr="004C5271">
              <w:rPr>
                <w:rStyle w:val="FootnoteReference"/>
                <w:rFonts w:asciiTheme="majorBidi" w:hAnsiTheme="majorBidi" w:cstheme="majorBidi"/>
                <w:szCs w:val="20"/>
              </w:rPr>
              <w:footnoteReference w:id="535"/>
            </w:r>
          </w:p>
        </w:tc>
        <w:tc>
          <w:tcPr>
            <w:tcW w:w="1462" w:type="pct"/>
            <w:tcBorders>
              <w:top w:val="single" w:sz="2" w:space="0" w:color="auto"/>
              <w:bottom w:val="single" w:sz="2" w:space="0" w:color="auto"/>
            </w:tcBorders>
            <w:vAlign w:val="center"/>
          </w:tcPr>
          <w:p w14:paraId="7E59777D" w14:textId="254A43BF" w:rsidR="007A0D0B" w:rsidRPr="004C5271" w:rsidRDefault="00971BF6"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2" w:space="0" w:color="auto"/>
              <w:right w:val="single" w:sz="2" w:space="0" w:color="auto"/>
            </w:tcBorders>
            <w:vAlign w:val="center"/>
          </w:tcPr>
          <w:p w14:paraId="4949F976" w14:textId="2D15CEA7" w:rsidR="007A0D0B" w:rsidRPr="004C5271" w:rsidRDefault="00971BF6" w:rsidP="008E1A85">
            <w:pPr>
              <w:pStyle w:val="legclearfix"/>
              <w:shd w:val="clear" w:color="auto" w:fill="FFFFFF"/>
              <w:spacing w:beforeLines="20" w:before="48" w:beforeAutospacing="0" w:afterLines="20" w:after="48" w:afterAutospacing="0"/>
              <w:jc w:val="center"/>
              <w:rPr>
                <w:rStyle w:val="legsubstitution"/>
                <w:rFonts w:asciiTheme="majorBidi" w:hAnsiTheme="majorBidi" w:cstheme="majorBidi"/>
                <w:color w:val="000000"/>
                <w:sz w:val="20"/>
                <w:szCs w:val="20"/>
              </w:rPr>
            </w:pPr>
            <w:r w:rsidRPr="004C5271">
              <w:rPr>
                <w:rFonts w:asciiTheme="majorBidi" w:hAnsiTheme="majorBidi" w:cstheme="majorBidi"/>
                <w:sz w:val="24"/>
                <w:szCs w:val="24"/>
              </w:rPr>
              <w:sym w:font="Wingdings" w:char="F0FC"/>
            </w:r>
          </w:p>
        </w:tc>
      </w:tr>
      <w:tr w:rsidR="007A0D0B" w:rsidRPr="004C5271" w14:paraId="16121E68" w14:textId="77777777" w:rsidTr="00400E07">
        <w:trPr>
          <w:trHeight w:val="346"/>
          <w:jc w:val="center"/>
        </w:trPr>
        <w:tc>
          <w:tcPr>
            <w:tcW w:w="1960" w:type="pct"/>
            <w:tcBorders>
              <w:top w:val="single" w:sz="2" w:space="0" w:color="auto"/>
              <w:left w:val="single" w:sz="2" w:space="0" w:color="auto"/>
              <w:bottom w:val="single" w:sz="2" w:space="0" w:color="auto"/>
            </w:tcBorders>
            <w:vAlign w:val="center"/>
          </w:tcPr>
          <w:p w14:paraId="184B0644" w14:textId="77777777" w:rsidR="007A0D0B" w:rsidRPr="004C5271" w:rsidRDefault="007A0D0B" w:rsidP="00CB7F69">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t>Dependant</w:t>
            </w:r>
            <w:r w:rsidRPr="004C5271">
              <w:rPr>
                <w:rStyle w:val="FootnoteReference"/>
                <w:rFonts w:asciiTheme="majorBidi" w:hAnsiTheme="majorBidi" w:cstheme="majorBidi"/>
                <w:szCs w:val="20"/>
              </w:rPr>
              <w:footnoteReference w:id="536"/>
            </w:r>
          </w:p>
        </w:tc>
        <w:tc>
          <w:tcPr>
            <w:tcW w:w="1462" w:type="pct"/>
            <w:tcBorders>
              <w:top w:val="single" w:sz="2" w:space="0" w:color="auto"/>
              <w:bottom w:val="single" w:sz="2" w:space="0" w:color="auto"/>
            </w:tcBorders>
            <w:vAlign w:val="center"/>
          </w:tcPr>
          <w:p w14:paraId="113C181A" w14:textId="02BCCD11" w:rsidR="007A0D0B" w:rsidRPr="004C5271" w:rsidRDefault="00971BF6"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r w:rsidRPr="004C5271">
              <w:rPr>
                <w:rFonts w:asciiTheme="majorBidi" w:hAnsiTheme="majorBidi" w:cstheme="majorBidi"/>
                <w:sz w:val="20"/>
                <w:szCs w:val="20"/>
              </w:rPr>
              <w:t xml:space="preserve"> </w:t>
            </w:r>
            <w:r w:rsidR="007A0D0B" w:rsidRPr="004C5271">
              <w:rPr>
                <w:rFonts w:asciiTheme="majorBidi" w:hAnsiTheme="majorBidi" w:cstheme="majorBidi"/>
                <w:sz w:val="20"/>
                <w:szCs w:val="20"/>
              </w:rPr>
              <w:t>(if member of household or grandchild)</w:t>
            </w:r>
          </w:p>
        </w:tc>
        <w:tc>
          <w:tcPr>
            <w:tcW w:w="1578" w:type="pct"/>
            <w:tcBorders>
              <w:top w:val="single" w:sz="2" w:space="0" w:color="auto"/>
              <w:bottom w:val="single" w:sz="2" w:space="0" w:color="auto"/>
              <w:right w:val="single" w:sz="2" w:space="0" w:color="auto"/>
            </w:tcBorders>
            <w:vAlign w:val="center"/>
          </w:tcPr>
          <w:p w14:paraId="3577765B" w14:textId="2013B2E2" w:rsidR="007A0D0B" w:rsidRPr="004C5271" w:rsidRDefault="00971BF6" w:rsidP="008E1A85">
            <w:pPr>
              <w:pStyle w:val="legclearfix"/>
              <w:shd w:val="clear" w:color="auto" w:fill="FFFFFF"/>
              <w:spacing w:beforeLines="20" w:before="48" w:beforeAutospacing="0" w:afterLines="20" w:after="48" w:afterAutospacing="0"/>
              <w:jc w:val="center"/>
              <w:rPr>
                <w:rStyle w:val="legsubstitution"/>
                <w:rFonts w:asciiTheme="majorBidi" w:hAnsiTheme="majorBidi" w:cstheme="majorBidi"/>
                <w:color w:val="000000"/>
                <w:sz w:val="20"/>
                <w:szCs w:val="20"/>
              </w:rPr>
            </w:pPr>
            <w:r w:rsidRPr="004C5271">
              <w:rPr>
                <w:rFonts w:asciiTheme="majorBidi" w:hAnsiTheme="majorBidi" w:cstheme="majorBidi"/>
                <w:sz w:val="24"/>
                <w:szCs w:val="24"/>
              </w:rPr>
              <w:sym w:font="Wingdings" w:char="F0FC"/>
            </w:r>
          </w:p>
        </w:tc>
      </w:tr>
      <w:tr w:rsidR="007A0D0B" w:rsidRPr="004C5271" w14:paraId="7C8C9ED7" w14:textId="77777777" w:rsidTr="00400E07">
        <w:trPr>
          <w:trHeight w:val="346"/>
          <w:jc w:val="center"/>
        </w:trPr>
        <w:tc>
          <w:tcPr>
            <w:tcW w:w="1960" w:type="pct"/>
            <w:tcBorders>
              <w:top w:val="single" w:sz="2" w:space="0" w:color="auto"/>
              <w:left w:val="single" w:sz="2" w:space="0" w:color="auto"/>
              <w:bottom w:val="single" w:sz="4" w:space="0" w:color="auto"/>
            </w:tcBorders>
            <w:vAlign w:val="center"/>
          </w:tcPr>
          <w:p w14:paraId="50253733" w14:textId="77777777" w:rsidR="007A0D0B" w:rsidRPr="004C5271" w:rsidRDefault="007A0D0B" w:rsidP="00CB7F69">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t>Other</w:t>
            </w:r>
            <w:r w:rsidRPr="004C5271">
              <w:rPr>
                <w:rStyle w:val="FootnoteReference"/>
                <w:rFonts w:asciiTheme="majorBidi" w:hAnsiTheme="majorBidi" w:cstheme="majorBidi"/>
                <w:szCs w:val="20"/>
              </w:rPr>
              <w:footnoteReference w:id="537"/>
            </w:r>
          </w:p>
        </w:tc>
        <w:tc>
          <w:tcPr>
            <w:tcW w:w="1462" w:type="pct"/>
            <w:tcBorders>
              <w:top w:val="single" w:sz="2" w:space="0" w:color="auto"/>
              <w:bottom w:val="single" w:sz="4" w:space="0" w:color="auto"/>
            </w:tcBorders>
            <w:vAlign w:val="center"/>
          </w:tcPr>
          <w:p w14:paraId="3EC37AF1" w14:textId="7C80CD2C" w:rsidR="007A0D0B" w:rsidRPr="004C5271" w:rsidRDefault="00971BF6"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4" w:space="0" w:color="auto"/>
              <w:right w:val="single" w:sz="2" w:space="0" w:color="auto"/>
            </w:tcBorders>
            <w:vAlign w:val="center"/>
          </w:tcPr>
          <w:p w14:paraId="6C503A1A" w14:textId="0A3BA3FA" w:rsidR="007A0D0B" w:rsidRPr="004C5271" w:rsidRDefault="008E1A85" w:rsidP="008E1A85">
            <w:pPr>
              <w:pStyle w:val="legclearfix"/>
              <w:shd w:val="clear" w:color="auto" w:fill="FFFFFF"/>
              <w:spacing w:beforeLines="20" w:before="48" w:beforeAutospacing="0" w:afterLines="20" w:after="48" w:afterAutospacing="0"/>
              <w:jc w:val="center"/>
              <w:rPr>
                <w:rFonts w:asciiTheme="majorBidi" w:hAnsiTheme="majorBidi" w:cstheme="majorBidi"/>
                <w:sz w:val="20"/>
                <w:szCs w:val="20"/>
              </w:rPr>
            </w:pPr>
            <w:r w:rsidRPr="004C5271">
              <w:rPr>
                <w:rFonts w:asciiTheme="majorBidi" w:hAnsiTheme="majorBidi" w:cstheme="majorBidi"/>
                <w:sz w:val="20"/>
                <w:szCs w:val="20"/>
              </w:rPr>
              <w:sym w:font="Wingdings 2" w:char="F0CF"/>
            </w:r>
          </w:p>
        </w:tc>
      </w:tr>
      <w:tr w:rsidR="00400E07" w:rsidRPr="004C5271" w14:paraId="46F6792E" w14:textId="3C448CA4" w:rsidTr="00400E07">
        <w:trPr>
          <w:trHeight w:val="336"/>
          <w:jc w:val="center"/>
        </w:trPr>
        <w:tc>
          <w:tcPr>
            <w:tcW w:w="1960" w:type="pct"/>
            <w:tcBorders>
              <w:left w:val="single" w:sz="2" w:space="0" w:color="auto"/>
              <w:bottom w:val="single" w:sz="4" w:space="0" w:color="auto"/>
              <w:right w:val="single" w:sz="4" w:space="0" w:color="auto"/>
            </w:tcBorders>
            <w:vAlign w:val="center"/>
          </w:tcPr>
          <w:p w14:paraId="00136885" w14:textId="5C5D6945" w:rsidR="00400E07" w:rsidRPr="004C5271" w:rsidRDefault="00400E07" w:rsidP="00400E07">
            <w:pPr>
              <w:spacing w:beforeLines="20" w:before="48" w:afterLines="20" w:after="48"/>
              <w:rPr>
                <w:rFonts w:asciiTheme="majorBidi" w:hAnsiTheme="majorBidi" w:cstheme="majorBidi"/>
                <w:sz w:val="20"/>
                <w:szCs w:val="20"/>
              </w:rPr>
            </w:pPr>
            <w:r w:rsidRPr="004C5271">
              <w:rPr>
                <w:rFonts w:asciiTheme="majorBidi" w:hAnsiTheme="majorBidi" w:cstheme="majorBidi"/>
                <w:b/>
                <w:bCs/>
                <w:sz w:val="20"/>
                <w:szCs w:val="20"/>
              </w:rPr>
              <w:t>Non-estate assets that may be treated as ‘notional estate’:</w:t>
            </w:r>
          </w:p>
        </w:tc>
        <w:tc>
          <w:tcPr>
            <w:tcW w:w="1461" w:type="pct"/>
            <w:tcBorders>
              <w:left w:val="single" w:sz="4" w:space="0" w:color="auto"/>
              <w:bottom w:val="single" w:sz="4" w:space="0" w:color="auto"/>
              <w:right w:val="single" w:sz="2" w:space="0" w:color="auto"/>
            </w:tcBorders>
            <w:vAlign w:val="center"/>
          </w:tcPr>
          <w:p w14:paraId="0F7A9E09" w14:textId="77777777" w:rsidR="00400E07" w:rsidRPr="004C5271" w:rsidRDefault="00400E07" w:rsidP="00400E07">
            <w:pPr>
              <w:spacing w:beforeLines="20" w:before="48" w:afterLines="20" w:after="48"/>
              <w:rPr>
                <w:rFonts w:asciiTheme="majorBidi" w:hAnsiTheme="majorBidi" w:cstheme="majorBidi"/>
                <w:sz w:val="20"/>
                <w:szCs w:val="20"/>
              </w:rPr>
            </w:pPr>
          </w:p>
        </w:tc>
        <w:tc>
          <w:tcPr>
            <w:tcW w:w="1579" w:type="pct"/>
            <w:tcBorders>
              <w:left w:val="single" w:sz="4" w:space="0" w:color="auto"/>
              <w:bottom w:val="single" w:sz="4" w:space="0" w:color="auto"/>
              <w:right w:val="single" w:sz="2" w:space="0" w:color="auto"/>
            </w:tcBorders>
            <w:vAlign w:val="center"/>
          </w:tcPr>
          <w:p w14:paraId="2CD436B0" w14:textId="77777777" w:rsidR="00400E07" w:rsidRPr="004C5271" w:rsidRDefault="00400E07" w:rsidP="00400E07">
            <w:pPr>
              <w:spacing w:beforeLines="20" w:before="48" w:afterLines="20" w:after="48"/>
              <w:rPr>
                <w:rFonts w:asciiTheme="majorBidi" w:hAnsiTheme="majorBidi" w:cstheme="majorBidi"/>
                <w:sz w:val="20"/>
                <w:szCs w:val="20"/>
              </w:rPr>
            </w:pPr>
          </w:p>
        </w:tc>
      </w:tr>
      <w:tr w:rsidR="007A0D0B" w:rsidRPr="004C5271" w14:paraId="4DCEDABA" w14:textId="77777777" w:rsidTr="00400E07">
        <w:trPr>
          <w:trHeight w:val="346"/>
          <w:jc w:val="center"/>
        </w:trPr>
        <w:tc>
          <w:tcPr>
            <w:tcW w:w="1960" w:type="pct"/>
            <w:tcBorders>
              <w:top w:val="single" w:sz="4" w:space="0" w:color="auto"/>
              <w:left w:val="single" w:sz="2" w:space="0" w:color="auto"/>
              <w:bottom w:val="single" w:sz="2" w:space="0" w:color="auto"/>
            </w:tcBorders>
            <w:vAlign w:val="center"/>
          </w:tcPr>
          <w:p w14:paraId="7893BD28" w14:textId="77777777" w:rsidR="007A0D0B" w:rsidRPr="004C5271" w:rsidRDefault="007A0D0B" w:rsidP="00CB7F69">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t>Joint tenancy assets</w:t>
            </w:r>
            <w:r w:rsidRPr="004C5271">
              <w:rPr>
                <w:rStyle w:val="FootnoteReference"/>
                <w:rFonts w:asciiTheme="majorBidi" w:hAnsiTheme="majorBidi" w:cstheme="majorBidi"/>
                <w:szCs w:val="20"/>
              </w:rPr>
              <w:footnoteReference w:id="538"/>
            </w:r>
          </w:p>
        </w:tc>
        <w:tc>
          <w:tcPr>
            <w:tcW w:w="1462" w:type="pct"/>
            <w:tcBorders>
              <w:top w:val="single" w:sz="4" w:space="0" w:color="auto"/>
              <w:bottom w:val="single" w:sz="2" w:space="0" w:color="auto"/>
            </w:tcBorders>
            <w:vAlign w:val="center"/>
          </w:tcPr>
          <w:p w14:paraId="56CCA14A" w14:textId="5B4F8942"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4" w:space="0" w:color="auto"/>
              <w:bottom w:val="single" w:sz="2" w:space="0" w:color="auto"/>
              <w:right w:val="single" w:sz="2" w:space="0" w:color="auto"/>
            </w:tcBorders>
            <w:vAlign w:val="center"/>
          </w:tcPr>
          <w:p w14:paraId="0354742B" w14:textId="15517CC0"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r>
      <w:tr w:rsidR="007A0D0B" w:rsidRPr="004C5271" w14:paraId="5562821F" w14:textId="77777777" w:rsidTr="00400E07">
        <w:trPr>
          <w:trHeight w:val="336"/>
          <w:jc w:val="center"/>
        </w:trPr>
        <w:tc>
          <w:tcPr>
            <w:tcW w:w="1960" w:type="pct"/>
            <w:tcBorders>
              <w:top w:val="single" w:sz="2" w:space="0" w:color="auto"/>
              <w:left w:val="single" w:sz="2" w:space="0" w:color="auto"/>
              <w:bottom w:val="single" w:sz="2" w:space="0" w:color="auto"/>
            </w:tcBorders>
            <w:vAlign w:val="center"/>
          </w:tcPr>
          <w:p w14:paraId="13A9F0A8" w14:textId="6C9C9251" w:rsidR="007A0D0B" w:rsidRPr="004C5271" w:rsidRDefault="007A0D0B" w:rsidP="00CB7F69">
            <w:pPr>
              <w:spacing w:beforeLines="20" w:before="48" w:afterLines="20" w:after="48"/>
              <w:rPr>
                <w:rFonts w:asciiTheme="majorBidi" w:hAnsiTheme="majorBidi" w:cstheme="majorBidi"/>
                <w:b/>
                <w:bCs/>
                <w:sz w:val="20"/>
                <w:szCs w:val="20"/>
              </w:rPr>
            </w:pPr>
            <w:r w:rsidRPr="004C5271">
              <w:rPr>
                <w:rFonts w:asciiTheme="majorBidi" w:hAnsiTheme="majorBidi" w:cstheme="majorBidi"/>
                <w:sz w:val="20"/>
                <w:szCs w:val="20"/>
              </w:rPr>
              <w:t>Superannuation</w:t>
            </w:r>
            <w:r w:rsidRPr="004C5271">
              <w:rPr>
                <w:rStyle w:val="FootnoteReference"/>
                <w:rFonts w:asciiTheme="majorBidi" w:hAnsiTheme="majorBidi" w:cstheme="majorBidi"/>
                <w:szCs w:val="20"/>
              </w:rPr>
              <w:footnoteReference w:id="539"/>
            </w:r>
          </w:p>
        </w:tc>
        <w:tc>
          <w:tcPr>
            <w:tcW w:w="1462" w:type="pct"/>
            <w:tcBorders>
              <w:top w:val="single" w:sz="2" w:space="0" w:color="auto"/>
              <w:bottom w:val="single" w:sz="2" w:space="0" w:color="auto"/>
            </w:tcBorders>
            <w:vAlign w:val="center"/>
          </w:tcPr>
          <w:p w14:paraId="798223C3" w14:textId="6F63A8AC"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2" w:space="0" w:color="auto"/>
              <w:right w:val="single" w:sz="2" w:space="0" w:color="auto"/>
            </w:tcBorders>
            <w:vAlign w:val="center"/>
          </w:tcPr>
          <w:p w14:paraId="10A2DBAA" w14:textId="2000EA37" w:rsidR="007A0D0B" w:rsidRPr="004C5271" w:rsidRDefault="008E1A85"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0"/>
                <w:szCs w:val="20"/>
              </w:rPr>
              <w:sym w:font="Wingdings 2" w:char="F0CF"/>
            </w:r>
          </w:p>
        </w:tc>
      </w:tr>
      <w:tr w:rsidR="007A0D0B" w:rsidRPr="004C5271" w14:paraId="024E4888" w14:textId="77777777" w:rsidTr="00400E07">
        <w:trPr>
          <w:trHeight w:val="844"/>
          <w:jc w:val="center"/>
        </w:trPr>
        <w:tc>
          <w:tcPr>
            <w:tcW w:w="1960" w:type="pct"/>
            <w:tcBorders>
              <w:top w:val="single" w:sz="2" w:space="0" w:color="auto"/>
              <w:left w:val="single" w:sz="2" w:space="0" w:color="auto"/>
              <w:bottom w:val="single" w:sz="2" w:space="0" w:color="auto"/>
            </w:tcBorders>
            <w:vAlign w:val="center"/>
          </w:tcPr>
          <w:p w14:paraId="3F26B68E" w14:textId="77777777" w:rsidR="007A0D0B" w:rsidRPr="004C5271" w:rsidRDefault="007A0D0B" w:rsidP="00CB7F69">
            <w:pPr>
              <w:spacing w:beforeLines="20" w:before="48" w:afterLines="20" w:after="48"/>
              <w:rPr>
                <w:rFonts w:asciiTheme="majorBidi" w:hAnsiTheme="majorBidi" w:cstheme="majorBidi"/>
                <w:b/>
                <w:bCs/>
                <w:sz w:val="20"/>
                <w:szCs w:val="20"/>
              </w:rPr>
            </w:pPr>
            <w:r w:rsidRPr="004C5271">
              <w:rPr>
                <w:rFonts w:asciiTheme="majorBidi" w:hAnsiTheme="majorBidi" w:cstheme="majorBidi"/>
                <w:sz w:val="20"/>
                <w:szCs w:val="20"/>
              </w:rPr>
              <w:t>Trusts</w:t>
            </w:r>
            <w:r w:rsidRPr="004C5271">
              <w:rPr>
                <w:rStyle w:val="FootnoteReference"/>
                <w:rFonts w:asciiTheme="majorBidi" w:hAnsiTheme="majorBidi" w:cstheme="majorBidi"/>
                <w:szCs w:val="20"/>
              </w:rPr>
              <w:footnoteReference w:id="540"/>
            </w:r>
          </w:p>
        </w:tc>
        <w:tc>
          <w:tcPr>
            <w:tcW w:w="1462" w:type="pct"/>
            <w:tcBorders>
              <w:top w:val="single" w:sz="2" w:space="0" w:color="auto"/>
              <w:bottom w:val="single" w:sz="2" w:space="0" w:color="auto"/>
            </w:tcBorders>
            <w:vAlign w:val="center"/>
          </w:tcPr>
          <w:p w14:paraId="4B363084" w14:textId="48C94119"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2" w:space="0" w:color="auto"/>
              <w:right w:val="single" w:sz="2" w:space="0" w:color="auto"/>
            </w:tcBorders>
            <w:vAlign w:val="center"/>
          </w:tcPr>
          <w:p w14:paraId="78F00401" w14:textId="6FC7C838" w:rsidR="007A0D0B" w:rsidRPr="004C5271" w:rsidRDefault="008E1A85" w:rsidP="008E1A85">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sym w:font="Wingdings 2" w:char="F0CF"/>
            </w:r>
            <w:r w:rsidRPr="004C5271">
              <w:rPr>
                <w:rFonts w:asciiTheme="majorBidi" w:hAnsiTheme="majorBidi" w:cstheme="majorBidi"/>
                <w:sz w:val="20"/>
                <w:szCs w:val="20"/>
              </w:rPr>
              <w:t xml:space="preserve"> </w:t>
            </w:r>
            <w:r w:rsidR="007A0D0B" w:rsidRPr="004C5271">
              <w:rPr>
                <w:rFonts w:asciiTheme="majorBidi" w:hAnsiTheme="majorBidi" w:cstheme="majorBidi"/>
                <w:sz w:val="20"/>
                <w:szCs w:val="20"/>
              </w:rPr>
              <w:t>(unless fitting within s</w:t>
            </w:r>
            <w:r w:rsidR="00400E07">
              <w:rPr>
                <w:rFonts w:asciiTheme="majorBidi" w:hAnsiTheme="majorBidi" w:cstheme="majorBidi"/>
                <w:sz w:val="20"/>
                <w:szCs w:val="20"/>
              </w:rPr>
              <w:t> </w:t>
            </w:r>
            <w:r w:rsidR="007A0D0B" w:rsidRPr="004C5271">
              <w:rPr>
                <w:rFonts w:asciiTheme="majorBidi" w:hAnsiTheme="majorBidi" w:cstheme="majorBidi"/>
                <w:sz w:val="20"/>
                <w:szCs w:val="20"/>
              </w:rPr>
              <w:t>10 (gifts) or s 11 (mutual wills contracts)).</w:t>
            </w:r>
          </w:p>
        </w:tc>
      </w:tr>
      <w:tr w:rsidR="007A0D0B" w:rsidRPr="004C5271" w14:paraId="1F988075" w14:textId="77777777" w:rsidTr="00400E07">
        <w:trPr>
          <w:trHeight w:val="346"/>
          <w:jc w:val="center"/>
        </w:trPr>
        <w:tc>
          <w:tcPr>
            <w:tcW w:w="1960" w:type="pct"/>
            <w:tcBorders>
              <w:top w:val="single" w:sz="2" w:space="0" w:color="auto"/>
              <w:left w:val="single" w:sz="2" w:space="0" w:color="auto"/>
              <w:bottom w:val="single" w:sz="2" w:space="0" w:color="auto"/>
            </w:tcBorders>
            <w:vAlign w:val="center"/>
          </w:tcPr>
          <w:p w14:paraId="10414700" w14:textId="77777777" w:rsidR="007A0D0B" w:rsidRPr="004C5271" w:rsidRDefault="007A0D0B" w:rsidP="00CB7F69">
            <w:pPr>
              <w:spacing w:beforeLines="20" w:before="48" w:afterLines="20" w:after="48"/>
              <w:rPr>
                <w:rFonts w:asciiTheme="majorBidi" w:hAnsiTheme="majorBidi" w:cstheme="majorBidi"/>
                <w:b/>
                <w:bCs/>
                <w:sz w:val="20"/>
                <w:szCs w:val="20"/>
              </w:rPr>
            </w:pPr>
            <w:r w:rsidRPr="004C5271">
              <w:rPr>
                <w:rFonts w:asciiTheme="majorBidi" w:hAnsiTheme="majorBidi" w:cstheme="majorBidi"/>
                <w:sz w:val="20"/>
                <w:szCs w:val="20"/>
              </w:rPr>
              <w:lastRenderedPageBreak/>
              <w:t>Life insurance</w:t>
            </w:r>
            <w:r w:rsidRPr="004C5271">
              <w:rPr>
                <w:rStyle w:val="FootnoteReference"/>
                <w:rFonts w:asciiTheme="majorBidi" w:hAnsiTheme="majorBidi" w:cstheme="majorBidi"/>
                <w:szCs w:val="20"/>
              </w:rPr>
              <w:footnoteReference w:id="541"/>
            </w:r>
          </w:p>
        </w:tc>
        <w:tc>
          <w:tcPr>
            <w:tcW w:w="1462" w:type="pct"/>
            <w:tcBorders>
              <w:top w:val="single" w:sz="2" w:space="0" w:color="auto"/>
              <w:bottom w:val="single" w:sz="2" w:space="0" w:color="auto"/>
            </w:tcBorders>
            <w:vAlign w:val="center"/>
          </w:tcPr>
          <w:p w14:paraId="334D8A51" w14:textId="2894A0A1"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2" w:space="0" w:color="auto"/>
              <w:right w:val="single" w:sz="2" w:space="0" w:color="auto"/>
            </w:tcBorders>
            <w:vAlign w:val="center"/>
          </w:tcPr>
          <w:p w14:paraId="40C02290" w14:textId="6C6952D3" w:rsidR="007A0D0B" w:rsidRPr="004C5271" w:rsidRDefault="008E1A85"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0"/>
                <w:szCs w:val="20"/>
              </w:rPr>
              <w:sym w:font="Wingdings 2" w:char="F0CF"/>
            </w:r>
          </w:p>
        </w:tc>
      </w:tr>
      <w:tr w:rsidR="007A0D0B" w:rsidRPr="004C5271" w14:paraId="600A7299" w14:textId="77777777" w:rsidTr="00400E07">
        <w:trPr>
          <w:trHeight w:val="336"/>
          <w:jc w:val="center"/>
        </w:trPr>
        <w:tc>
          <w:tcPr>
            <w:tcW w:w="1960" w:type="pct"/>
            <w:tcBorders>
              <w:top w:val="single" w:sz="2" w:space="0" w:color="auto"/>
              <w:left w:val="single" w:sz="2" w:space="0" w:color="auto"/>
              <w:bottom w:val="single" w:sz="2" w:space="0" w:color="auto"/>
            </w:tcBorders>
            <w:vAlign w:val="center"/>
          </w:tcPr>
          <w:p w14:paraId="3884C0DA" w14:textId="77777777" w:rsidR="007A0D0B" w:rsidRPr="004C5271" w:rsidRDefault="007A0D0B" w:rsidP="00CB7F69">
            <w:pPr>
              <w:spacing w:beforeLines="20" w:before="48" w:afterLines="20" w:after="48"/>
              <w:rPr>
                <w:rFonts w:asciiTheme="majorBidi" w:hAnsiTheme="majorBidi" w:cstheme="majorBidi"/>
                <w:i/>
                <w:iCs/>
                <w:sz w:val="20"/>
                <w:szCs w:val="20"/>
              </w:rPr>
            </w:pPr>
            <w:r w:rsidRPr="004C5271">
              <w:rPr>
                <w:rFonts w:asciiTheme="majorBidi" w:hAnsiTheme="majorBidi" w:cstheme="majorBidi"/>
                <w:i/>
                <w:iCs/>
                <w:sz w:val="20"/>
                <w:szCs w:val="20"/>
              </w:rPr>
              <w:t>Donatio mortis causa</w:t>
            </w:r>
            <w:r w:rsidRPr="004C5271">
              <w:rPr>
                <w:rStyle w:val="FootnoteReference"/>
                <w:rFonts w:asciiTheme="majorBidi" w:hAnsiTheme="majorBidi" w:cstheme="majorBidi"/>
                <w:szCs w:val="20"/>
              </w:rPr>
              <w:footnoteReference w:id="542"/>
            </w:r>
          </w:p>
        </w:tc>
        <w:tc>
          <w:tcPr>
            <w:tcW w:w="1462" w:type="pct"/>
            <w:tcBorders>
              <w:top w:val="single" w:sz="2" w:space="0" w:color="auto"/>
              <w:bottom w:val="single" w:sz="2" w:space="0" w:color="auto"/>
            </w:tcBorders>
            <w:vAlign w:val="center"/>
          </w:tcPr>
          <w:p w14:paraId="57E73573" w14:textId="77777777" w:rsidR="007A0D0B" w:rsidRPr="004C5271" w:rsidRDefault="007A0D0B" w:rsidP="008E1A85">
            <w:pPr>
              <w:spacing w:beforeLines="20" w:before="48" w:afterLines="20" w:after="48"/>
              <w:jc w:val="center"/>
              <w:rPr>
                <w:rFonts w:asciiTheme="majorBidi" w:hAnsiTheme="majorBidi" w:cstheme="majorBidi"/>
                <w:sz w:val="20"/>
                <w:szCs w:val="20"/>
              </w:rPr>
            </w:pPr>
          </w:p>
        </w:tc>
        <w:tc>
          <w:tcPr>
            <w:tcW w:w="1578" w:type="pct"/>
            <w:tcBorders>
              <w:top w:val="single" w:sz="2" w:space="0" w:color="auto"/>
              <w:bottom w:val="single" w:sz="2" w:space="0" w:color="auto"/>
              <w:right w:val="single" w:sz="2" w:space="0" w:color="auto"/>
            </w:tcBorders>
            <w:vAlign w:val="center"/>
          </w:tcPr>
          <w:p w14:paraId="5BFA56D7" w14:textId="78583385"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r>
      <w:tr w:rsidR="007A0D0B" w:rsidRPr="004C5271" w14:paraId="2465F102" w14:textId="77777777" w:rsidTr="00400E07">
        <w:trPr>
          <w:trHeight w:val="336"/>
          <w:jc w:val="center"/>
        </w:trPr>
        <w:tc>
          <w:tcPr>
            <w:tcW w:w="1960" w:type="pct"/>
            <w:tcBorders>
              <w:top w:val="single" w:sz="2" w:space="0" w:color="auto"/>
              <w:left w:val="single" w:sz="2" w:space="0" w:color="auto"/>
              <w:bottom w:val="single" w:sz="2" w:space="0" w:color="auto"/>
            </w:tcBorders>
            <w:vAlign w:val="center"/>
          </w:tcPr>
          <w:p w14:paraId="0BDB4D4C" w14:textId="77777777" w:rsidR="007A0D0B" w:rsidRPr="004C5271" w:rsidRDefault="007A0D0B" w:rsidP="00CB7F69">
            <w:pPr>
              <w:spacing w:beforeLines="20" w:before="48" w:afterLines="20" w:after="48"/>
              <w:rPr>
                <w:rFonts w:asciiTheme="majorBidi" w:hAnsiTheme="majorBidi" w:cstheme="majorBidi"/>
                <w:b/>
                <w:bCs/>
                <w:sz w:val="20"/>
                <w:szCs w:val="20"/>
              </w:rPr>
            </w:pPr>
            <w:r w:rsidRPr="004C5271">
              <w:rPr>
                <w:rFonts w:asciiTheme="majorBidi" w:hAnsiTheme="majorBidi" w:cstheme="majorBidi"/>
                <w:sz w:val="20"/>
                <w:szCs w:val="20"/>
              </w:rPr>
              <w:t>Assets</w:t>
            </w:r>
            <w:r w:rsidRPr="004C5271">
              <w:rPr>
                <w:rFonts w:asciiTheme="majorBidi" w:hAnsiTheme="majorBidi" w:cstheme="majorBidi"/>
                <w:b/>
                <w:bCs/>
                <w:sz w:val="20"/>
                <w:szCs w:val="20"/>
              </w:rPr>
              <w:t xml:space="preserve"> </w:t>
            </w:r>
            <w:r w:rsidRPr="004C5271">
              <w:rPr>
                <w:rFonts w:asciiTheme="majorBidi" w:hAnsiTheme="majorBidi" w:cstheme="majorBidi"/>
                <w:sz w:val="20"/>
                <w:szCs w:val="20"/>
              </w:rPr>
              <w:t>gifted</w:t>
            </w:r>
            <w:r w:rsidRPr="004C5271">
              <w:rPr>
                <w:rFonts w:asciiTheme="majorBidi" w:hAnsiTheme="majorBidi" w:cstheme="majorBidi"/>
                <w:b/>
                <w:bCs/>
                <w:sz w:val="20"/>
                <w:szCs w:val="20"/>
              </w:rPr>
              <w:t xml:space="preserve"> </w:t>
            </w:r>
            <w:r w:rsidRPr="004C5271">
              <w:rPr>
                <w:rFonts w:asciiTheme="majorBidi" w:hAnsiTheme="majorBidi" w:cstheme="majorBidi"/>
                <w:sz w:val="20"/>
                <w:szCs w:val="20"/>
              </w:rPr>
              <w:t>pre-death</w:t>
            </w:r>
            <w:r w:rsidRPr="004C5271">
              <w:rPr>
                <w:rStyle w:val="FootnoteReference"/>
                <w:rFonts w:asciiTheme="majorBidi" w:hAnsiTheme="majorBidi" w:cstheme="majorBidi"/>
                <w:szCs w:val="20"/>
              </w:rPr>
              <w:footnoteReference w:id="543"/>
            </w:r>
          </w:p>
        </w:tc>
        <w:tc>
          <w:tcPr>
            <w:tcW w:w="1462" w:type="pct"/>
            <w:tcBorders>
              <w:top w:val="single" w:sz="2" w:space="0" w:color="auto"/>
              <w:bottom w:val="single" w:sz="2" w:space="0" w:color="auto"/>
            </w:tcBorders>
            <w:vAlign w:val="center"/>
          </w:tcPr>
          <w:p w14:paraId="77311DCB" w14:textId="381EC458"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2" w:space="0" w:color="auto"/>
              <w:right w:val="single" w:sz="2" w:space="0" w:color="auto"/>
            </w:tcBorders>
            <w:vAlign w:val="center"/>
          </w:tcPr>
          <w:p w14:paraId="3250F600" w14:textId="50FD477E" w:rsidR="007A0D0B" w:rsidRPr="004C5271" w:rsidRDefault="005844A3" w:rsidP="008E1A85">
            <w:pPr>
              <w:spacing w:beforeLines="20" w:before="48" w:afterLines="20" w:after="48"/>
              <w:rPr>
                <w:rFonts w:asciiTheme="majorBidi" w:hAnsiTheme="majorBidi" w:cstheme="majorBidi"/>
                <w:sz w:val="20"/>
                <w:szCs w:val="20"/>
              </w:rPr>
            </w:pPr>
            <w:r w:rsidRPr="004C5271">
              <w:rPr>
                <w:rFonts w:asciiTheme="majorBidi" w:hAnsiTheme="majorBidi" w:cstheme="majorBidi"/>
                <w:sz w:val="24"/>
                <w:szCs w:val="24"/>
              </w:rPr>
              <w:sym w:font="Wingdings" w:char="F0FC"/>
            </w:r>
            <w:r w:rsidRPr="004C5271">
              <w:rPr>
                <w:rFonts w:asciiTheme="majorBidi" w:hAnsiTheme="majorBidi" w:cstheme="majorBidi"/>
                <w:sz w:val="20"/>
                <w:szCs w:val="20"/>
              </w:rPr>
              <w:t xml:space="preserve"> </w:t>
            </w:r>
            <w:r w:rsidR="007A0D0B" w:rsidRPr="004C5271">
              <w:rPr>
                <w:rFonts w:asciiTheme="majorBidi" w:hAnsiTheme="majorBidi" w:cstheme="majorBidi"/>
                <w:sz w:val="20"/>
                <w:szCs w:val="20"/>
              </w:rPr>
              <w:t>(dispositions made within 6 years of death with the intention of defeating a claim)</w:t>
            </w:r>
          </w:p>
        </w:tc>
      </w:tr>
      <w:tr w:rsidR="007A0D0B" w:rsidRPr="004C5271" w14:paraId="44EFB30C" w14:textId="77777777" w:rsidTr="00400E07">
        <w:trPr>
          <w:trHeight w:val="336"/>
          <w:jc w:val="center"/>
        </w:trPr>
        <w:tc>
          <w:tcPr>
            <w:tcW w:w="1960" w:type="pct"/>
            <w:tcBorders>
              <w:top w:val="single" w:sz="2" w:space="0" w:color="auto"/>
              <w:left w:val="single" w:sz="2" w:space="0" w:color="auto"/>
              <w:bottom w:val="single" w:sz="2" w:space="0" w:color="auto"/>
            </w:tcBorders>
            <w:vAlign w:val="center"/>
          </w:tcPr>
          <w:p w14:paraId="446AFA85" w14:textId="77777777" w:rsidR="007A0D0B" w:rsidRPr="004C5271" w:rsidRDefault="007A0D0B" w:rsidP="00CB7F69">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t>Property distributed pursuant to mutual wills contracts</w:t>
            </w:r>
            <w:r w:rsidRPr="004C5271">
              <w:rPr>
                <w:rStyle w:val="FootnoteReference"/>
                <w:rFonts w:asciiTheme="majorBidi" w:hAnsiTheme="majorBidi" w:cstheme="majorBidi"/>
                <w:szCs w:val="20"/>
              </w:rPr>
              <w:footnoteReference w:id="544"/>
            </w:r>
          </w:p>
        </w:tc>
        <w:tc>
          <w:tcPr>
            <w:tcW w:w="1462" w:type="pct"/>
            <w:tcBorders>
              <w:top w:val="single" w:sz="2" w:space="0" w:color="auto"/>
              <w:bottom w:val="single" w:sz="2" w:space="0" w:color="auto"/>
            </w:tcBorders>
            <w:vAlign w:val="center"/>
          </w:tcPr>
          <w:p w14:paraId="57199BE1" w14:textId="176C881A"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2" w:space="0" w:color="auto"/>
              <w:right w:val="single" w:sz="2" w:space="0" w:color="auto"/>
            </w:tcBorders>
            <w:vAlign w:val="center"/>
          </w:tcPr>
          <w:p w14:paraId="0C7DDF3B" w14:textId="1EA1AE05" w:rsidR="007A0D0B" w:rsidRPr="004C5271" w:rsidRDefault="005844A3" w:rsidP="008E1A85">
            <w:pPr>
              <w:spacing w:beforeLines="20" w:before="48" w:afterLines="20" w:after="48"/>
              <w:rPr>
                <w:rFonts w:asciiTheme="majorBidi" w:hAnsiTheme="majorBidi" w:cstheme="majorBidi"/>
                <w:sz w:val="20"/>
                <w:szCs w:val="20"/>
              </w:rPr>
            </w:pPr>
            <w:r w:rsidRPr="004C5271">
              <w:rPr>
                <w:rFonts w:asciiTheme="majorBidi" w:hAnsiTheme="majorBidi" w:cstheme="majorBidi"/>
                <w:sz w:val="24"/>
                <w:szCs w:val="24"/>
              </w:rPr>
              <w:sym w:font="Wingdings" w:char="F0FC"/>
            </w:r>
            <w:r w:rsidRPr="004C5271">
              <w:rPr>
                <w:rFonts w:asciiTheme="majorBidi" w:hAnsiTheme="majorBidi" w:cstheme="majorBidi"/>
                <w:sz w:val="20"/>
                <w:szCs w:val="20"/>
              </w:rPr>
              <w:t xml:space="preserve"> </w:t>
            </w:r>
            <w:r w:rsidR="007A0D0B" w:rsidRPr="004C5271">
              <w:rPr>
                <w:rFonts w:asciiTheme="majorBidi" w:hAnsiTheme="majorBidi" w:cstheme="majorBidi"/>
                <w:sz w:val="20"/>
                <w:szCs w:val="20"/>
              </w:rPr>
              <w:t>(where full valuable consideration not given and deceased entered into contract with the intention of defeating a claim)</w:t>
            </w:r>
          </w:p>
        </w:tc>
      </w:tr>
      <w:tr w:rsidR="007A0D0B" w:rsidRPr="004C5271" w14:paraId="6F771CEE" w14:textId="77777777" w:rsidTr="00400E07">
        <w:trPr>
          <w:trHeight w:val="336"/>
          <w:jc w:val="center"/>
        </w:trPr>
        <w:tc>
          <w:tcPr>
            <w:tcW w:w="1960" w:type="pct"/>
            <w:tcBorders>
              <w:top w:val="single" w:sz="2" w:space="0" w:color="auto"/>
              <w:left w:val="single" w:sz="2" w:space="0" w:color="auto"/>
              <w:bottom w:val="single" w:sz="2" w:space="0" w:color="auto"/>
            </w:tcBorders>
            <w:vAlign w:val="center"/>
          </w:tcPr>
          <w:p w14:paraId="3AB49AD7" w14:textId="4EF1F5D4" w:rsidR="007A0D0B" w:rsidRPr="004C5271" w:rsidRDefault="007A0D0B" w:rsidP="00CB7F69">
            <w:pPr>
              <w:spacing w:beforeLines="20" w:before="48" w:afterLines="20" w:after="48"/>
              <w:rPr>
                <w:rFonts w:asciiTheme="majorBidi" w:hAnsiTheme="majorBidi" w:cstheme="majorBidi"/>
                <w:sz w:val="20"/>
                <w:szCs w:val="20"/>
              </w:rPr>
            </w:pPr>
            <w:r w:rsidRPr="004C5271">
              <w:rPr>
                <w:rFonts w:asciiTheme="majorBidi" w:hAnsiTheme="majorBidi" w:cstheme="majorBidi"/>
                <w:sz w:val="20"/>
                <w:szCs w:val="20"/>
              </w:rPr>
              <w:t>Omissions (failures to act)</w:t>
            </w:r>
            <w:r w:rsidR="00A60B1B" w:rsidRPr="004C5271">
              <w:rPr>
                <w:rStyle w:val="FootnoteReference"/>
                <w:rFonts w:asciiTheme="majorBidi" w:hAnsiTheme="majorBidi" w:cstheme="majorBidi"/>
                <w:szCs w:val="20"/>
              </w:rPr>
              <w:footnoteReference w:id="545"/>
            </w:r>
          </w:p>
        </w:tc>
        <w:tc>
          <w:tcPr>
            <w:tcW w:w="1462" w:type="pct"/>
            <w:tcBorders>
              <w:top w:val="single" w:sz="2" w:space="0" w:color="auto"/>
              <w:bottom w:val="single" w:sz="2" w:space="0" w:color="auto"/>
            </w:tcBorders>
            <w:vAlign w:val="center"/>
          </w:tcPr>
          <w:p w14:paraId="3DA50EE2" w14:textId="5EF62B19" w:rsidR="007A0D0B" w:rsidRPr="004C5271" w:rsidRDefault="005844A3"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4"/>
                <w:szCs w:val="24"/>
              </w:rPr>
              <w:sym w:font="Wingdings" w:char="F0FC"/>
            </w:r>
          </w:p>
        </w:tc>
        <w:tc>
          <w:tcPr>
            <w:tcW w:w="1578" w:type="pct"/>
            <w:tcBorders>
              <w:top w:val="single" w:sz="2" w:space="0" w:color="auto"/>
              <w:bottom w:val="single" w:sz="2" w:space="0" w:color="auto"/>
              <w:right w:val="single" w:sz="2" w:space="0" w:color="auto"/>
            </w:tcBorders>
            <w:vAlign w:val="center"/>
          </w:tcPr>
          <w:p w14:paraId="0038D9B5" w14:textId="0ACEB99A" w:rsidR="007A0D0B" w:rsidRPr="004C5271" w:rsidRDefault="008E1A85" w:rsidP="008E1A85">
            <w:pPr>
              <w:spacing w:beforeLines="20" w:before="48" w:afterLines="20" w:after="48"/>
              <w:jc w:val="center"/>
              <w:rPr>
                <w:rFonts w:asciiTheme="majorBidi" w:hAnsiTheme="majorBidi" w:cstheme="majorBidi"/>
                <w:sz w:val="20"/>
                <w:szCs w:val="20"/>
              </w:rPr>
            </w:pPr>
            <w:r w:rsidRPr="004C5271">
              <w:rPr>
                <w:rFonts w:asciiTheme="majorBidi" w:hAnsiTheme="majorBidi" w:cstheme="majorBidi"/>
                <w:sz w:val="20"/>
                <w:szCs w:val="20"/>
              </w:rPr>
              <w:sym w:font="Wingdings 2" w:char="F0CF"/>
            </w:r>
          </w:p>
        </w:tc>
      </w:tr>
    </w:tbl>
    <w:p w14:paraId="78472CE2" w14:textId="77777777" w:rsidR="007A0D0B" w:rsidRPr="004C5271" w:rsidRDefault="007A0D0B" w:rsidP="007A0D0B">
      <w:pPr>
        <w:rPr>
          <w:rFonts w:asciiTheme="majorBidi" w:hAnsiTheme="majorBidi" w:cstheme="majorBidi"/>
        </w:rPr>
        <w:sectPr w:rsidR="007A0D0B" w:rsidRPr="004C5271" w:rsidSect="004C5271">
          <w:headerReference w:type="even" r:id="rId50"/>
          <w:headerReference w:type="default" r:id="rId51"/>
          <w:headerReference w:type="first" r:id="rId52"/>
          <w:pgSz w:w="9979" w:h="14232" w:code="9"/>
          <w:pgMar w:top="1440" w:right="1440" w:bottom="1440" w:left="1440" w:header="709" w:footer="709" w:gutter="0"/>
          <w:cols w:space="708"/>
          <w:titlePg/>
          <w:docGrid w:linePitch="360"/>
        </w:sectPr>
      </w:pPr>
    </w:p>
    <w:p w14:paraId="6A699B8C" w14:textId="6D099AC0" w:rsidR="001305A9" w:rsidRPr="004C5271" w:rsidRDefault="001305A9" w:rsidP="00AF6F77">
      <w:pPr>
        <w:pStyle w:val="NumberlessSectionHeading"/>
        <w:spacing w:before="0"/>
        <w:rPr>
          <w:rFonts w:asciiTheme="majorBidi" w:hAnsiTheme="majorBidi" w:cstheme="majorBidi"/>
        </w:rPr>
      </w:pPr>
      <w:bookmarkStart w:id="216" w:name="_Toc12268974"/>
      <w:r w:rsidRPr="004C5271">
        <w:rPr>
          <w:rFonts w:asciiTheme="majorBidi" w:hAnsiTheme="majorBidi" w:cstheme="majorBidi"/>
        </w:rPr>
        <w:lastRenderedPageBreak/>
        <w:t xml:space="preserve">Appendix </w:t>
      </w:r>
      <w:r w:rsidR="000F7E5B" w:rsidRPr="004C5271">
        <w:rPr>
          <w:rFonts w:asciiTheme="majorBidi" w:hAnsiTheme="majorBidi" w:cstheme="majorBidi"/>
        </w:rPr>
        <w:t>2</w:t>
      </w:r>
      <w:r w:rsidR="008C223D" w:rsidRPr="004C5271">
        <w:rPr>
          <w:rFonts w:asciiTheme="majorBidi" w:hAnsiTheme="majorBidi" w:cstheme="majorBidi"/>
        </w:rPr>
        <w:t>: ‘</w:t>
      </w:r>
      <w:r w:rsidR="00F9600D" w:rsidRPr="004C5271">
        <w:rPr>
          <w:rFonts w:asciiTheme="majorBidi" w:hAnsiTheme="majorBidi" w:cstheme="majorBidi"/>
        </w:rPr>
        <w:t>N</w:t>
      </w:r>
      <w:r w:rsidR="008C223D" w:rsidRPr="004C5271">
        <w:rPr>
          <w:rFonts w:asciiTheme="majorBidi" w:hAnsiTheme="majorBidi" w:cstheme="majorBidi"/>
        </w:rPr>
        <w:t xml:space="preserve">otional estate’ style provisions in </w:t>
      </w:r>
      <w:r w:rsidR="00F9600D" w:rsidRPr="004C5271">
        <w:rPr>
          <w:rFonts w:asciiTheme="majorBidi" w:hAnsiTheme="majorBidi" w:cstheme="majorBidi"/>
        </w:rPr>
        <w:t>Canada</w:t>
      </w:r>
      <w:bookmarkEnd w:id="216"/>
    </w:p>
    <w:tbl>
      <w:tblPr>
        <w:tblStyle w:val="TableGrid"/>
        <w:tblW w:w="5000" w:type="pct"/>
        <w:tblLayout w:type="fixed"/>
        <w:tblCellMar>
          <w:left w:w="28" w:type="dxa"/>
          <w:right w:w="28" w:type="dxa"/>
        </w:tblCellMar>
        <w:tblLook w:val="04A0" w:firstRow="1" w:lastRow="0" w:firstColumn="1" w:lastColumn="0" w:noHBand="0" w:noVBand="1"/>
      </w:tblPr>
      <w:tblGrid>
        <w:gridCol w:w="1130"/>
        <w:gridCol w:w="1132"/>
        <w:gridCol w:w="837"/>
        <w:gridCol w:w="1032"/>
        <w:gridCol w:w="1032"/>
        <w:gridCol w:w="1032"/>
        <w:gridCol w:w="1032"/>
        <w:gridCol w:w="1032"/>
        <w:gridCol w:w="1032"/>
        <w:gridCol w:w="1032"/>
        <w:gridCol w:w="1019"/>
      </w:tblGrid>
      <w:tr w:rsidR="00180886" w:rsidRPr="004A1EBA" w14:paraId="5BB59A5E" w14:textId="0C4A5499" w:rsidTr="004162EE">
        <w:trPr>
          <w:trHeight w:hRule="exact" w:val="416"/>
          <w:tblHeader/>
        </w:trPr>
        <w:tc>
          <w:tcPr>
            <w:tcW w:w="498" w:type="pct"/>
            <w:tcBorders>
              <w:bottom w:val="single" w:sz="4" w:space="0" w:color="auto"/>
            </w:tcBorders>
            <w:shd w:val="clear" w:color="auto" w:fill="D9D9D9" w:themeFill="background1" w:themeFillShade="D9"/>
          </w:tcPr>
          <w:p w14:paraId="21F9182F" w14:textId="77777777" w:rsidR="009F3509" w:rsidRPr="004A1EBA" w:rsidRDefault="009F3509" w:rsidP="00F13512">
            <w:pPr>
              <w:spacing w:beforeLines="20" w:before="48" w:afterLines="20" w:after="48"/>
              <w:ind w:right="1335"/>
              <w:jc w:val="center"/>
              <w:rPr>
                <w:rFonts w:asciiTheme="majorBidi" w:hAnsiTheme="majorBidi" w:cstheme="majorBidi"/>
                <w:b/>
                <w:bCs/>
                <w:sz w:val="16"/>
                <w:szCs w:val="16"/>
              </w:rPr>
            </w:pPr>
          </w:p>
          <w:p w14:paraId="46B04E34" w14:textId="77777777" w:rsidR="009F3509" w:rsidRPr="004A1EBA" w:rsidRDefault="009F3509" w:rsidP="00F13512">
            <w:pPr>
              <w:tabs>
                <w:tab w:val="left" w:pos="739"/>
              </w:tabs>
              <w:spacing w:beforeLines="20" w:before="48" w:afterLines="20" w:after="48"/>
              <w:ind w:left="-396" w:right="887"/>
              <w:rPr>
                <w:rFonts w:asciiTheme="majorBidi" w:hAnsiTheme="majorBidi" w:cstheme="majorBidi"/>
                <w:sz w:val="16"/>
                <w:szCs w:val="16"/>
              </w:rPr>
            </w:pPr>
          </w:p>
          <w:p w14:paraId="687DC22B" w14:textId="288D101F" w:rsidR="009F3509" w:rsidRPr="004A1EBA" w:rsidRDefault="009F3509" w:rsidP="00F13512">
            <w:pPr>
              <w:spacing w:beforeLines="20" w:before="48" w:afterLines="20" w:after="48"/>
              <w:jc w:val="center"/>
              <w:rPr>
                <w:rFonts w:asciiTheme="majorBidi" w:hAnsiTheme="majorBidi" w:cstheme="majorBidi"/>
                <w:sz w:val="16"/>
                <w:szCs w:val="16"/>
              </w:rPr>
            </w:pPr>
          </w:p>
        </w:tc>
        <w:tc>
          <w:tcPr>
            <w:tcW w:w="499" w:type="pct"/>
            <w:tcBorders>
              <w:bottom w:val="single" w:sz="4" w:space="0" w:color="auto"/>
            </w:tcBorders>
            <w:shd w:val="clear" w:color="auto" w:fill="D9D9D9" w:themeFill="background1" w:themeFillShade="D9"/>
            <w:vAlign w:val="center"/>
          </w:tcPr>
          <w:p w14:paraId="11708E0D" w14:textId="281666FA" w:rsidR="009F3509" w:rsidRPr="004A1EBA" w:rsidRDefault="009F3509" w:rsidP="00664641">
            <w:pPr>
              <w:spacing w:beforeLines="20" w:before="48" w:afterLines="20" w:after="48"/>
              <w:jc w:val="center"/>
              <w:rPr>
                <w:rFonts w:asciiTheme="majorBidi" w:hAnsiTheme="majorBidi" w:cstheme="majorBidi"/>
                <w:b/>
                <w:bCs/>
                <w:sz w:val="16"/>
                <w:szCs w:val="16"/>
              </w:rPr>
            </w:pPr>
            <w:r w:rsidRPr="004A1EBA">
              <w:rPr>
                <w:rFonts w:asciiTheme="majorBidi" w:hAnsiTheme="majorBidi" w:cstheme="majorBidi"/>
                <w:b/>
                <w:bCs/>
                <w:sz w:val="16"/>
                <w:szCs w:val="16"/>
              </w:rPr>
              <w:t>Uniform Act</w:t>
            </w:r>
          </w:p>
        </w:tc>
        <w:tc>
          <w:tcPr>
            <w:tcW w:w="369" w:type="pct"/>
            <w:tcBorders>
              <w:bottom w:val="single" w:sz="4" w:space="0" w:color="auto"/>
            </w:tcBorders>
            <w:shd w:val="clear" w:color="auto" w:fill="D9D9D9" w:themeFill="background1" w:themeFillShade="D9"/>
            <w:vAlign w:val="center"/>
          </w:tcPr>
          <w:p w14:paraId="712BB1C5" w14:textId="12C85173" w:rsidR="009F3509" w:rsidRPr="004A1EBA" w:rsidRDefault="004A1EBA" w:rsidP="00664641">
            <w:pPr>
              <w:spacing w:beforeLines="20" w:before="48" w:afterLines="20" w:after="48"/>
              <w:jc w:val="center"/>
              <w:rPr>
                <w:rFonts w:asciiTheme="majorBidi" w:hAnsiTheme="majorBidi" w:cstheme="majorBidi"/>
                <w:b/>
                <w:bCs/>
                <w:sz w:val="16"/>
                <w:szCs w:val="16"/>
              </w:rPr>
            </w:pPr>
            <w:bookmarkStart w:id="217" w:name="_Ref13561348"/>
            <w:r w:rsidRPr="004A1EBA">
              <w:rPr>
                <w:rFonts w:asciiTheme="majorBidi" w:hAnsiTheme="majorBidi" w:cstheme="majorBidi"/>
                <w:b/>
                <w:bCs/>
                <w:sz w:val="16"/>
                <w:szCs w:val="16"/>
              </w:rPr>
              <w:t>Sask</w:t>
            </w:r>
            <w:r w:rsidR="009F3509" w:rsidRPr="004A1EBA">
              <w:rPr>
                <w:rStyle w:val="FootnoteReference"/>
                <w:rFonts w:asciiTheme="majorBidi" w:hAnsiTheme="majorBidi" w:cstheme="majorBidi"/>
                <w:b/>
                <w:bCs/>
                <w:sz w:val="16"/>
                <w:szCs w:val="16"/>
              </w:rPr>
              <w:footnoteReference w:id="546"/>
            </w:r>
            <w:bookmarkEnd w:id="217"/>
          </w:p>
        </w:tc>
        <w:tc>
          <w:tcPr>
            <w:tcW w:w="455" w:type="pct"/>
            <w:tcBorders>
              <w:bottom w:val="single" w:sz="4" w:space="0" w:color="auto"/>
            </w:tcBorders>
            <w:shd w:val="clear" w:color="auto" w:fill="D9D9D9" w:themeFill="background1" w:themeFillShade="D9"/>
            <w:vAlign w:val="center"/>
          </w:tcPr>
          <w:p w14:paraId="14DEFA7C" w14:textId="429E0C6E" w:rsidR="009F3509" w:rsidRPr="004A1EBA" w:rsidRDefault="009F3509" w:rsidP="00664641">
            <w:pPr>
              <w:spacing w:beforeLines="20" w:before="48" w:afterLines="20" w:after="48"/>
              <w:jc w:val="center"/>
              <w:rPr>
                <w:rFonts w:asciiTheme="majorBidi" w:hAnsiTheme="majorBidi" w:cstheme="majorBidi"/>
                <w:b/>
                <w:bCs/>
                <w:sz w:val="16"/>
                <w:szCs w:val="16"/>
              </w:rPr>
            </w:pPr>
            <w:r w:rsidRPr="004A1EBA">
              <w:rPr>
                <w:rFonts w:asciiTheme="majorBidi" w:hAnsiTheme="majorBidi" w:cstheme="majorBidi"/>
                <w:b/>
                <w:bCs/>
                <w:sz w:val="16"/>
                <w:szCs w:val="16"/>
              </w:rPr>
              <w:t>Ontario</w:t>
            </w:r>
            <w:bookmarkStart w:id="218" w:name="_Ref13561394"/>
            <w:r w:rsidRPr="004A1EBA">
              <w:rPr>
                <w:rStyle w:val="FootnoteReference"/>
                <w:rFonts w:asciiTheme="majorBidi" w:hAnsiTheme="majorBidi" w:cstheme="majorBidi"/>
                <w:b/>
                <w:bCs/>
                <w:sz w:val="16"/>
                <w:szCs w:val="16"/>
              </w:rPr>
              <w:footnoteReference w:id="547"/>
            </w:r>
            <w:bookmarkEnd w:id="218"/>
          </w:p>
        </w:tc>
        <w:tc>
          <w:tcPr>
            <w:tcW w:w="455" w:type="pct"/>
            <w:tcBorders>
              <w:bottom w:val="single" w:sz="4" w:space="0" w:color="auto"/>
            </w:tcBorders>
            <w:shd w:val="clear" w:color="auto" w:fill="D9D9D9" w:themeFill="background1" w:themeFillShade="D9"/>
            <w:vAlign w:val="center"/>
          </w:tcPr>
          <w:p w14:paraId="783E5062" w14:textId="36C713E3" w:rsidR="009F3509" w:rsidRPr="004A1EBA" w:rsidRDefault="004A1EBA" w:rsidP="00664641">
            <w:pPr>
              <w:spacing w:beforeLines="20" w:before="48" w:afterLines="20" w:after="48"/>
              <w:jc w:val="center"/>
              <w:rPr>
                <w:rFonts w:asciiTheme="majorBidi" w:hAnsiTheme="majorBidi" w:cstheme="majorBidi"/>
                <w:b/>
                <w:bCs/>
                <w:sz w:val="16"/>
                <w:szCs w:val="16"/>
              </w:rPr>
            </w:pPr>
            <w:bookmarkStart w:id="219" w:name="_Ref13561415"/>
            <w:r>
              <w:rPr>
                <w:rFonts w:asciiTheme="majorBidi" w:hAnsiTheme="majorBidi" w:cstheme="majorBidi"/>
                <w:b/>
                <w:bCs/>
                <w:sz w:val="16"/>
                <w:szCs w:val="16"/>
              </w:rPr>
              <w:t>BC</w:t>
            </w:r>
            <w:r w:rsidR="009F3509" w:rsidRPr="004A1EBA">
              <w:rPr>
                <w:rStyle w:val="FootnoteReference"/>
                <w:rFonts w:asciiTheme="majorBidi" w:hAnsiTheme="majorBidi" w:cstheme="majorBidi"/>
                <w:b/>
                <w:bCs/>
                <w:sz w:val="16"/>
                <w:szCs w:val="16"/>
              </w:rPr>
              <w:footnoteReference w:id="548"/>
            </w:r>
            <w:bookmarkEnd w:id="219"/>
          </w:p>
        </w:tc>
        <w:tc>
          <w:tcPr>
            <w:tcW w:w="455" w:type="pct"/>
            <w:tcBorders>
              <w:bottom w:val="single" w:sz="4" w:space="0" w:color="auto"/>
            </w:tcBorders>
            <w:shd w:val="clear" w:color="auto" w:fill="D9D9D9" w:themeFill="background1" w:themeFillShade="D9"/>
            <w:vAlign w:val="center"/>
          </w:tcPr>
          <w:p w14:paraId="2710C37C" w14:textId="4BFEBE74" w:rsidR="009F3509" w:rsidRPr="004A1EBA" w:rsidRDefault="00180886" w:rsidP="00664641">
            <w:pPr>
              <w:spacing w:beforeLines="20" w:before="48" w:afterLines="20" w:after="48"/>
              <w:jc w:val="center"/>
              <w:rPr>
                <w:rFonts w:asciiTheme="majorBidi" w:hAnsiTheme="majorBidi" w:cstheme="majorBidi"/>
                <w:b/>
                <w:bCs/>
                <w:sz w:val="16"/>
                <w:szCs w:val="16"/>
              </w:rPr>
            </w:pPr>
            <w:bookmarkStart w:id="220" w:name="_Ref13561441"/>
            <w:r w:rsidRPr="004A1EBA">
              <w:rPr>
                <w:rFonts w:asciiTheme="majorBidi" w:hAnsiTheme="majorBidi" w:cstheme="majorBidi"/>
                <w:b/>
                <w:bCs/>
                <w:sz w:val="16"/>
                <w:szCs w:val="16"/>
              </w:rPr>
              <w:t>NS</w:t>
            </w:r>
            <w:r w:rsidR="009F3509" w:rsidRPr="004A1EBA">
              <w:rPr>
                <w:rStyle w:val="FootnoteReference"/>
                <w:rFonts w:asciiTheme="majorBidi" w:hAnsiTheme="majorBidi" w:cstheme="majorBidi"/>
                <w:b/>
                <w:bCs/>
                <w:sz w:val="16"/>
                <w:szCs w:val="16"/>
              </w:rPr>
              <w:footnoteReference w:id="549"/>
            </w:r>
            <w:bookmarkEnd w:id="220"/>
          </w:p>
        </w:tc>
        <w:tc>
          <w:tcPr>
            <w:tcW w:w="455" w:type="pct"/>
            <w:tcBorders>
              <w:bottom w:val="single" w:sz="4" w:space="0" w:color="auto"/>
            </w:tcBorders>
            <w:shd w:val="clear" w:color="auto" w:fill="D9D9D9" w:themeFill="background1" w:themeFillShade="D9"/>
            <w:vAlign w:val="center"/>
          </w:tcPr>
          <w:p w14:paraId="26065347" w14:textId="17AA73CE" w:rsidR="009F3509" w:rsidRPr="004A1EBA" w:rsidRDefault="009F3509" w:rsidP="00664641">
            <w:pPr>
              <w:spacing w:beforeLines="20" w:before="48" w:afterLines="20" w:after="48"/>
              <w:jc w:val="center"/>
              <w:rPr>
                <w:rFonts w:asciiTheme="majorBidi" w:hAnsiTheme="majorBidi" w:cstheme="majorBidi"/>
                <w:b/>
                <w:bCs/>
                <w:sz w:val="16"/>
                <w:szCs w:val="16"/>
              </w:rPr>
            </w:pPr>
            <w:r w:rsidRPr="004A1EBA">
              <w:rPr>
                <w:rFonts w:asciiTheme="majorBidi" w:hAnsiTheme="majorBidi" w:cstheme="majorBidi"/>
                <w:b/>
                <w:bCs/>
                <w:sz w:val="16"/>
                <w:szCs w:val="16"/>
              </w:rPr>
              <w:t>Alberta</w:t>
            </w:r>
            <w:bookmarkStart w:id="221" w:name="_Ref13561482"/>
            <w:r w:rsidRPr="004A1EBA">
              <w:rPr>
                <w:rStyle w:val="FootnoteReference"/>
                <w:rFonts w:asciiTheme="majorBidi" w:hAnsiTheme="majorBidi" w:cstheme="majorBidi"/>
                <w:b/>
                <w:bCs/>
                <w:sz w:val="16"/>
                <w:szCs w:val="16"/>
              </w:rPr>
              <w:footnoteReference w:id="550"/>
            </w:r>
            <w:bookmarkEnd w:id="221"/>
          </w:p>
        </w:tc>
        <w:tc>
          <w:tcPr>
            <w:tcW w:w="455" w:type="pct"/>
            <w:tcBorders>
              <w:bottom w:val="single" w:sz="4" w:space="0" w:color="auto"/>
            </w:tcBorders>
            <w:shd w:val="clear" w:color="auto" w:fill="D9D9D9" w:themeFill="background1" w:themeFillShade="D9"/>
            <w:vAlign w:val="center"/>
          </w:tcPr>
          <w:p w14:paraId="1615287E" w14:textId="10E4E911" w:rsidR="009F3509" w:rsidRPr="004A1EBA" w:rsidRDefault="009F3509" w:rsidP="00664641">
            <w:pPr>
              <w:spacing w:beforeLines="20" w:before="48" w:afterLines="20" w:after="48"/>
              <w:jc w:val="center"/>
              <w:rPr>
                <w:rFonts w:asciiTheme="majorBidi" w:hAnsiTheme="majorBidi" w:cstheme="majorBidi"/>
                <w:b/>
                <w:bCs/>
                <w:sz w:val="16"/>
                <w:szCs w:val="16"/>
              </w:rPr>
            </w:pPr>
            <w:r w:rsidRPr="004A1EBA">
              <w:rPr>
                <w:rFonts w:asciiTheme="majorBidi" w:hAnsiTheme="majorBidi" w:cstheme="majorBidi"/>
                <w:b/>
                <w:bCs/>
                <w:sz w:val="16"/>
                <w:szCs w:val="16"/>
              </w:rPr>
              <w:t>Manitoba</w:t>
            </w:r>
            <w:bookmarkStart w:id="222" w:name="_Ref13561508"/>
            <w:r w:rsidRPr="004A1EBA">
              <w:rPr>
                <w:rStyle w:val="FootnoteReference"/>
                <w:rFonts w:asciiTheme="majorBidi" w:hAnsiTheme="majorBidi" w:cstheme="majorBidi"/>
                <w:b/>
                <w:bCs/>
                <w:sz w:val="16"/>
                <w:szCs w:val="16"/>
              </w:rPr>
              <w:footnoteReference w:id="551"/>
            </w:r>
            <w:bookmarkEnd w:id="222"/>
          </w:p>
        </w:tc>
        <w:tc>
          <w:tcPr>
            <w:tcW w:w="455" w:type="pct"/>
            <w:tcBorders>
              <w:bottom w:val="single" w:sz="4" w:space="0" w:color="auto"/>
            </w:tcBorders>
            <w:shd w:val="clear" w:color="auto" w:fill="D9D9D9" w:themeFill="background1" w:themeFillShade="D9"/>
            <w:vAlign w:val="center"/>
          </w:tcPr>
          <w:p w14:paraId="7F7EF7FC" w14:textId="5A31F2EF" w:rsidR="009F3509" w:rsidRPr="004A1EBA" w:rsidRDefault="00180886" w:rsidP="00664641">
            <w:pPr>
              <w:spacing w:beforeLines="20" w:before="48" w:afterLines="20" w:after="48"/>
              <w:jc w:val="center"/>
              <w:rPr>
                <w:rFonts w:asciiTheme="majorBidi" w:hAnsiTheme="majorBidi" w:cstheme="majorBidi"/>
                <w:b/>
                <w:bCs/>
                <w:sz w:val="16"/>
                <w:szCs w:val="16"/>
              </w:rPr>
            </w:pPr>
            <w:bookmarkStart w:id="223" w:name="_Ref13561527"/>
            <w:r w:rsidRPr="004A1EBA">
              <w:rPr>
                <w:rFonts w:asciiTheme="majorBidi" w:hAnsiTheme="majorBidi" w:cstheme="majorBidi"/>
                <w:b/>
                <w:bCs/>
                <w:sz w:val="16"/>
                <w:szCs w:val="16"/>
              </w:rPr>
              <w:t>NB</w:t>
            </w:r>
            <w:r w:rsidR="009F3509" w:rsidRPr="004A1EBA">
              <w:rPr>
                <w:rStyle w:val="FootnoteReference"/>
                <w:rFonts w:asciiTheme="majorBidi" w:hAnsiTheme="majorBidi" w:cstheme="majorBidi"/>
                <w:b/>
                <w:bCs/>
                <w:sz w:val="16"/>
                <w:szCs w:val="16"/>
              </w:rPr>
              <w:footnoteReference w:id="552"/>
            </w:r>
            <w:bookmarkEnd w:id="223"/>
          </w:p>
        </w:tc>
        <w:tc>
          <w:tcPr>
            <w:tcW w:w="455" w:type="pct"/>
            <w:tcBorders>
              <w:bottom w:val="single" w:sz="4" w:space="0" w:color="auto"/>
            </w:tcBorders>
            <w:shd w:val="clear" w:color="auto" w:fill="D9D9D9" w:themeFill="background1" w:themeFillShade="D9"/>
            <w:vAlign w:val="center"/>
          </w:tcPr>
          <w:p w14:paraId="17B3905A" w14:textId="44D294B3" w:rsidR="009F3509" w:rsidRPr="004A1EBA" w:rsidRDefault="009F3509" w:rsidP="00664641">
            <w:pPr>
              <w:spacing w:beforeLines="20" w:before="48" w:afterLines="20" w:after="48"/>
              <w:jc w:val="center"/>
              <w:rPr>
                <w:rFonts w:asciiTheme="majorBidi" w:hAnsiTheme="majorBidi" w:cstheme="majorBidi"/>
                <w:b/>
                <w:bCs/>
                <w:sz w:val="16"/>
                <w:szCs w:val="16"/>
              </w:rPr>
            </w:pPr>
            <w:r w:rsidRPr="004A1EBA">
              <w:rPr>
                <w:rFonts w:asciiTheme="majorBidi" w:hAnsiTheme="majorBidi" w:cstheme="majorBidi"/>
                <w:b/>
                <w:bCs/>
                <w:sz w:val="16"/>
                <w:szCs w:val="16"/>
              </w:rPr>
              <w:t>Yukon</w:t>
            </w:r>
            <w:bookmarkStart w:id="224" w:name="_Ref13561563"/>
            <w:r w:rsidRPr="004A1EBA">
              <w:rPr>
                <w:rStyle w:val="FootnoteReference"/>
                <w:rFonts w:asciiTheme="majorBidi" w:hAnsiTheme="majorBidi" w:cstheme="majorBidi"/>
                <w:b/>
                <w:bCs/>
                <w:sz w:val="16"/>
                <w:szCs w:val="16"/>
              </w:rPr>
              <w:footnoteReference w:id="553"/>
            </w:r>
            <w:bookmarkEnd w:id="224"/>
          </w:p>
        </w:tc>
        <w:tc>
          <w:tcPr>
            <w:tcW w:w="449" w:type="pct"/>
            <w:tcBorders>
              <w:bottom w:val="single" w:sz="4" w:space="0" w:color="auto"/>
            </w:tcBorders>
            <w:shd w:val="clear" w:color="auto" w:fill="D9D9D9" w:themeFill="background1" w:themeFillShade="D9"/>
            <w:vAlign w:val="center"/>
          </w:tcPr>
          <w:p w14:paraId="1A9C1853" w14:textId="478299AD" w:rsidR="009F3509" w:rsidRPr="004A1EBA" w:rsidRDefault="00180886" w:rsidP="00664641">
            <w:pPr>
              <w:spacing w:beforeLines="20" w:before="48" w:afterLines="20" w:after="48"/>
              <w:jc w:val="center"/>
              <w:rPr>
                <w:rFonts w:asciiTheme="majorBidi" w:hAnsiTheme="majorBidi" w:cstheme="majorBidi"/>
                <w:b/>
                <w:bCs/>
                <w:sz w:val="16"/>
                <w:szCs w:val="16"/>
              </w:rPr>
            </w:pPr>
            <w:bookmarkStart w:id="225" w:name="_Ref13561595"/>
            <w:r w:rsidRPr="004A1EBA">
              <w:rPr>
                <w:rFonts w:asciiTheme="majorBidi" w:hAnsiTheme="majorBidi" w:cstheme="majorBidi"/>
                <w:b/>
                <w:bCs/>
                <w:sz w:val="16"/>
                <w:szCs w:val="16"/>
              </w:rPr>
              <w:t>N</w:t>
            </w:r>
            <w:r w:rsidR="001F291E" w:rsidRPr="004A1EBA">
              <w:rPr>
                <w:rFonts w:asciiTheme="majorBidi" w:hAnsiTheme="majorBidi" w:cstheme="majorBidi"/>
                <w:b/>
                <w:bCs/>
                <w:sz w:val="16"/>
                <w:szCs w:val="16"/>
              </w:rPr>
              <w:t>fld</w:t>
            </w:r>
            <w:r w:rsidR="009F3509" w:rsidRPr="004A1EBA">
              <w:rPr>
                <w:rStyle w:val="FootnoteReference"/>
                <w:rFonts w:asciiTheme="majorBidi" w:hAnsiTheme="majorBidi" w:cstheme="majorBidi"/>
                <w:b/>
                <w:bCs/>
                <w:sz w:val="16"/>
                <w:szCs w:val="16"/>
              </w:rPr>
              <w:footnoteReference w:id="554"/>
            </w:r>
            <w:bookmarkEnd w:id="225"/>
          </w:p>
        </w:tc>
      </w:tr>
      <w:tr w:rsidR="00180886" w:rsidRPr="004A1EBA" w14:paraId="66A950CB" w14:textId="715DD81B" w:rsidTr="004162EE">
        <w:trPr>
          <w:trHeight w:val="453"/>
        </w:trPr>
        <w:tc>
          <w:tcPr>
            <w:tcW w:w="498" w:type="pct"/>
            <w:tcBorders>
              <w:bottom w:val="single" w:sz="4" w:space="0" w:color="auto"/>
            </w:tcBorders>
            <w:vAlign w:val="center"/>
          </w:tcPr>
          <w:p w14:paraId="60EFDE3D" w14:textId="3D8F664E" w:rsidR="009F3509" w:rsidRPr="004A1EBA" w:rsidRDefault="009F3509" w:rsidP="00955268">
            <w:pPr>
              <w:spacing w:beforeLines="20" w:before="48" w:afterLines="20" w:after="48"/>
              <w:rPr>
                <w:rFonts w:asciiTheme="majorBidi" w:hAnsiTheme="majorBidi" w:cstheme="majorBidi"/>
                <w:b/>
                <w:bCs/>
                <w:sz w:val="16"/>
                <w:szCs w:val="16"/>
              </w:rPr>
            </w:pPr>
            <w:r w:rsidRPr="004A1EBA">
              <w:rPr>
                <w:rFonts w:asciiTheme="majorBidi" w:hAnsiTheme="majorBidi" w:cstheme="majorBidi"/>
                <w:b/>
                <w:bCs/>
                <w:sz w:val="16"/>
                <w:szCs w:val="16"/>
              </w:rPr>
              <w:t>Eligible claimants</w:t>
            </w:r>
            <w:r w:rsidRPr="004A1EBA">
              <w:rPr>
                <w:rFonts w:asciiTheme="majorBidi" w:hAnsiTheme="majorBidi" w:cstheme="majorBidi"/>
                <w:sz w:val="16"/>
                <w:szCs w:val="16"/>
              </w:rPr>
              <w:t xml:space="preserve"> </w:t>
            </w:r>
          </w:p>
        </w:tc>
        <w:tc>
          <w:tcPr>
            <w:tcW w:w="499" w:type="pct"/>
            <w:tcBorders>
              <w:bottom w:val="single" w:sz="4" w:space="0" w:color="auto"/>
            </w:tcBorders>
          </w:tcPr>
          <w:p w14:paraId="1E09A37B" w14:textId="1E8E24C3" w:rsidR="009F3509" w:rsidRPr="004A1EBA" w:rsidRDefault="009F3509" w:rsidP="00F13512">
            <w:pPr>
              <w:spacing w:beforeLines="20" w:before="48" w:afterLines="20" w:after="48"/>
              <w:jc w:val="center"/>
              <w:rPr>
                <w:rFonts w:asciiTheme="majorBidi" w:hAnsiTheme="majorBidi" w:cstheme="majorBidi"/>
                <w:sz w:val="16"/>
                <w:szCs w:val="16"/>
              </w:rPr>
            </w:pPr>
          </w:p>
        </w:tc>
        <w:tc>
          <w:tcPr>
            <w:tcW w:w="369" w:type="pct"/>
            <w:tcBorders>
              <w:bottom w:val="single" w:sz="4" w:space="0" w:color="auto"/>
            </w:tcBorders>
          </w:tcPr>
          <w:p w14:paraId="737596D5" w14:textId="77777777" w:rsidR="009F3509" w:rsidRPr="004A1EBA" w:rsidRDefault="009F3509" w:rsidP="00F13512">
            <w:pPr>
              <w:spacing w:beforeLines="20" w:before="48" w:afterLines="20" w:after="48"/>
              <w:rPr>
                <w:rFonts w:asciiTheme="majorBidi" w:hAnsiTheme="majorBidi" w:cstheme="majorBidi"/>
                <w:sz w:val="16"/>
                <w:szCs w:val="16"/>
              </w:rPr>
            </w:pPr>
          </w:p>
        </w:tc>
        <w:tc>
          <w:tcPr>
            <w:tcW w:w="455" w:type="pct"/>
            <w:tcBorders>
              <w:bottom w:val="single" w:sz="4" w:space="0" w:color="auto"/>
            </w:tcBorders>
          </w:tcPr>
          <w:p w14:paraId="25A0CC83" w14:textId="77777777" w:rsidR="009F3509" w:rsidRPr="004A1EBA" w:rsidRDefault="009F3509" w:rsidP="00F13512">
            <w:pPr>
              <w:spacing w:beforeLines="20" w:before="48" w:afterLines="20" w:after="48"/>
              <w:rPr>
                <w:rFonts w:asciiTheme="majorBidi" w:hAnsiTheme="majorBidi" w:cstheme="majorBidi"/>
                <w:sz w:val="16"/>
                <w:szCs w:val="16"/>
              </w:rPr>
            </w:pPr>
          </w:p>
        </w:tc>
        <w:tc>
          <w:tcPr>
            <w:tcW w:w="455" w:type="pct"/>
            <w:tcBorders>
              <w:bottom w:val="single" w:sz="4" w:space="0" w:color="auto"/>
            </w:tcBorders>
          </w:tcPr>
          <w:p w14:paraId="29E656F2" w14:textId="77777777" w:rsidR="009F3509" w:rsidRPr="004A1EBA" w:rsidRDefault="009F3509" w:rsidP="00F13512">
            <w:pPr>
              <w:spacing w:beforeLines="20" w:before="48" w:afterLines="20" w:after="48"/>
              <w:rPr>
                <w:rFonts w:asciiTheme="majorBidi" w:hAnsiTheme="majorBidi" w:cstheme="majorBidi"/>
                <w:sz w:val="16"/>
                <w:szCs w:val="16"/>
              </w:rPr>
            </w:pPr>
          </w:p>
        </w:tc>
        <w:tc>
          <w:tcPr>
            <w:tcW w:w="455" w:type="pct"/>
            <w:tcBorders>
              <w:bottom w:val="single" w:sz="4" w:space="0" w:color="auto"/>
            </w:tcBorders>
          </w:tcPr>
          <w:p w14:paraId="279837F3" w14:textId="77777777" w:rsidR="009F3509" w:rsidRPr="004A1EBA" w:rsidRDefault="009F3509" w:rsidP="00F13512">
            <w:pPr>
              <w:spacing w:beforeLines="20" w:before="48" w:afterLines="20" w:after="48"/>
              <w:rPr>
                <w:rFonts w:asciiTheme="majorBidi" w:hAnsiTheme="majorBidi" w:cstheme="majorBidi"/>
                <w:sz w:val="16"/>
                <w:szCs w:val="16"/>
              </w:rPr>
            </w:pPr>
          </w:p>
        </w:tc>
        <w:tc>
          <w:tcPr>
            <w:tcW w:w="455" w:type="pct"/>
            <w:tcBorders>
              <w:bottom w:val="single" w:sz="4" w:space="0" w:color="auto"/>
            </w:tcBorders>
          </w:tcPr>
          <w:p w14:paraId="72D168AB" w14:textId="49283C25" w:rsidR="009F3509" w:rsidRPr="004A1EBA" w:rsidRDefault="009F3509" w:rsidP="00F13512">
            <w:pPr>
              <w:spacing w:beforeLines="20" w:before="48" w:afterLines="20" w:after="48"/>
              <w:rPr>
                <w:rFonts w:asciiTheme="majorBidi" w:hAnsiTheme="majorBidi" w:cstheme="majorBidi"/>
                <w:sz w:val="16"/>
                <w:szCs w:val="16"/>
              </w:rPr>
            </w:pPr>
          </w:p>
        </w:tc>
        <w:tc>
          <w:tcPr>
            <w:tcW w:w="455" w:type="pct"/>
            <w:tcBorders>
              <w:bottom w:val="single" w:sz="4" w:space="0" w:color="auto"/>
            </w:tcBorders>
          </w:tcPr>
          <w:p w14:paraId="73AF47F6" w14:textId="77777777" w:rsidR="009F3509" w:rsidRPr="004A1EBA" w:rsidRDefault="009F3509" w:rsidP="00F13512">
            <w:pPr>
              <w:spacing w:beforeLines="20" w:before="48" w:afterLines="20" w:after="48"/>
              <w:rPr>
                <w:rFonts w:asciiTheme="majorBidi" w:hAnsiTheme="majorBidi" w:cstheme="majorBidi"/>
                <w:sz w:val="16"/>
                <w:szCs w:val="16"/>
              </w:rPr>
            </w:pPr>
          </w:p>
        </w:tc>
        <w:tc>
          <w:tcPr>
            <w:tcW w:w="455" w:type="pct"/>
            <w:tcBorders>
              <w:bottom w:val="single" w:sz="4" w:space="0" w:color="auto"/>
            </w:tcBorders>
          </w:tcPr>
          <w:p w14:paraId="26AB5115" w14:textId="77777777" w:rsidR="009F3509" w:rsidRPr="004A1EBA" w:rsidRDefault="009F3509" w:rsidP="00F13512">
            <w:pPr>
              <w:spacing w:beforeLines="20" w:before="48" w:afterLines="20" w:after="48"/>
              <w:rPr>
                <w:rFonts w:asciiTheme="majorBidi" w:hAnsiTheme="majorBidi" w:cstheme="majorBidi"/>
                <w:sz w:val="16"/>
                <w:szCs w:val="16"/>
              </w:rPr>
            </w:pPr>
          </w:p>
        </w:tc>
        <w:tc>
          <w:tcPr>
            <w:tcW w:w="455" w:type="pct"/>
            <w:tcBorders>
              <w:bottom w:val="single" w:sz="4" w:space="0" w:color="auto"/>
            </w:tcBorders>
          </w:tcPr>
          <w:p w14:paraId="76FF8741" w14:textId="77777777" w:rsidR="009F3509" w:rsidRPr="004A1EBA" w:rsidRDefault="009F3509" w:rsidP="00F13512">
            <w:pPr>
              <w:spacing w:beforeLines="20" w:before="48" w:afterLines="20" w:after="48"/>
              <w:rPr>
                <w:rFonts w:asciiTheme="majorBidi" w:hAnsiTheme="majorBidi" w:cstheme="majorBidi"/>
                <w:sz w:val="16"/>
                <w:szCs w:val="16"/>
              </w:rPr>
            </w:pPr>
          </w:p>
        </w:tc>
        <w:tc>
          <w:tcPr>
            <w:tcW w:w="449" w:type="pct"/>
            <w:tcBorders>
              <w:bottom w:val="single" w:sz="4" w:space="0" w:color="auto"/>
            </w:tcBorders>
          </w:tcPr>
          <w:p w14:paraId="3838673D" w14:textId="77777777" w:rsidR="009F3509" w:rsidRPr="004A1EBA" w:rsidRDefault="009F3509" w:rsidP="00F13512">
            <w:pPr>
              <w:spacing w:beforeLines="20" w:before="48" w:afterLines="20" w:after="48"/>
              <w:rPr>
                <w:rFonts w:asciiTheme="majorBidi" w:hAnsiTheme="majorBidi" w:cstheme="majorBidi"/>
                <w:sz w:val="16"/>
                <w:szCs w:val="16"/>
              </w:rPr>
            </w:pPr>
          </w:p>
        </w:tc>
      </w:tr>
      <w:tr w:rsidR="00180886" w:rsidRPr="004A1EBA" w14:paraId="01251014" w14:textId="66DD6A7F" w:rsidTr="004162EE">
        <w:trPr>
          <w:trHeight w:val="453"/>
        </w:trPr>
        <w:tc>
          <w:tcPr>
            <w:tcW w:w="498" w:type="pct"/>
            <w:tcBorders>
              <w:top w:val="single" w:sz="4" w:space="0" w:color="auto"/>
              <w:bottom w:val="single" w:sz="4" w:space="0" w:color="auto"/>
            </w:tcBorders>
            <w:vAlign w:val="center"/>
          </w:tcPr>
          <w:p w14:paraId="354309AE" w14:textId="4C19E1E3" w:rsidR="009F3509" w:rsidRPr="004A1EBA" w:rsidRDefault="009F350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t>Spouse</w:t>
            </w:r>
            <w:r w:rsidRPr="004A1EBA">
              <w:rPr>
                <w:rStyle w:val="FootnoteReference"/>
                <w:rFonts w:asciiTheme="majorBidi" w:hAnsiTheme="majorBidi" w:cstheme="majorBidi"/>
                <w:sz w:val="16"/>
                <w:szCs w:val="16"/>
              </w:rPr>
              <w:footnoteReference w:id="555"/>
            </w:r>
          </w:p>
        </w:tc>
        <w:tc>
          <w:tcPr>
            <w:tcW w:w="499" w:type="pct"/>
            <w:tcBorders>
              <w:top w:val="single" w:sz="4" w:space="0" w:color="auto"/>
              <w:bottom w:val="single" w:sz="4" w:space="0" w:color="auto"/>
            </w:tcBorders>
          </w:tcPr>
          <w:p w14:paraId="54E7E556" w14:textId="19993F62"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369" w:type="pct"/>
            <w:tcBorders>
              <w:top w:val="single" w:sz="4" w:space="0" w:color="auto"/>
              <w:bottom w:val="single" w:sz="4" w:space="0" w:color="auto"/>
            </w:tcBorders>
          </w:tcPr>
          <w:p w14:paraId="05FCEFBD" w14:textId="27214DDF"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top w:val="single" w:sz="4" w:space="0" w:color="auto"/>
              <w:bottom w:val="single" w:sz="4" w:space="0" w:color="auto"/>
            </w:tcBorders>
          </w:tcPr>
          <w:p w14:paraId="3B92A4F5" w14:textId="43B5317D"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top w:val="single" w:sz="4" w:space="0" w:color="auto"/>
              <w:bottom w:val="single" w:sz="4" w:space="0" w:color="auto"/>
            </w:tcBorders>
          </w:tcPr>
          <w:p w14:paraId="63702F3E" w14:textId="19385B35"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top w:val="single" w:sz="4" w:space="0" w:color="auto"/>
              <w:bottom w:val="single" w:sz="4" w:space="0" w:color="auto"/>
            </w:tcBorders>
          </w:tcPr>
          <w:p w14:paraId="4BE836AC" w14:textId="220FCF15"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top w:val="single" w:sz="4" w:space="0" w:color="auto"/>
              <w:bottom w:val="single" w:sz="4" w:space="0" w:color="auto"/>
            </w:tcBorders>
          </w:tcPr>
          <w:p w14:paraId="5F55FF03" w14:textId="53880F67"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top w:val="single" w:sz="4" w:space="0" w:color="auto"/>
              <w:bottom w:val="single" w:sz="4" w:space="0" w:color="auto"/>
            </w:tcBorders>
          </w:tcPr>
          <w:p w14:paraId="1676ED9E" w14:textId="25C3B3CB"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top w:val="single" w:sz="4" w:space="0" w:color="auto"/>
              <w:bottom w:val="single" w:sz="4" w:space="0" w:color="auto"/>
            </w:tcBorders>
          </w:tcPr>
          <w:p w14:paraId="154632B6" w14:textId="5FD53043"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top w:val="single" w:sz="4" w:space="0" w:color="auto"/>
              <w:bottom w:val="single" w:sz="4" w:space="0" w:color="auto"/>
            </w:tcBorders>
          </w:tcPr>
          <w:p w14:paraId="1D6A7279" w14:textId="10A9590D"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49" w:type="pct"/>
            <w:tcBorders>
              <w:top w:val="single" w:sz="4" w:space="0" w:color="auto"/>
              <w:bottom w:val="single" w:sz="4" w:space="0" w:color="auto"/>
            </w:tcBorders>
          </w:tcPr>
          <w:p w14:paraId="574B7416" w14:textId="4BCA11FA" w:rsidR="009F3509" w:rsidRPr="004A1EBA" w:rsidRDefault="00A64C31" w:rsidP="00580D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r>
      <w:tr w:rsidR="00180886" w:rsidRPr="004A1EBA" w14:paraId="20FA25C7" w14:textId="04B143B1" w:rsidTr="004162EE">
        <w:trPr>
          <w:trHeight w:val="453"/>
        </w:trPr>
        <w:tc>
          <w:tcPr>
            <w:tcW w:w="498" w:type="pct"/>
            <w:tcBorders>
              <w:bottom w:val="single" w:sz="4" w:space="0" w:color="auto"/>
            </w:tcBorders>
            <w:vAlign w:val="center"/>
          </w:tcPr>
          <w:p w14:paraId="2C3F227A" w14:textId="4D522272" w:rsidR="009F3509" w:rsidRPr="004A1EBA" w:rsidRDefault="009F350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lastRenderedPageBreak/>
              <w:t>Former Spouse</w:t>
            </w:r>
            <w:r w:rsidRPr="004A1EBA">
              <w:rPr>
                <w:rStyle w:val="FootnoteReference"/>
                <w:rFonts w:asciiTheme="majorBidi" w:hAnsiTheme="majorBidi" w:cstheme="majorBidi"/>
                <w:sz w:val="16"/>
                <w:szCs w:val="16"/>
              </w:rPr>
              <w:footnoteReference w:id="556"/>
            </w:r>
          </w:p>
        </w:tc>
        <w:tc>
          <w:tcPr>
            <w:tcW w:w="499" w:type="pct"/>
            <w:tcBorders>
              <w:bottom w:val="single" w:sz="4" w:space="0" w:color="auto"/>
            </w:tcBorders>
            <w:vAlign w:val="center"/>
          </w:tcPr>
          <w:p w14:paraId="7822CF50" w14:textId="0089F106" w:rsidR="009F3509" w:rsidRPr="004A1EBA" w:rsidRDefault="00A64C31"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(if depend</w:t>
            </w:r>
            <w:r w:rsidR="00955268" w:rsidRPr="004A1EBA">
              <w:rPr>
                <w:rFonts w:asciiTheme="majorBidi" w:hAnsiTheme="majorBidi" w:cstheme="majorBidi"/>
                <w:sz w:val="16"/>
                <w:szCs w:val="16"/>
              </w:rPr>
              <w:t>e</w:t>
            </w:r>
            <w:r w:rsidR="009F3509" w:rsidRPr="004A1EBA">
              <w:rPr>
                <w:rFonts w:asciiTheme="majorBidi" w:hAnsiTheme="majorBidi" w:cstheme="majorBidi"/>
                <w:sz w:val="16"/>
                <w:szCs w:val="16"/>
              </w:rPr>
              <w:t>nt upon deceased for at least 3 years before death)</w:t>
            </w:r>
          </w:p>
        </w:tc>
        <w:tc>
          <w:tcPr>
            <w:tcW w:w="369" w:type="pct"/>
            <w:tcBorders>
              <w:bottom w:val="single" w:sz="4" w:space="0" w:color="auto"/>
            </w:tcBorders>
            <w:vAlign w:val="center"/>
          </w:tcPr>
          <w:p w14:paraId="52C7FB49" w14:textId="2E881CEA" w:rsidR="009F3509" w:rsidRPr="004A1EBA" w:rsidRDefault="00A64C31"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39F98458" w14:textId="36CA0F34" w:rsidR="009F3509" w:rsidRPr="004A1EBA" w:rsidRDefault="00A64C31"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3270DA85" w14:textId="00B621B3" w:rsidR="009F3509" w:rsidRPr="004A1EBA" w:rsidRDefault="00A64C31"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0A536253" w14:textId="66378167" w:rsidR="009F3509" w:rsidRPr="004A1EBA" w:rsidRDefault="00A64C31"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6A78379B" w14:textId="7A6C4127" w:rsidR="009F3509" w:rsidRPr="004A1EBA" w:rsidRDefault="00A64C31"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2093FCD6" w14:textId="1CDD3186" w:rsidR="009F3509" w:rsidRPr="004A1EBA" w:rsidRDefault="00A64C31"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bottom w:val="single" w:sz="4" w:space="0" w:color="auto"/>
            </w:tcBorders>
            <w:vAlign w:val="center"/>
          </w:tcPr>
          <w:p w14:paraId="3BAC3B24" w14:textId="74169EE5" w:rsidR="009F3509" w:rsidRPr="004A1EBA" w:rsidRDefault="00A64C31"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47F3DCBE" w14:textId="46F01559" w:rsidR="009F3509" w:rsidRPr="004A1EBA" w:rsidRDefault="00580DA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(if depend</w:t>
            </w:r>
            <w:r w:rsidR="00955268" w:rsidRPr="004A1EBA">
              <w:rPr>
                <w:rFonts w:asciiTheme="majorBidi" w:hAnsiTheme="majorBidi" w:cstheme="majorBidi"/>
                <w:sz w:val="16"/>
                <w:szCs w:val="16"/>
              </w:rPr>
              <w:t>e</w:t>
            </w:r>
            <w:r w:rsidR="009F3509" w:rsidRPr="004A1EBA">
              <w:rPr>
                <w:rFonts w:asciiTheme="majorBidi" w:hAnsiTheme="majorBidi" w:cstheme="majorBidi"/>
                <w:sz w:val="16"/>
                <w:szCs w:val="16"/>
              </w:rPr>
              <w:t>nt upon deceased for at least 3 years before death)</w:t>
            </w:r>
          </w:p>
        </w:tc>
        <w:tc>
          <w:tcPr>
            <w:tcW w:w="449" w:type="pct"/>
            <w:tcBorders>
              <w:bottom w:val="single" w:sz="4" w:space="0" w:color="auto"/>
            </w:tcBorders>
            <w:vAlign w:val="center"/>
          </w:tcPr>
          <w:p w14:paraId="1F7E8CA8" w14:textId="4D6638D5" w:rsidR="009F3509" w:rsidRPr="004A1EBA" w:rsidRDefault="00A64C31"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3701CD3E" w14:textId="54E6DB14" w:rsidTr="004162EE">
        <w:trPr>
          <w:trHeight w:val="453"/>
        </w:trPr>
        <w:tc>
          <w:tcPr>
            <w:tcW w:w="498" w:type="pct"/>
            <w:tcBorders>
              <w:bottom w:val="single" w:sz="4" w:space="0" w:color="auto"/>
            </w:tcBorders>
            <w:vAlign w:val="center"/>
          </w:tcPr>
          <w:p w14:paraId="40D7825B" w14:textId="63005324" w:rsidR="009F3509" w:rsidRPr="004A1EBA" w:rsidRDefault="009F350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t>Child</w:t>
            </w:r>
            <w:r w:rsidRPr="004A1EBA">
              <w:rPr>
                <w:rStyle w:val="FootnoteReference"/>
                <w:rFonts w:asciiTheme="majorBidi" w:hAnsiTheme="majorBidi" w:cstheme="majorBidi"/>
                <w:sz w:val="16"/>
                <w:szCs w:val="16"/>
              </w:rPr>
              <w:footnoteReference w:id="557"/>
            </w:r>
          </w:p>
        </w:tc>
        <w:tc>
          <w:tcPr>
            <w:tcW w:w="499" w:type="pct"/>
            <w:tcBorders>
              <w:bottom w:val="single" w:sz="4" w:space="0" w:color="auto"/>
            </w:tcBorders>
            <w:vAlign w:val="center"/>
          </w:tcPr>
          <w:p w14:paraId="0B705D03" w14:textId="71E4C68A" w:rsidR="009F3509" w:rsidRPr="004A1EBA" w:rsidRDefault="007334B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369" w:type="pct"/>
            <w:tcBorders>
              <w:bottom w:val="single" w:sz="4" w:space="0" w:color="auto"/>
            </w:tcBorders>
            <w:vAlign w:val="center"/>
          </w:tcPr>
          <w:p w14:paraId="646420B4" w14:textId="70A18CF9" w:rsidR="009F3509" w:rsidRPr="004A1EBA" w:rsidRDefault="007334B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(if under 18, or if an adult, they must demonstrate inability to earn a living due to disability or that they ought to receive a </w:t>
            </w:r>
            <w:r w:rsidR="009F3509" w:rsidRPr="004A1EBA">
              <w:rPr>
                <w:rFonts w:asciiTheme="majorBidi" w:hAnsiTheme="majorBidi" w:cstheme="majorBidi"/>
                <w:sz w:val="16"/>
                <w:szCs w:val="16"/>
              </w:rPr>
              <w:lastRenderedPageBreak/>
              <w:t>greater share due to need or other circumstance)</w:t>
            </w:r>
          </w:p>
        </w:tc>
        <w:tc>
          <w:tcPr>
            <w:tcW w:w="455" w:type="pct"/>
            <w:tcBorders>
              <w:bottom w:val="single" w:sz="4" w:space="0" w:color="auto"/>
            </w:tcBorders>
            <w:vAlign w:val="center"/>
          </w:tcPr>
          <w:p w14:paraId="06CFB155" w14:textId="00AA1B94" w:rsidR="009F3509" w:rsidRPr="004A1EBA" w:rsidRDefault="007334B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lastRenderedPageBreak/>
              <w:sym w:font="Wingdings" w:char="F0FC"/>
            </w:r>
          </w:p>
        </w:tc>
        <w:tc>
          <w:tcPr>
            <w:tcW w:w="455" w:type="pct"/>
            <w:tcBorders>
              <w:bottom w:val="single" w:sz="4" w:space="0" w:color="auto"/>
            </w:tcBorders>
            <w:vAlign w:val="center"/>
          </w:tcPr>
          <w:p w14:paraId="61A3AB75" w14:textId="18F0BEA1" w:rsidR="009F3509" w:rsidRPr="004A1EBA" w:rsidRDefault="007334B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bottom w:val="single" w:sz="4" w:space="0" w:color="auto"/>
            </w:tcBorders>
            <w:vAlign w:val="center"/>
          </w:tcPr>
          <w:p w14:paraId="76592605" w14:textId="66CDF35D" w:rsidR="009F3509" w:rsidRPr="004A1EBA" w:rsidRDefault="007334B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bottom w:val="single" w:sz="4" w:space="0" w:color="auto"/>
            </w:tcBorders>
            <w:vAlign w:val="center"/>
          </w:tcPr>
          <w:p w14:paraId="70ACFA0E" w14:textId="05FE2A11" w:rsidR="009F3509" w:rsidRPr="004A1EBA" w:rsidRDefault="007334B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(if under 18, or if an adult, they must demonstrate inability to earn a living due to disability, or be a student between 18-21 years)</w:t>
            </w:r>
          </w:p>
        </w:tc>
        <w:tc>
          <w:tcPr>
            <w:tcW w:w="455" w:type="pct"/>
            <w:tcBorders>
              <w:bottom w:val="single" w:sz="4" w:space="0" w:color="auto"/>
            </w:tcBorders>
            <w:vAlign w:val="center"/>
          </w:tcPr>
          <w:p w14:paraId="789FE557" w14:textId="036FCA95" w:rsidR="009F3509" w:rsidRPr="004A1EBA" w:rsidRDefault="007334B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w:t>
            </w:r>
            <w:r w:rsidR="009F3509" w:rsidRPr="004A1EBA">
              <w:rPr>
                <w:rFonts w:asciiTheme="majorBidi" w:hAnsiTheme="majorBidi" w:cstheme="majorBidi"/>
                <w:sz w:val="16"/>
                <w:szCs w:val="16"/>
              </w:rPr>
              <w:t>(if under 18, or if an adult, they must demonstrate inability to earn a living due to disability or that they were substantially depend</w:t>
            </w:r>
            <w:r w:rsidR="00955268" w:rsidRPr="004A1EBA">
              <w:rPr>
                <w:rFonts w:asciiTheme="majorBidi" w:hAnsiTheme="majorBidi" w:cstheme="majorBidi"/>
                <w:sz w:val="16"/>
                <w:szCs w:val="16"/>
              </w:rPr>
              <w:t>e</w:t>
            </w:r>
            <w:r w:rsidR="009F3509" w:rsidRPr="004A1EBA">
              <w:rPr>
                <w:rFonts w:asciiTheme="majorBidi" w:hAnsiTheme="majorBidi" w:cstheme="majorBidi"/>
                <w:sz w:val="16"/>
                <w:szCs w:val="16"/>
              </w:rPr>
              <w:t xml:space="preserve">nt upon the </w:t>
            </w:r>
            <w:r w:rsidR="009F3509" w:rsidRPr="004A1EBA">
              <w:rPr>
                <w:rFonts w:asciiTheme="majorBidi" w:hAnsiTheme="majorBidi" w:cstheme="majorBidi"/>
                <w:sz w:val="16"/>
                <w:szCs w:val="16"/>
              </w:rPr>
              <w:lastRenderedPageBreak/>
              <w:t>deceased at their death</w:t>
            </w:r>
          </w:p>
        </w:tc>
        <w:tc>
          <w:tcPr>
            <w:tcW w:w="455" w:type="pct"/>
            <w:tcBorders>
              <w:bottom w:val="single" w:sz="4" w:space="0" w:color="auto"/>
            </w:tcBorders>
            <w:vAlign w:val="center"/>
          </w:tcPr>
          <w:p w14:paraId="2EB96BEE" w14:textId="02A07FEF" w:rsidR="009F3509" w:rsidRPr="004A1EBA" w:rsidRDefault="007334B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lastRenderedPageBreak/>
              <w:sym w:font="Wingdings" w:char="F0FC"/>
            </w:r>
          </w:p>
        </w:tc>
        <w:tc>
          <w:tcPr>
            <w:tcW w:w="455" w:type="pct"/>
            <w:tcBorders>
              <w:bottom w:val="single" w:sz="4" w:space="0" w:color="auto"/>
            </w:tcBorders>
            <w:vAlign w:val="center"/>
          </w:tcPr>
          <w:p w14:paraId="484BC9EE" w14:textId="62589850" w:rsidR="009F3509" w:rsidRPr="004A1EBA" w:rsidRDefault="007334B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(if under 16, or if older, they must demonstrate inability to earn a living due to disability)</w:t>
            </w:r>
          </w:p>
        </w:tc>
        <w:tc>
          <w:tcPr>
            <w:tcW w:w="449" w:type="pct"/>
            <w:tcBorders>
              <w:bottom w:val="single" w:sz="4" w:space="0" w:color="auto"/>
            </w:tcBorders>
            <w:vAlign w:val="center"/>
          </w:tcPr>
          <w:p w14:paraId="376F6422" w14:textId="7BD82082" w:rsidR="009F3509" w:rsidRPr="004A1EBA" w:rsidRDefault="007334B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r>
      <w:tr w:rsidR="00180886" w:rsidRPr="004A1EBA" w14:paraId="229AF6DF" w14:textId="47614C56" w:rsidTr="004162EE">
        <w:trPr>
          <w:trHeight w:val="453"/>
        </w:trPr>
        <w:tc>
          <w:tcPr>
            <w:tcW w:w="498" w:type="pct"/>
            <w:tcBorders>
              <w:bottom w:val="single" w:sz="4" w:space="0" w:color="auto"/>
            </w:tcBorders>
            <w:vAlign w:val="center"/>
          </w:tcPr>
          <w:p w14:paraId="25A2E508" w14:textId="1E828337" w:rsidR="009F3509" w:rsidRPr="004A1EBA" w:rsidRDefault="009F3509" w:rsidP="00664641">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t>Dependant</w:t>
            </w:r>
            <w:r w:rsidRPr="004A1EBA">
              <w:rPr>
                <w:rStyle w:val="FootnoteReference"/>
                <w:rFonts w:asciiTheme="majorBidi" w:hAnsiTheme="majorBidi" w:cstheme="majorBidi"/>
                <w:sz w:val="16"/>
                <w:szCs w:val="16"/>
              </w:rPr>
              <w:footnoteReference w:id="558"/>
            </w:r>
          </w:p>
        </w:tc>
        <w:tc>
          <w:tcPr>
            <w:tcW w:w="499" w:type="pct"/>
            <w:tcBorders>
              <w:bottom w:val="single" w:sz="4" w:space="0" w:color="auto"/>
            </w:tcBorders>
            <w:vAlign w:val="center"/>
          </w:tcPr>
          <w:p w14:paraId="3C51DB4B" w14:textId="0AC7B02B" w:rsidR="009F3509" w:rsidRPr="004A1EBA" w:rsidRDefault="00580DA9" w:rsidP="00664641">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(if grandparent, parent, descendant and dependent for at least 3 years before death)</w:t>
            </w:r>
          </w:p>
        </w:tc>
        <w:tc>
          <w:tcPr>
            <w:tcW w:w="369" w:type="pct"/>
            <w:tcBorders>
              <w:bottom w:val="single" w:sz="4" w:space="0" w:color="auto"/>
            </w:tcBorders>
            <w:vAlign w:val="center"/>
          </w:tcPr>
          <w:p w14:paraId="014A4288" w14:textId="56B2D793" w:rsidR="009F3509" w:rsidRPr="004A1EBA" w:rsidRDefault="00580DA9" w:rsidP="00664641">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7A889D44" w14:textId="4C6BF91D" w:rsidR="009F3509" w:rsidRPr="004A1EBA" w:rsidRDefault="00580DA9" w:rsidP="00664641">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bottom w:val="single" w:sz="4" w:space="0" w:color="auto"/>
            </w:tcBorders>
            <w:vAlign w:val="center"/>
          </w:tcPr>
          <w:p w14:paraId="0CE86DB4" w14:textId="26051485" w:rsidR="009F3509" w:rsidRPr="004A1EBA" w:rsidRDefault="00580DA9" w:rsidP="00664641">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10AA66CA" w14:textId="2BF0FE4C" w:rsidR="009F3509" w:rsidRPr="004A1EBA" w:rsidRDefault="00580DA9" w:rsidP="00664641">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2B569108" w14:textId="65409C95" w:rsidR="009F3509" w:rsidRPr="004A1EBA" w:rsidRDefault="00580DA9" w:rsidP="00664641">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(grandchildren under 18 where deceased acted as parent at time of death)</w:t>
            </w:r>
          </w:p>
        </w:tc>
        <w:tc>
          <w:tcPr>
            <w:tcW w:w="455" w:type="pct"/>
            <w:tcBorders>
              <w:bottom w:val="single" w:sz="4" w:space="0" w:color="auto"/>
            </w:tcBorders>
            <w:vAlign w:val="center"/>
          </w:tcPr>
          <w:p w14:paraId="3306B001" w14:textId="7AC3F22B" w:rsidR="009F3509" w:rsidRPr="004A1EBA" w:rsidRDefault="00580DA9" w:rsidP="00664641">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(where deceased stood in the shoes of a parent, or substantially dependant grandchildren, parents, grandparents, siblings)</w:t>
            </w:r>
          </w:p>
        </w:tc>
        <w:tc>
          <w:tcPr>
            <w:tcW w:w="455" w:type="pct"/>
            <w:tcBorders>
              <w:bottom w:val="single" w:sz="4" w:space="0" w:color="auto"/>
            </w:tcBorders>
            <w:vAlign w:val="center"/>
          </w:tcPr>
          <w:p w14:paraId="15B3CBDE" w14:textId="4A2E46FE" w:rsidR="009F3509" w:rsidRPr="004A1EBA" w:rsidRDefault="00580DA9" w:rsidP="00664641">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bottom w:val="single" w:sz="4" w:space="0" w:color="auto"/>
            </w:tcBorders>
            <w:vAlign w:val="center"/>
          </w:tcPr>
          <w:p w14:paraId="5D3620A5" w14:textId="6C666359" w:rsidR="009F3509" w:rsidRPr="004A1EBA" w:rsidRDefault="00580DA9" w:rsidP="00664641">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(if grandparent, parent, descendant and dependent for at least 3 years before death)</w:t>
            </w:r>
          </w:p>
        </w:tc>
        <w:tc>
          <w:tcPr>
            <w:tcW w:w="449" w:type="pct"/>
            <w:tcBorders>
              <w:bottom w:val="single" w:sz="4" w:space="0" w:color="auto"/>
            </w:tcBorders>
            <w:vAlign w:val="center"/>
          </w:tcPr>
          <w:p w14:paraId="7ABA4CDD" w14:textId="57586421" w:rsidR="009F3509" w:rsidRPr="004A1EBA" w:rsidRDefault="00580DA9" w:rsidP="00664641">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74BF226A" w14:textId="5823C161" w:rsidTr="004162EE">
        <w:trPr>
          <w:trHeight w:val="453"/>
        </w:trPr>
        <w:tc>
          <w:tcPr>
            <w:tcW w:w="498" w:type="pct"/>
            <w:tcBorders>
              <w:bottom w:val="single" w:sz="4" w:space="0" w:color="auto"/>
            </w:tcBorders>
            <w:vAlign w:val="center"/>
          </w:tcPr>
          <w:p w14:paraId="3A54C7B0" w14:textId="0FF0A77B" w:rsidR="009F3509" w:rsidRPr="004A1EBA" w:rsidRDefault="009F3509" w:rsidP="00955268">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t>Other</w:t>
            </w:r>
            <w:r w:rsidRPr="004A1EBA">
              <w:rPr>
                <w:rStyle w:val="FootnoteReference"/>
                <w:rFonts w:asciiTheme="majorBidi" w:hAnsiTheme="majorBidi" w:cstheme="majorBidi"/>
                <w:sz w:val="16"/>
                <w:szCs w:val="16"/>
              </w:rPr>
              <w:footnoteReference w:id="559"/>
            </w:r>
          </w:p>
        </w:tc>
        <w:tc>
          <w:tcPr>
            <w:tcW w:w="499" w:type="pct"/>
            <w:tcBorders>
              <w:bottom w:val="single" w:sz="4" w:space="0" w:color="auto"/>
            </w:tcBorders>
            <w:vAlign w:val="center"/>
          </w:tcPr>
          <w:p w14:paraId="5A87A7D6" w14:textId="4ED0EED8"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369" w:type="pct"/>
            <w:tcBorders>
              <w:bottom w:val="single" w:sz="4" w:space="0" w:color="auto"/>
            </w:tcBorders>
            <w:vAlign w:val="center"/>
          </w:tcPr>
          <w:p w14:paraId="718958E9" w14:textId="4067BC05"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180DA946" w14:textId="53A8A0B8"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tcBorders>
              <w:bottom w:val="single" w:sz="4" w:space="0" w:color="auto"/>
            </w:tcBorders>
            <w:vAlign w:val="center"/>
          </w:tcPr>
          <w:p w14:paraId="699A8CE1" w14:textId="66A4E6B4"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5AB734CE" w14:textId="5F336DE4"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213EA498" w14:textId="530BB040"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7B3D2B9D" w14:textId="02755AB9"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093F3C91" w14:textId="6B262C05"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bottom w:val="single" w:sz="4" w:space="0" w:color="auto"/>
            </w:tcBorders>
            <w:vAlign w:val="center"/>
          </w:tcPr>
          <w:p w14:paraId="10B1121B" w14:textId="32739A3B"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49" w:type="pct"/>
            <w:tcBorders>
              <w:bottom w:val="single" w:sz="4" w:space="0" w:color="auto"/>
            </w:tcBorders>
            <w:vAlign w:val="center"/>
          </w:tcPr>
          <w:p w14:paraId="6EBE9342" w14:textId="17F08EE5" w:rsidR="009F3509" w:rsidRPr="004A1EBA" w:rsidRDefault="00AF3B29" w:rsidP="00955268">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7F38FA92" w14:textId="20242FD5" w:rsidTr="004162EE">
        <w:trPr>
          <w:trHeight w:val="440"/>
        </w:trPr>
        <w:tc>
          <w:tcPr>
            <w:tcW w:w="498" w:type="pct"/>
            <w:tcBorders>
              <w:bottom w:val="single" w:sz="4" w:space="0" w:color="auto"/>
            </w:tcBorders>
          </w:tcPr>
          <w:p w14:paraId="088D7283" w14:textId="4E4582FA" w:rsidR="009F3509" w:rsidRPr="004A1EBA" w:rsidRDefault="009F3509" w:rsidP="004447B5">
            <w:pPr>
              <w:keepNext/>
              <w:spacing w:beforeLines="20" w:before="48" w:afterLines="20" w:after="48"/>
              <w:rPr>
                <w:rFonts w:asciiTheme="majorBidi" w:hAnsiTheme="majorBidi" w:cstheme="majorBidi"/>
                <w:b/>
                <w:bCs/>
                <w:sz w:val="16"/>
                <w:szCs w:val="16"/>
              </w:rPr>
            </w:pPr>
            <w:r w:rsidRPr="004A1EBA">
              <w:rPr>
                <w:rFonts w:asciiTheme="majorBidi" w:hAnsiTheme="majorBidi" w:cstheme="majorBidi"/>
                <w:b/>
                <w:bCs/>
                <w:sz w:val="16"/>
                <w:szCs w:val="16"/>
              </w:rPr>
              <w:lastRenderedPageBreak/>
              <w:t>Non-estate assets that may be treated as ‘notional estate’:</w:t>
            </w:r>
          </w:p>
        </w:tc>
        <w:tc>
          <w:tcPr>
            <w:tcW w:w="499" w:type="pct"/>
            <w:tcBorders>
              <w:bottom w:val="single" w:sz="4" w:space="0" w:color="auto"/>
            </w:tcBorders>
          </w:tcPr>
          <w:p w14:paraId="778005CB"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c>
          <w:tcPr>
            <w:tcW w:w="369" w:type="pct"/>
            <w:tcBorders>
              <w:bottom w:val="single" w:sz="4" w:space="0" w:color="auto"/>
            </w:tcBorders>
          </w:tcPr>
          <w:p w14:paraId="4C31F444"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c>
          <w:tcPr>
            <w:tcW w:w="455" w:type="pct"/>
            <w:tcBorders>
              <w:bottom w:val="single" w:sz="4" w:space="0" w:color="auto"/>
            </w:tcBorders>
          </w:tcPr>
          <w:p w14:paraId="76A1AFC4"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c>
          <w:tcPr>
            <w:tcW w:w="455" w:type="pct"/>
            <w:tcBorders>
              <w:bottom w:val="single" w:sz="4" w:space="0" w:color="auto"/>
            </w:tcBorders>
          </w:tcPr>
          <w:p w14:paraId="5FC59037"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c>
          <w:tcPr>
            <w:tcW w:w="455" w:type="pct"/>
            <w:tcBorders>
              <w:bottom w:val="single" w:sz="4" w:space="0" w:color="auto"/>
            </w:tcBorders>
          </w:tcPr>
          <w:p w14:paraId="3F1E6450"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c>
          <w:tcPr>
            <w:tcW w:w="455" w:type="pct"/>
            <w:tcBorders>
              <w:bottom w:val="single" w:sz="4" w:space="0" w:color="auto"/>
            </w:tcBorders>
          </w:tcPr>
          <w:p w14:paraId="056B44BF" w14:textId="4171A046" w:rsidR="009F3509" w:rsidRPr="004A1EBA" w:rsidRDefault="009F3509" w:rsidP="00F13512">
            <w:pPr>
              <w:spacing w:beforeLines="20" w:before="48" w:afterLines="20" w:after="48"/>
              <w:jc w:val="center"/>
              <w:rPr>
                <w:rFonts w:asciiTheme="majorBidi" w:hAnsiTheme="majorBidi" w:cstheme="majorBidi"/>
                <w:sz w:val="16"/>
                <w:szCs w:val="16"/>
              </w:rPr>
            </w:pPr>
          </w:p>
        </w:tc>
        <w:tc>
          <w:tcPr>
            <w:tcW w:w="455" w:type="pct"/>
            <w:tcBorders>
              <w:bottom w:val="single" w:sz="4" w:space="0" w:color="auto"/>
            </w:tcBorders>
          </w:tcPr>
          <w:p w14:paraId="58FCFB92"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c>
          <w:tcPr>
            <w:tcW w:w="455" w:type="pct"/>
            <w:tcBorders>
              <w:bottom w:val="single" w:sz="4" w:space="0" w:color="auto"/>
            </w:tcBorders>
          </w:tcPr>
          <w:p w14:paraId="4BEB7889"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c>
          <w:tcPr>
            <w:tcW w:w="455" w:type="pct"/>
            <w:tcBorders>
              <w:bottom w:val="single" w:sz="4" w:space="0" w:color="auto"/>
            </w:tcBorders>
          </w:tcPr>
          <w:p w14:paraId="337BA8CB"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c>
          <w:tcPr>
            <w:tcW w:w="449" w:type="pct"/>
            <w:tcBorders>
              <w:bottom w:val="single" w:sz="4" w:space="0" w:color="auto"/>
            </w:tcBorders>
          </w:tcPr>
          <w:p w14:paraId="274BC4BD" w14:textId="77777777" w:rsidR="009F3509" w:rsidRPr="004A1EBA" w:rsidRDefault="009F3509" w:rsidP="00F13512">
            <w:pPr>
              <w:spacing w:beforeLines="20" w:before="48" w:afterLines="20" w:after="48"/>
              <w:jc w:val="center"/>
              <w:rPr>
                <w:rFonts w:asciiTheme="majorBidi" w:hAnsiTheme="majorBidi" w:cstheme="majorBidi"/>
                <w:sz w:val="16"/>
                <w:szCs w:val="16"/>
              </w:rPr>
            </w:pPr>
          </w:p>
        </w:tc>
      </w:tr>
      <w:tr w:rsidR="00180886" w:rsidRPr="004A1EBA" w14:paraId="4EBFD93C" w14:textId="20C74FA4" w:rsidTr="004162EE">
        <w:trPr>
          <w:trHeight w:val="453"/>
        </w:trPr>
        <w:tc>
          <w:tcPr>
            <w:tcW w:w="498" w:type="pct"/>
            <w:tcBorders>
              <w:top w:val="single" w:sz="4" w:space="0" w:color="auto"/>
            </w:tcBorders>
            <w:vAlign w:val="center"/>
          </w:tcPr>
          <w:p w14:paraId="47F1B32B" w14:textId="1E55CCA3" w:rsidR="009F3509" w:rsidRPr="004A1EBA" w:rsidRDefault="009F3509" w:rsidP="00442254">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t>Joint tenancy assets</w:t>
            </w:r>
            <w:r w:rsidRPr="004A1EBA">
              <w:rPr>
                <w:rStyle w:val="FootnoteReference"/>
                <w:rFonts w:asciiTheme="majorBidi" w:hAnsiTheme="majorBidi" w:cstheme="majorBidi"/>
                <w:sz w:val="16"/>
                <w:szCs w:val="16"/>
              </w:rPr>
              <w:footnoteReference w:id="560"/>
            </w:r>
          </w:p>
        </w:tc>
        <w:tc>
          <w:tcPr>
            <w:tcW w:w="499" w:type="pct"/>
            <w:tcBorders>
              <w:top w:val="single" w:sz="4" w:space="0" w:color="auto"/>
            </w:tcBorders>
            <w:vAlign w:val="center"/>
          </w:tcPr>
          <w:p w14:paraId="0F48AF65" w14:textId="6CD6C17D" w:rsidR="009F3509" w:rsidRPr="004A1EBA" w:rsidRDefault="003E438C" w:rsidP="00442254">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(to the extent the deceased made a disposition of property to joint tenancy or a joint account)</w:t>
            </w:r>
          </w:p>
        </w:tc>
        <w:tc>
          <w:tcPr>
            <w:tcW w:w="369" w:type="pct"/>
            <w:tcBorders>
              <w:top w:val="single" w:sz="4" w:space="0" w:color="auto"/>
            </w:tcBorders>
            <w:vAlign w:val="center"/>
          </w:tcPr>
          <w:p w14:paraId="1E5BBC0A" w14:textId="37236ED0" w:rsidR="009F3509" w:rsidRPr="004A1EBA" w:rsidRDefault="003E438C" w:rsidP="00442254">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top w:val="single" w:sz="4" w:space="0" w:color="auto"/>
            </w:tcBorders>
            <w:vAlign w:val="center"/>
          </w:tcPr>
          <w:p w14:paraId="54875692" w14:textId="7C92A553" w:rsidR="009F3509" w:rsidRPr="004A1EBA" w:rsidRDefault="003E438C" w:rsidP="00442254">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(to the extent the deceased made a disposition of property to joint tenancy or a joint account)</w:t>
            </w:r>
          </w:p>
        </w:tc>
        <w:tc>
          <w:tcPr>
            <w:tcW w:w="455" w:type="pct"/>
            <w:tcBorders>
              <w:top w:val="single" w:sz="4" w:space="0" w:color="auto"/>
            </w:tcBorders>
            <w:vAlign w:val="center"/>
          </w:tcPr>
          <w:p w14:paraId="14036E8E" w14:textId="655EF422" w:rsidR="009F3509" w:rsidRPr="004A1EBA" w:rsidRDefault="003E438C" w:rsidP="00442254">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top w:val="single" w:sz="4" w:space="0" w:color="auto"/>
            </w:tcBorders>
            <w:vAlign w:val="center"/>
          </w:tcPr>
          <w:p w14:paraId="3CB27CB6" w14:textId="06C89CA3" w:rsidR="009F3509" w:rsidRPr="004A1EBA" w:rsidRDefault="003E438C" w:rsidP="00442254">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top w:val="single" w:sz="4" w:space="0" w:color="auto"/>
            </w:tcBorders>
            <w:vAlign w:val="center"/>
          </w:tcPr>
          <w:p w14:paraId="727D5F59" w14:textId="592DDC59" w:rsidR="009F3509" w:rsidRPr="004A1EBA" w:rsidRDefault="003E438C" w:rsidP="00442254">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top w:val="single" w:sz="4" w:space="0" w:color="auto"/>
            </w:tcBorders>
            <w:vAlign w:val="center"/>
          </w:tcPr>
          <w:p w14:paraId="0B408169" w14:textId="4F6B38F1" w:rsidR="009F3509" w:rsidRPr="004A1EBA" w:rsidRDefault="003E438C" w:rsidP="00442254">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top w:val="single" w:sz="4" w:space="0" w:color="auto"/>
            </w:tcBorders>
            <w:vAlign w:val="center"/>
          </w:tcPr>
          <w:p w14:paraId="64325DB7" w14:textId="5F7463FE" w:rsidR="009F3509" w:rsidRPr="004A1EBA" w:rsidRDefault="003E438C" w:rsidP="00442254">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tcBorders>
              <w:top w:val="single" w:sz="4" w:space="0" w:color="auto"/>
            </w:tcBorders>
            <w:vAlign w:val="center"/>
          </w:tcPr>
          <w:p w14:paraId="72BA21DF" w14:textId="20DD5179" w:rsidR="009F3509" w:rsidRPr="004A1EBA" w:rsidRDefault="003E438C" w:rsidP="00442254">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(to the extent the deceased made a disposition of property to joint tenancy or a joint account)</w:t>
            </w:r>
          </w:p>
        </w:tc>
        <w:tc>
          <w:tcPr>
            <w:tcW w:w="449" w:type="pct"/>
            <w:tcBorders>
              <w:top w:val="single" w:sz="4" w:space="0" w:color="auto"/>
            </w:tcBorders>
            <w:vAlign w:val="center"/>
          </w:tcPr>
          <w:p w14:paraId="19471D46" w14:textId="0F2CFD70" w:rsidR="009F3509" w:rsidRPr="004A1EBA" w:rsidRDefault="003E438C" w:rsidP="00442254">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498ED8EA" w14:textId="583ABFF9" w:rsidTr="004162EE">
        <w:trPr>
          <w:trHeight w:val="440"/>
        </w:trPr>
        <w:tc>
          <w:tcPr>
            <w:tcW w:w="498" w:type="pct"/>
            <w:vAlign w:val="center"/>
          </w:tcPr>
          <w:p w14:paraId="30FDAF09" w14:textId="0D088353" w:rsidR="009F3509" w:rsidRPr="004A1EBA" w:rsidRDefault="009F3509" w:rsidP="002753EF">
            <w:pPr>
              <w:spacing w:beforeLines="20" w:before="48" w:afterLines="20" w:after="48"/>
              <w:rPr>
                <w:rFonts w:asciiTheme="majorBidi" w:hAnsiTheme="majorBidi" w:cstheme="majorBidi"/>
                <w:b/>
                <w:bCs/>
                <w:sz w:val="16"/>
                <w:szCs w:val="16"/>
              </w:rPr>
            </w:pPr>
            <w:r w:rsidRPr="004A1EBA">
              <w:rPr>
                <w:rFonts w:asciiTheme="majorBidi" w:hAnsiTheme="majorBidi" w:cstheme="majorBidi"/>
                <w:sz w:val="16"/>
                <w:szCs w:val="16"/>
              </w:rPr>
              <w:t>Superannuation</w:t>
            </w:r>
            <w:r w:rsidRPr="004A1EBA">
              <w:rPr>
                <w:rStyle w:val="FootnoteReference"/>
                <w:rFonts w:asciiTheme="majorBidi" w:hAnsiTheme="majorBidi" w:cstheme="majorBidi"/>
                <w:sz w:val="16"/>
                <w:szCs w:val="16"/>
              </w:rPr>
              <w:footnoteReference w:id="561"/>
            </w:r>
          </w:p>
        </w:tc>
        <w:tc>
          <w:tcPr>
            <w:tcW w:w="499" w:type="pct"/>
            <w:vAlign w:val="center"/>
          </w:tcPr>
          <w:p w14:paraId="51E3F946" w14:textId="367FAD96"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369" w:type="pct"/>
            <w:vAlign w:val="center"/>
          </w:tcPr>
          <w:p w14:paraId="63AE8C84" w14:textId="5B3330ED"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101D4D71" w14:textId="64812F85"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vAlign w:val="center"/>
          </w:tcPr>
          <w:p w14:paraId="530C5EEC" w14:textId="55E8E158"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605B98AC" w14:textId="6219C05D"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31DEC095" w14:textId="58F9E434"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5E965B4C" w14:textId="05B48CF7"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339CC892" w14:textId="7A908CAF"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7B636296" w14:textId="1672152E"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49" w:type="pct"/>
            <w:vAlign w:val="center"/>
          </w:tcPr>
          <w:p w14:paraId="60E3A07A" w14:textId="31A34613"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127943F5" w14:textId="17904D2D" w:rsidTr="004162EE">
        <w:trPr>
          <w:trHeight w:val="1103"/>
        </w:trPr>
        <w:tc>
          <w:tcPr>
            <w:tcW w:w="498" w:type="pct"/>
            <w:vAlign w:val="center"/>
          </w:tcPr>
          <w:p w14:paraId="0824591C" w14:textId="3DA1202B" w:rsidR="009F3509" w:rsidRPr="004A1EBA" w:rsidRDefault="009F3509" w:rsidP="002753EF">
            <w:pPr>
              <w:spacing w:beforeLines="20" w:before="48" w:afterLines="20" w:after="48"/>
              <w:rPr>
                <w:rFonts w:asciiTheme="majorBidi" w:hAnsiTheme="majorBidi" w:cstheme="majorBidi"/>
                <w:b/>
                <w:bCs/>
                <w:sz w:val="16"/>
                <w:szCs w:val="16"/>
              </w:rPr>
            </w:pPr>
            <w:r w:rsidRPr="004A1EBA">
              <w:rPr>
                <w:rFonts w:asciiTheme="majorBidi" w:hAnsiTheme="majorBidi" w:cstheme="majorBidi"/>
                <w:sz w:val="16"/>
                <w:szCs w:val="16"/>
              </w:rPr>
              <w:t>Trusts</w:t>
            </w:r>
            <w:r w:rsidRPr="004A1EBA">
              <w:rPr>
                <w:rStyle w:val="FootnoteReference"/>
                <w:rFonts w:asciiTheme="majorBidi" w:hAnsiTheme="majorBidi" w:cstheme="majorBidi"/>
                <w:sz w:val="16"/>
                <w:szCs w:val="16"/>
              </w:rPr>
              <w:footnoteReference w:id="562"/>
            </w:r>
          </w:p>
        </w:tc>
        <w:tc>
          <w:tcPr>
            <w:tcW w:w="499" w:type="pct"/>
            <w:vAlign w:val="center"/>
          </w:tcPr>
          <w:p w14:paraId="6436F78D" w14:textId="386710B1" w:rsidR="009F3509" w:rsidRPr="004A1EBA" w:rsidRDefault="003E438C" w:rsidP="002753EF">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(to the extent the deceased deposited funds in an account in their name in trust for another or to a trust </w:t>
            </w:r>
            <w:r w:rsidR="009F3509" w:rsidRPr="004A1EBA">
              <w:rPr>
                <w:rFonts w:asciiTheme="majorBidi" w:hAnsiTheme="majorBidi" w:cstheme="majorBidi"/>
                <w:color w:val="000000"/>
                <w:sz w:val="16"/>
                <w:szCs w:val="16"/>
              </w:rPr>
              <w:t xml:space="preserve">to </w:t>
            </w:r>
            <w:r w:rsidR="009F3509" w:rsidRPr="004A1EBA">
              <w:rPr>
                <w:rFonts w:asciiTheme="majorBidi" w:hAnsiTheme="majorBidi" w:cstheme="majorBidi"/>
                <w:color w:val="000000"/>
                <w:sz w:val="16"/>
                <w:szCs w:val="16"/>
              </w:rPr>
              <w:lastRenderedPageBreak/>
              <w:t>the extent that the deceased retained, either alone with another person or persons by the express provisions of the disposing instrument, a power to revoke such disposition, or a power to consume, invoke or dispose of the principal</w:t>
            </w:r>
            <w:r w:rsidR="009F3509" w:rsidRPr="004A1EBA">
              <w:rPr>
                <w:rFonts w:asciiTheme="majorBidi" w:hAnsiTheme="majorBidi" w:cstheme="majorBidi"/>
                <w:sz w:val="16"/>
                <w:szCs w:val="16"/>
              </w:rPr>
              <w:t>)</w:t>
            </w:r>
          </w:p>
        </w:tc>
        <w:tc>
          <w:tcPr>
            <w:tcW w:w="369" w:type="pct"/>
            <w:vAlign w:val="center"/>
          </w:tcPr>
          <w:p w14:paraId="666FE298" w14:textId="253835A0"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lastRenderedPageBreak/>
              <w:sym w:font="Wingdings 2" w:char="F0CF"/>
            </w:r>
          </w:p>
        </w:tc>
        <w:tc>
          <w:tcPr>
            <w:tcW w:w="455" w:type="pct"/>
            <w:vAlign w:val="center"/>
          </w:tcPr>
          <w:p w14:paraId="16ABBD24" w14:textId="64F81A8F" w:rsidR="009F3509" w:rsidRPr="004A1EBA" w:rsidRDefault="003E438C" w:rsidP="002753EF">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w:t>
            </w:r>
            <w:r w:rsidR="0025137A" w:rsidRPr="004A1EBA">
              <w:rPr>
                <w:rFonts w:asciiTheme="majorBidi" w:hAnsiTheme="majorBidi" w:cstheme="majorBidi"/>
                <w:sz w:val="16"/>
                <w:szCs w:val="16"/>
              </w:rPr>
              <w:t xml:space="preserve">consistent with the </w:t>
            </w:r>
            <w:r w:rsidR="0025137A" w:rsidRPr="004A1EBA">
              <w:rPr>
                <w:rFonts w:asciiTheme="majorBidi" w:hAnsiTheme="majorBidi" w:cstheme="majorBidi"/>
                <w:i/>
                <w:iCs/>
                <w:sz w:val="16"/>
                <w:szCs w:val="16"/>
              </w:rPr>
              <w:t>Uniform Act</w:t>
            </w:r>
            <w:r w:rsidR="0025137A" w:rsidRPr="004A1EBA">
              <w:rPr>
                <w:rFonts w:asciiTheme="majorBidi" w:hAnsiTheme="majorBidi" w:cstheme="majorBidi"/>
                <w:sz w:val="16"/>
                <w:szCs w:val="16"/>
              </w:rPr>
              <w:t>)</w:t>
            </w:r>
          </w:p>
        </w:tc>
        <w:tc>
          <w:tcPr>
            <w:tcW w:w="455" w:type="pct"/>
            <w:vAlign w:val="center"/>
          </w:tcPr>
          <w:p w14:paraId="1E0BE9A2" w14:textId="786E13D6"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660BD6E7" w14:textId="31FBFB58"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2BC3D2C3" w14:textId="2AE62986"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38EE4A27" w14:textId="5AD3C941"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1960437C" w14:textId="09DC98B6"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1AA555AF" w14:textId="1D1FCC00" w:rsidR="009F3509" w:rsidRPr="004A1EBA" w:rsidRDefault="003E438C" w:rsidP="002753EF">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009F3509" w:rsidRPr="004A1EBA">
              <w:rPr>
                <w:rFonts w:asciiTheme="majorBidi" w:hAnsiTheme="majorBidi" w:cstheme="majorBidi"/>
                <w:sz w:val="16"/>
                <w:szCs w:val="16"/>
              </w:rPr>
              <w:t xml:space="preserve"> (</w:t>
            </w:r>
            <w:r w:rsidR="0025137A" w:rsidRPr="004A1EBA">
              <w:rPr>
                <w:rFonts w:asciiTheme="majorBidi" w:hAnsiTheme="majorBidi" w:cstheme="majorBidi"/>
                <w:sz w:val="16"/>
                <w:szCs w:val="16"/>
              </w:rPr>
              <w:t xml:space="preserve">consistent with the </w:t>
            </w:r>
            <w:r w:rsidR="0025137A" w:rsidRPr="004A1EBA">
              <w:rPr>
                <w:rFonts w:asciiTheme="majorBidi" w:hAnsiTheme="majorBidi" w:cstheme="majorBidi"/>
                <w:i/>
                <w:iCs/>
                <w:sz w:val="16"/>
                <w:szCs w:val="16"/>
              </w:rPr>
              <w:t>Uniform Act</w:t>
            </w:r>
            <w:r w:rsidR="009F3509" w:rsidRPr="004A1EBA">
              <w:rPr>
                <w:rFonts w:asciiTheme="majorBidi" w:hAnsiTheme="majorBidi" w:cstheme="majorBidi"/>
                <w:sz w:val="16"/>
                <w:szCs w:val="16"/>
              </w:rPr>
              <w:t>)</w:t>
            </w:r>
          </w:p>
        </w:tc>
        <w:tc>
          <w:tcPr>
            <w:tcW w:w="449" w:type="pct"/>
            <w:vAlign w:val="center"/>
          </w:tcPr>
          <w:p w14:paraId="15ED7D8F" w14:textId="6EDB2647" w:rsidR="009F3509" w:rsidRPr="004A1EBA" w:rsidRDefault="003E438C" w:rsidP="002753EF">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3AA0C244" w14:textId="52F691FE" w:rsidTr="004162EE">
        <w:trPr>
          <w:trHeight w:val="453"/>
        </w:trPr>
        <w:tc>
          <w:tcPr>
            <w:tcW w:w="498" w:type="pct"/>
            <w:vAlign w:val="center"/>
          </w:tcPr>
          <w:p w14:paraId="5130BB8F" w14:textId="695BEE4E" w:rsidR="003470A9" w:rsidRPr="004A1EBA" w:rsidRDefault="003470A9" w:rsidP="003470A9">
            <w:pPr>
              <w:spacing w:beforeLines="20" w:before="48" w:afterLines="20" w:after="48"/>
              <w:rPr>
                <w:rFonts w:asciiTheme="majorBidi" w:hAnsiTheme="majorBidi" w:cstheme="majorBidi"/>
                <w:b/>
                <w:bCs/>
                <w:sz w:val="16"/>
                <w:szCs w:val="16"/>
              </w:rPr>
            </w:pPr>
            <w:r w:rsidRPr="004A1EBA">
              <w:rPr>
                <w:rFonts w:asciiTheme="majorBidi" w:hAnsiTheme="majorBidi" w:cstheme="majorBidi"/>
                <w:sz w:val="16"/>
                <w:szCs w:val="16"/>
              </w:rPr>
              <w:t>Life insurance</w:t>
            </w:r>
            <w:r w:rsidRPr="004A1EBA">
              <w:rPr>
                <w:rStyle w:val="FootnoteReference"/>
                <w:rFonts w:asciiTheme="majorBidi" w:hAnsiTheme="majorBidi" w:cstheme="majorBidi"/>
                <w:sz w:val="16"/>
                <w:szCs w:val="16"/>
              </w:rPr>
              <w:footnoteReference w:id="563"/>
            </w:r>
          </w:p>
        </w:tc>
        <w:tc>
          <w:tcPr>
            <w:tcW w:w="499" w:type="pct"/>
            <w:vAlign w:val="center"/>
          </w:tcPr>
          <w:p w14:paraId="3B1D5AFC" w14:textId="17AE35AA"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369" w:type="pct"/>
            <w:vAlign w:val="center"/>
          </w:tcPr>
          <w:p w14:paraId="67EF10BB" w14:textId="67ED66E7"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3B9F4B02" w14:textId="114D7714"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vAlign w:val="center"/>
          </w:tcPr>
          <w:p w14:paraId="31F41DCC" w14:textId="19918AB4"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1303E3F9" w14:textId="7F82EC9C"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70384AF6" w14:textId="5CBC18FA"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0CF262EB" w14:textId="2A52F9CB"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18D73FB6" w14:textId="4C45BAE2"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2A108AEF" w14:textId="63DDF635"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49" w:type="pct"/>
            <w:vAlign w:val="center"/>
          </w:tcPr>
          <w:p w14:paraId="584B9C35" w14:textId="2A1F5DA6" w:rsidR="003470A9" w:rsidRPr="004A1EBA" w:rsidRDefault="003470A9" w:rsidP="003470A9">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6D9C1C95" w14:textId="67B47C69" w:rsidTr="004162EE">
        <w:trPr>
          <w:trHeight w:val="440"/>
        </w:trPr>
        <w:tc>
          <w:tcPr>
            <w:tcW w:w="498" w:type="pct"/>
            <w:vAlign w:val="center"/>
          </w:tcPr>
          <w:p w14:paraId="74F03C30" w14:textId="5FB7897B" w:rsidR="00837C77" w:rsidRPr="004A1EBA" w:rsidRDefault="00837C77" w:rsidP="00837C77">
            <w:pPr>
              <w:spacing w:beforeLines="20" w:before="48" w:afterLines="20" w:after="48"/>
              <w:rPr>
                <w:rFonts w:asciiTheme="majorBidi" w:hAnsiTheme="majorBidi" w:cstheme="majorBidi"/>
                <w:i/>
                <w:iCs/>
                <w:sz w:val="16"/>
                <w:szCs w:val="16"/>
              </w:rPr>
            </w:pPr>
            <w:r w:rsidRPr="004A1EBA">
              <w:rPr>
                <w:rFonts w:asciiTheme="majorBidi" w:hAnsiTheme="majorBidi" w:cstheme="majorBidi"/>
                <w:i/>
                <w:iCs/>
                <w:sz w:val="16"/>
                <w:szCs w:val="16"/>
              </w:rPr>
              <w:t>Donatio mortis causa</w:t>
            </w:r>
            <w:r w:rsidRPr="004A1EBA">
              <w:rPr>
                <w:rStyle w:val="FootnoteReference"/>
                <w:rFonts w:asciiTheme="majorBidi" w:hAnsiTheme="majorBidi" w:cstheme="majorBidi"/>
                <w:sz w:val="16"/>
                <w:szCs w:val="16"/>
              </w:rPr>
              <w:footnoteReference w:id="564"/>
            </w:r>
          </w:p>
        </w:tc>
        <w:tc>
          <w:tcPr>
            <w:tcW w:w="499" w:type="pct"/>
            <w:vAlign w:val="center"/>
          </w:tcPr>
          <w:p w14:paraId="6DDAAB3F" w14:textId="6B44F26A"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369" w:type="pct"/>
            <w:vAlign w:val="center"/>
          </w:tcPr>
          <w:p w14:paraId="14D1C2E5" w14:textId="6731A2FD"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3FF03504" w14:textId="59F4CA52"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vAlign w:val="center"/>
          </w:tcPr>
          <w:p w14:paraId="7CCDEF69" w14:textId="3AC559D0"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11977E54" w14:textId="40135A8D"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78E87590" w14:textId="4185B2D5"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08F301E3" w14:textId="412A6687"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556CEA82" w14:textId="12AC1805"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656D6444" w14:textId="1F02A4F3"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49" w:type="pct"/>
            <w:vAlign w:val="center"/>
          </w:tcPr>
          <w:p w14:paraId="1215BC36" w14:textId="6F223C86" w:rsidR="00837C77" w:rsidRPr="004A1EBA" w:rsidRDefault="00837C77" w:rsidP="00837C7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7757A5F8" w14:textId="66E224F4" w:rsidTr="004162EE">
        <w:trPr>
          <w:trHeight w:val="440"/>
        </w:trPr>
        <w:tc>
          <w:tcPr>
            <w:tcW w:w="498" w:type="pct"/>
            <w:vAlign w:val="center"/>
          </w:tcPr>
          <w:p w14:paraId="44499121" w14:textId="790EBEA5" w:rsidR="00ED2ADB" w:rsidRPr="004A1EBA" w:rsidRDefault="00ED2ADB" w:rsidP="00ED2ADB">
            <w:pPr>
              <w:spacing w:beforeLines="20" w:before="48" w:afterLines="20" w:after="48"/>
              <w:rPr>
                <w:rFonts w:asciiTheme="majorBidi" w:hAnsiTheme="majorBidi" w:cstheme="majorBidi"/>
                <w:b/>
                <w:bCs/>
                <w:sz w:val="16"/>
                <w:szCs w:val="16"/>
              </w:rPr>
            </w:pPr>
            <w:r w:rsidRPr="004A1EBA">
              <w:rPr>
                <w:rFonts w:asciiTheme="majorBidi" w:hAnsiTheme="majorBidi" w:cstheme="majorBidi"/>
                <w:sz w:val="16"/>
                <w:szCs w:val="16"/>
              </w:rPr>
              <w:lastRenderedPageBreak/>
              <w:t>Assets</w:t>
            </w:r>
            <w:r w:rsidRPr="004A1EBA">
              <w:rPr>
                <w:rFonts w:asciiTheme="majorBidi" w:hAnsiTheme="majorBidi" w:cstheme="majorBidi"/>
                <w:b/>
                <w:bCs/>
                <w:sz w:val="16"/>
                <w:szCs w:val="16"/>
              </w:rPr>
              <w:t xml:space="preserve"> </w:t>
            </w:r>
            <w:r w:rsidRPr="004A1EBA">
              <w:rPr>
                <w:rFonts w:asciiTheme="majorBidi" w:hAnsiTheme="majorBidi" w:cstheme="majorBidi"/>
                <w:sz w:val="16"/>
                <w:szCs w:val="16"/>
              </w:rPr>
              <w:t>gifted</w:t>
            </w:r>
            <w:r w:rsidRPr="004A1EBA">
              <w:rPr>
                <w:rFonts w:asciiTheme="majorBidi" w:hAnsiTheme="majorBidi" w:cstheme="majorBidi"/>
                <w:b/>
                <w:bCs/>
                <w:sz w:val="16"/>
                <w:szCs w:val="16"/>
              </w:rPr>
              <w:t xml:space="preserve"> </w:t>
            </w:r>
            <w:r w:rsidRPr="004A1EBA">
              <w:rPr>
                <w:rFonts w:asciiTheme="majorBidi" w:hAnsiTheme="majorBidi" w:cstheme="majorBidi"/>
                <w:sz w:val="16"/>
                <w:szCs w:val="16"/>
              </w:rPr>
              <w:t>pre-death</w:t>
            </w:r>
            <w:r w:rsidRPr="004A1EBA">
              <w:rPr>
                <w:rStyle w:val="FootnoteReference"/>
                <w:rFonts w:asciiTheme="majorBidi" w:hAnsiTheme="majorBidi" w:cstheme="majorBidi"/>
                <w:sz w:val="16"/>
                <w:szCs w:val="16"/>
              </w:rPr>
              <w:footnoteReference w:id="565"/>
            </w:r>
          </w:p>
        </w:tc>
        <w:tc>
          <w:tcPr>
            <w:tcW w:w="499" w:type="pct"/>
            <w:vAlign w:val="center"/>
          </w:tcPr>
          <w:p w14:paraId="07CF0C62" w14:textId="266C2CDE" w:rsidR="00ED2ADB" w:rsidRPr="004A1EBA" w:rsidRDefault="00ED2ADB" w:rsidP="00ED2ADB">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(unreasonably large dispositions within 1 year of death as an immediate gift or where full valuable consideration not given)</w:t>
            </w:r>
          </w:p>
        </w:tc>
        <w:tc>
          <w:tcPr>
            <w:tcW w:w="369" w:type="pct"/>
            <w:vAlign w:val="center"/>
          </w:tcPr>
          <w:p w14:paraId="6C338FF5" w14:textId="7269DDF2" w:rsidR="00ED2ADB" w:rsidRPr="004A1EBA" w:rsidRDefault="00ED2ADB" w:rsidP="00ED2ADB">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01BF2A54" w14:textId="62747D9B" w:rsidR="00ED2ADB" w:rsidRPr="004A1EBA" w:rsidRDefault="00ED2ADB" w:rsidP="00ED2ADB">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0D37C1E1" w14:textId="2A038458" w:rsidR="00ED2ADB" w:rsidRPr="004A1EBA" w:rsidRDefault="00ED2ADB" w:rsidP="00ED2ADB">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5F108ADB" w14:textId="63F8E00F" w:rsidR="00ED2ADB" w:rsidRPr="004A1EBA" w:rsidRDefault="00ED2ADB" w:rsidP="00ED2ADB">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2D1AC72C" w14:textId="5DB89336" w:rsidR="00ED2ADB" w:rsidRPr="004A1EBA" w:rsidRDefault="00ED2ADB" w:rsidP="00ED2ADB">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55616ED4" w14:textId="0CF470D0" w:rsidR="00ED2ADB" w:rsidRPr="004A1EBA" w:rsidRDefault="00ED2ADB" w:rsidP="00ED2ADB">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541F33EF" w14:textId="18988826" w:rsidR="00ED2ADB" w:rsidRPr="004A1EBA" w:rsidRDefault="00ED2ADB" w:rsidP="00ED2ADB">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65202DB4" w14:textId="1F020C1B" w:rsidR="00ED2ADB" w:rsidRPr="004A1EBA" w:rsidRDefault="00ED2ADB" w:rsidP="00ED2ADB">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(unreasonably large dispositions within 1 year of death as an immediate gift or where full valuable consideration not given)</w:t>
            </w:r>
          </w:p>
        </w:tc>
        <w:tc>
          <w:tcPr>
            <w:tcW w:w="449" w:type="pct"/>
            <w:vAlign w:val="center"/>
          </w:tcPr>
          <w:p w14:paraId="0CB08D78" w14:textId="2EABD034" w:rsidR="00ED2ADB" w:rsidRPr="004A1EBA" w:rsidRDefault="00ED2ADB" w:rsidP="00ED2ADB">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3F46E767" w14:textId="6C2FEC7D" w:rsidTr="004162EE">
        <w:trPr>
          <w:trHeight w:val="440"/>
        </w:trPr>
        <w:tc>
          <w:tcPr>
            <w:tcW w:w="498" w:type="pct"/>
          </w:tcPr>
          <w:p w14:paraId="23E9289F" w14:textId="610EB626" w:rsidR="000F5FCE" w:rsidRPr="004A1EBA" w:rsidRDefault="000F5FCE" w:rsidP="000F5FCE">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t>Property distributed pursuant to mutual wills contracts</w:t>
            </w:r>
            <w:r w:rsidRPr="004A1EBA">
              <w:rPr>
                <w:rStyle w:val="FootnoteReference"/>
                <w:rFonts w:asciiTheme="majorBidi" w:hAnsiTheme="majorBidi" w:cstheme="majorBidi"/>
                <w:sz w:val="16"/>
                <w:szCs w:val="16"/>
              </w:rPr>
              <w:footnoteReference w:id="566"/>
            </w:r>
          </w:p>
        </w:tc>
        <w:tc>
          <w:tcPr>
            <w:tcW w:w="499" w:type="pct"/>
            <w:vAlign w:val="center"/>
          </w:tcPr>
          <w:p w14:paraId="79626777" w14:textId="1D50AF8A" w:rsidR="000F5FCE" w:rsidRPr="004A1EBA" w:rsidRDefault="000F5FCE" w:rsidP="000F5FCE">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(where full valuable consideration not given)</w:t>
            </w:r>
          </w:p>
        </w:tc>
        <w:tc>
          <w:tcPr>
            <w:tcW w:w="369" w:type="pct"/>
            <w:vAlign w:val="center"/>
          </w:tcPr>
          <w:p w14:paraId="6FF5B663" w14:textId="3B6AFDD3" w:rsidR="000F5FCE" w:rsidRPr="004A1EBA" w:rsidRDefault="000F5FCE" w:rsidP="000F5FCE">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(where full valuable consideration not given)</w:t>
            </w:r>
          </w:p>
        </w:tc>
        <w:tc>
          <w:tcPr>
            <w:tcW w:w="455" w:type="pct"/>
            <w:vAlign w:val="center"/>
          </w:tcPr>
          <w:p w14:paraId="7A6B6CDE" w14:textId="12986671" w:rsidR="000F5FCE" w:rsidRPr="004A1EBA" w:rsidRDefault="000F5FCE" w:rsidP="000F5FCE">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(where full valuable consideration not given)</w:t>
            </w:r>
          </w:p>
        </w:tc>
        <w:tc>
          <w:tcPr>
            <w:tcW w:w="455" w:type="pct"/>
            <w:vAlign w:val="center"/>
          </w:tcPr>
          <w:p w14:paraId="0ADC75D7" w14:textId="3BD7606F" w:rsidR="000F5FCE" w:rsidRPr="004A1EBA" w:rsidRDefault="000F5FCE" w:rsidP="000F5FCE">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r w:rsidRPr="004A1EBA">
              <w:rPr>
                <w:rFonts w:asciiTheme="majorBidi" w:hAnsiTheme="majorBidi" w:cstheme="majorBidi"/>
                <w:sz w:val="16"/>
                <w:szCs w:val="16"/>
              </w:rPr>
              <w:t xml:space="preserve"> </w:t>
            </w:r>
            <w:r w:rsidRPr="004A1EBA">
              <w:rPr>
                <w:rStyle w:val="FootnoteReference"/>
                <w:rFonts w:asciiTheme="majorBidi" w:hAnsiTheme="majorBidi" w:cstheme="majorBidi"/>
                <w:sz w:val="16"/>
                <w:szCs w:val="16"/>
              </w:rPr>
              <w:footnoteReference w:id="567"/>
            </w:r>
          </w:p>
        </w:tc>
        <w:tc>
          <w:tcPr>
            <w:tcW w:w="455" w:type="pct"/>
            <w:vAlign w:val="center"/>
          </w:tcPr>
          <w:p w14:paraId="2213ADDC" w14:textId="7B9EA7E8" w:rsidR="000F5FCE" w:rsidRPr="004A1EBA" w:rsidRDefault="000F5FCE" w:rsidP="000F5FCE">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(where full valuable consideration not given)</w:t>
            </w:r>
          </w:p>
        </w:tc>
        <w:tc>
          <w:tcPr>
            <w:tcW w:w="455" w:type="pct"/>
            <w:vAlign w:val="center"/>
          </w:tcPr>
          <w:p w14:paraId="4F282622" w14:textId="109C6B97" w:rsidR="000F5FCE" w:rsidRPr="004A1EBA" w:rsidRDefault="000F5FCE" w:rsidP="000F5FCE">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(where full valuable consideration not given)</w:t>
            </w:r>
          </w:p>
        </w:tc>
        <w:tc>
          <w:tcPr>
            <w:tcW w:w="455" w:type="pct"/>
            <w:vAlign w:val="center"/>
          </w:tcPr>
          <w:p w14:paraId="524BC163" w14:textId="2D121B9D" w:rsidR="000F5FCE" w:rsidRPr="004A1EBA" w:rsidRDefault="000F5FCE" w:rsidP="000F5FCE">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0241FA31" w14:textId="2ABA3160" w:rsidR="000F5FCE" w:rsidRPr="004A1EBA" w:rsidRDefault="000F5FCE" w:rsidP="000F5FCE">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28C7CB80" w14:textId="5BD84084" w:rsidR="000F5FCE" w:rsidRPr="004A1EBA" w:rsidRDefault="000F5FCE" w:rsidP="000F5FCE">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(where full valuable consideration not given)</w:t>
            </w:r>
          </w:p>
        </w:tc>
        <w:tc>
          <w:tcPr>
            <w:tcW w:w="449" w:type="pct"/>
            <w:vAlign w:val="center"/>
          </w:tcPr>
          <w:p w14:paraId="05906496" w14:textId="122FFECB" w:rsidR="000F5FCE" w:rsidRPr="004A1EBA" w:rsidRDefault="000F5FCE" w:rsidP="000F5FCE">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sym w:font="Wingdings" w:char="F0FC"/>
            </w:r>
            <w:r w:rsidRPr="004A1EBA">
              <w:rPr>
                <w:rFonts w:asciiTheme="majorBidi" w:hAnsiTheme="majorBidi" w:cstheme="majorBidi"/>
                <w:sz w:val="16"/>
                <w:szCs w:val="16"/>
              </w:rPr>
              <w:t xml:space="preserve"> (where full valuable consideration not given)</w:t>
            </w:r>
          </w:p>
        </w:tc>
      </w:tr>
      <w:tr w:rsidR="00180886" w:rsidRPr="004A1EBA" w14:paraId="2796526B" w14:textId="0F6F74A2" w:rsidTr="004162EE">
        <w:trPr>
          <w:trHeight w:val="440"/>
        </w:trPr>
        <w:tc>
          <w:tcPr>
            <w:tcW w:w="498" w:type="pct"/>
            <w:vAlign w:val="center"/>
          </w:tcPr>
          <w:p w14:paraId="7019B591" w14:textId="7C336E3D" w:rsidR="00347727" w:rsidRPr="004A1EBA" w:rsidRDefault="00347727" w:rsidP="00347727">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lastRenderedPageBreak/>
              <w:t>Omissions (failures to act)</w:t>
            </w:r>
          </w:p>
        </w:tc>
        <w:tc>
          <w:tcPr>
            <w:tcW w:w="499" w:type="pct"/>
            <w:vAlign w:val="center"/>
          </w:tcPr>
          <w:p w14:paraId="29E8C28B" w14:textId="1A40D882"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369" w:type="pct"/>
            <w:vAlign w:val="center"/>
          </w:tcPr>
          <w:p w14:paraId="2AD43A45" w14:textId="44BEA820"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5BBD4AA1" w14:textId="6144B69B"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39CC81EE" w14:textId="241E3020"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1D358F3F" w14:textId="352910F8"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617C0CE9" w14:textId="037CCFAA"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6F082C3F" w14:textId="663770DE"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6C9A3BE1" w14:textId="77F1D2C1"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305415AB" w14:textId="132F3BB7"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49" w:type="pct"/>
            <w:vAlign w:val="center"/>
          </w:tcPr>
          <w:p w14:paraId="41DA2FC9" w14:textId="161289DD" w:rsidR="00347727" w:rsidRPr="004A1EBA" w:rsidRDefault="00347727" w:rsidP="00347727">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r>
      <w:tr w:rsidR="00180886" w:rsidRPr="004A1EBA" w14:paraId="1EA0A6F4" w14:textId="6A68100D" w:rsidTr="004162EE">
        <w:trPr>
          <w:trHeight w:val="440"/>
        </w:trPr>
        <w:tc>
          <w:tcPr>
            <w:tcW w:w="498" w:type="pct"/>
            <w:vAlign w:val="center"/>
          </w:tcPr>
          <w:p w14:paraId="559CEEBC" w14:textId="59CF46E0" w:rsidR="009F3509" w:rsidRPr="004A1EBA" w:rsidRDefault="009F3509" w:rsidP="00347727">
            <w:pPr>
              <w:spacing w:beforeLines="20" w:before="48" w:afterLines="20" w:after="48"/>
              <w:rPr>
                <w:rFonts w:asciiTheme="majorBidi" w:hAnsiTheme="majorBidi" w:cstheme="majorBidi"/>
                <w:b/>
                <w:bCs/>
                <w:sz w:val="16"/>
                <w:szCs w:val="16"/>
              </w:rPr>
            </w:pPr>
            <w:r w:rsidRPr="004A1EBA">
              <w:rPr>
                <w:rFonts w:asciiTheme="majorBidi" w:hAnsiTheme="majorBidi" w:cstheme="majorBidi"/>
                <w:b/>
                <w:bCs/>
                <w:sz w:val="16"/>
                <w:szCs w:val="16"/>
              </w:rPr>
              <w:t>Test to award provision</w:t>
            </w:r>
          </w:p>
        </w:tc>
        <w:tc>
          <w:tcPr>
            <w:tcW w:w="499" w:type="pct"/>
            <w:vAlign w:val="center"/>
          </w:tcPr>
          <w:p w14:paraId="5EE8A006" w14:textId="3BFFB374" w:rsidR="009F3509" w:rsidRPr="004A1EBA" w:rsidRDefault="009F3509" w:rsidP="00347727">
            <w:pPr>
              <w:spacing w:beforeLines="20" w:before="48" w:afterLines="20" w:after="48"/>
              <w:rPr>
                <w:rFonts w:asciiTheme="majorBidi" w:hAnsiTheme="majorBidi" w:cstheme="majorBidi"/>
                <w:sz w:val="16"/>
                <w:szCs w:val="16"/>
              </w:rPr>
            </w:pPr>
            <w:r w:rsidRPr="004A1EBA">
              <w:rPr>
                <w:rFonts w:asciiTheme="majorBidi" w:hAnsiTheme="majorBidi" w:cstheme="majorBidi"/>
                <w:color w:val="000000"/>
                <w:sz w:val="16"/>
                <w:szCs w:val="16"/>
              </w:rPr>
              <w:t>such provision as it considers adequate for the applicant’s proper maintenance and support</w:t>
            </w:r>
            <w:r w:rsidRPr="004A1EBA">
              <w:rPr>
                <w:rStyle w:val="FootnoteReference"/>
                <w:rFonts w:asciiTheme="majorBidi" w:hAnsiTheme="majorBidi" w:cstheme="majorBidi"/>
                <w:color w:val="000000"/>
                <w:sz w:val="16"/>
                <w:szCs w:val="16"/>
              </w:rPr>
              <w:footnoteReference w:id="568"/>
            </w:r>
          </w:p>
        </w:tc>
        <w:tc>
          <w:tcPr>
            <w:tcW w:w="369" w:type="pct"/>
            <w:vAlign w:val="center"/>
          </w:tcPr>
          <w:p w14:paraId="76B44C88" w14:textId="43186723" w:rsidR="009F3509" w:rsidRPr="004A1EBA" w:rsidRDefault="009F3509" w:rsidP="00347727">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t xml:space="preserve">If the deceased has disposed of real or personal property in a manner that reasonable provision has not been made for the maintenance of the </w:t>
            </w:r>
            <w:r w:rsidRPr="004A1EBA">
              <w:rPr>
                <w:rFonts w:asciiTheme="majorBidi" w:hAnsiTheme="majorBidi" w:cstheme="majorBidi"/>
                <w:sz w:val="16"/>
                <w:szCs w:val="16"/>
              </w:rPr>
              <w:lastRenderedPageBreak/>
              <w:t>dependant, the court may order provision for maintenance in an amount that the court considers reasonable</w:t>
            </w:r>
            <w:r w:rsidRPr="004A1EBA">
              <w:rPr>
                <w:rStyle w:val="FootnoteReference"/>
                <w:rFonts w:asciiTheme="majorBidi" w:hAnsiTheme="majorBidi" w:cstheme="majorBidi"/>
                <w:sz w:val="16"/>
                <w:szCs w:val="16"/>
              </w:rPr>
              <w:footnoteReference w:id="569"/>
            </w:r>
          </w:p>
        </w:tc>
        <w:tc>
          <w:tcPr>
            <w:tcW w:w="455" w:type="pct"/>
            <w:vAlign w:val="center"/>
          </w:tcPr>
          <w:p w14:paraId="76BC3C72" w14:textId="2AE993BC" w:rsidR="009F3509" w:rsidRPr="004A1EBA" w:rsidRDefault="009F3509" w:rsidP="006C546A">
            <w:pPr>
              <w:spacing w:beforeLines="20" w:before="48" w:afterLines="20" w:after="48"/>
              <w:jc w:val="center"/>
              <w:rPr>
                <w:rFonts w:asciiTheme="majorBidi" w:hAnsiTheme="majorBidi" w:cstheme="majorBidi"/>
                <w:sz w:val="16"/>
                <w:szCs w:val="16"/>
              </w:rPr>
            </w:pPr>
            <w:r w:rsidRPr="004A1EBA">
              <w:rPr>
                <w:rFonts w:asciiTheme="majorBidi" w:hAnsiTheme="majorBidi" w:cstheme="majorBidi"/>
                <w:color w:val="000000"/>
                <w:sz w:val="16"/>
                <w:szCs w:val="16"/>
                <w:shd w:val="clear" w:color="auto" w:fill="FFFFFF"/>
              </w:rPr>
              <w:lastRenderedPageBreak/>
              <w:t>Where the deceased has not made adequate provision for the proper support of his</w:t>
            </w:r>
            <w:r w:rsidR="00347727" w:rsidRPr="004A1EBA">
              <w:rPr>
                <w:rFonts w:asciiTheme="majorBidi" w:hAnsiTheme="majorBidi" w:cstheme="majorBidi"/>
                <w:color w:val="000000"/>
                <w:sz w:val="16"/>
                <w:szCs w:val="16"/>
                <w:shd w:val="clear" w:color="auto" w:fill="FFFFFF"/>
              </w:rPr>
              <w:t>/her</w:t>
            </w:r>
            <w:r w:rsidRPr="004A1EBA">
              <w:rPr>
                <w:rFonts w:asciiTheme="majorBidi" w:hAnsiTheme="majorBidi" w:cstheme="majorBidi"/>
                <w:color w:val="000000"/>
                <w:sz w:val="16"/>
                <w:szCs w:val="16"/>
                <w:shd w:val="clear" w:color="auto" w:fill="FFFFFF"/>
              </w:rPr>
              <w:t xml:space="preserve"> dependants</w:t>
            </w:r>
            <w:r w:rsidR="00555AD9" w:rsidRPr="004A1EBA">
              <w:rPr>
                <w:rStyle w:val="FootnoteReference"/>
                <w:rFonts w:asciiTheme="majorBidi" w:hAnsiTheme="majorBidi" w:cstheme="majorBidi"/>
                <w:color w:val="000000"/>
                <w:sz w:val="16"/>
                <w:szCs w:val="16"/>
                <w:shd w:val="clear" w:color="auto" w:fill="FFFFFF"/>
              </w:rPr>
              <w:footnoteReference w:id="570"/>
            </w:r>
          </w:p>
        </w:tc>
        <w:tc>
          <w:tcPr>
            <w:tcW w:w="455" w:type="pct"/>
            <w:vAlign w:val="center"/>
          </w:tcPr>
          <w:p w14:paraId="4BAB724F" w14:textId="015DADEC" w:rsidR="009F3509" w:rsidRPr="004A1EBA" w:rsidRDefault="009F3509" w:rsidP="00347727">
            <w:pPr>
              <w:spacing w:beforeLines="20" w:before="48" w:afterLines="20" w:after="48"/>
              <w:rPr>
                <w:rFonts w:asciiTheme="majorBidi" w:hAnsiTheme="majorBidi" w:cstheme="majorBidi"/>
                <w:sz w:val="16"/>
                <w:szCs w:val="16"/>
              </w:rPr>
            </w:pPr>
            <w:r w:rsidRPr="004A1EBA">
              <w:rPr>
                <w:rFonts w:asciiTheme="majorBidi" w:hAnsiTheme="majorBidi" w:cstheme="majorBidi"/>
                <w:color w:val="000000"/>
                <w:sz w:val="16"/>
                <w:szCs w:val="16"/>
                <w:shd w:val="clear" w:color="auto" w:fill="FFFFFF"/>
              </w:rPr>
              <w:t xml:space="preserve">Where a will does not make adequate provision for the proper maintenance and support of the spouse or child, the court may order provision that it thinks adequate, just and equitable in the </w:t>
            </w:r>
            <w:r w:rsidRPr="004A1EBA">
              <w:rPr>
                <w:rFonts w:asciiTheme="majorBidi" w:hAnsiTheme="majorBidi" w:cstheme="majorBidi"/>
                <w:color w:val="000000"/>
                <w:sz w:val="16"/>
                <w:szCs w:val="16"/>
                <w:shd w:val="clear" w:color="auto" w:fill="FFFFFF"/>
              </w:rPr>
              <w:lastRenderedPageBreak/>
              <w:t>circumstances</w:t>
            </w:r>
            <w:r w:rsidRPr="004A1EBA">
              <w:rPr>
                <w:rStyle w:val="FootnoteReference"/>
                <w:rFonts w:asciiTheme="majorBidi" w:hAnsiTheme="majorBidi" w:cstheme="majorBidi"/>
                <w:color w:val="000000"/>
                <w:sz w:val="16"/>
                <w:szCs w:val="16"/>
                <w:shd w:val="clear" w:color="auto" w:fill="FFFFFF"/>
              </w:rPr>
              <w:footnoteReference w:id="571"/>
            </w:r>
          </w:p>
        </w:tc>
        <w:tc>
          <w:tcPr>
            <w:tcW w:w="455" w:type="pct"/>
            <w:shd w:val="clear" w:color="auto" w:fill="auto"/>
            <w:vAlign w:val="center"/>
          </w:tcPr>
          <w:p w14:paraId="688540C7" w14:textId="2D9F7C21" w:rsidR="009F3509" w:rsidRPr="004A1EBA" w:rsidRDefault="009F3509" w:rsidP="00347727">
            <w:pPr>
              <w:spacing w:beforeLines="20" w:before="48" w:afterLines="20" w:after="48"/>
              <w:rPr>
                <w:rFonts w:asciiTheme="majorBidi" w:hAnsiTheme="majorBidi" w:cstheme="majorBidi"/>
                <w:sz w:val="16"/>
                <w:szCs w:val="16"/>
              </w:rPr>
            </w:pPr>
            <w:r w:rsidRPr="004A1EBA">
              <w:rPr>
                <w:rFonts w:asciiTheme="majorBidi" w:hAnsiTheme="majorBidi" w:cstheme="majorBidi"/>
                <w:color w:val="000000"/>
                <w:sz w:val="16"/>
                <w:szCs w:val="16"/>
              </w:rPr>
              <w:lastRenderedPageBreak/>
              <w:t>Where deceased did not make adequate provision for the proper maintenance and support of a dependant, the judge may order whatever</w:t>
            </w:r>
            <w:r w:rsidRPr="004A1EBA">
              <w:rPr>
                <w:rFonts w:asciiTheme="majorBidi" w:hAnsiTheme="majorBidi" w:cstheme="majorBidi"/>
                <w:color w:val="000000"/>
                <w:sz w:val="16"/>
                <w:szCs w:val="16"/>
                <w:shd w:val="clear" w:color="auto" w:fill="FFEECC"/>
              </w:rPr>
              <w:t xml:space="preserve"> </w:t>
            </w:r>
            <w:r w:rsidRPr="004A1EBA">
              <w:rPr>
                <w:rFonts w:asciiTheme="majorBidi" w:hAnsiTheme="majorBidi" w:cstheme="majorBidi"/>
                <w:color w:val="000000"/>
                <w:sz w:val="16"/>
                <w:szCs w:val="16"/>
              </w:rPr>
              <w:t>provision the judge deems adequate in the circumstances</w:t>
            </w:r>
            <w:r w:rsidRPr="004A1EBA">
              <w:rPr>
                <w:rStyle w:val="FootnoteReference"/>
                <w:rFonts w:asciiTheme="majorBidi" w:hAnsiTheme="majorBidi" w:cstheme="majorBidi"/>
                <w:color w:val="000000"/>
                <w:sz w:val="16"/>
                <w:szCs w:val="16"/>
              </w:rPr>
              <w:footnoteReference w:id="572"/>
            </w:r>
          </w:p>
        </w:tc>
        <w:tc>
          <w:tcPr>
            <w:tcW w:w="455" w:type="pct"/>
            <w:vAlign w:val="center"/>
          </w:tcPr>
          <w:p w14:paraId="1D4FEF6B" w14:textId="239224A8" w:rsidR="009F3509" w:rsidRPr="004A1EBA" w:rsidRDefault="009F3509" w:rsidP="00347727">
            <w:pPr>
              <w:spacing w:beforeLines="20" w:before="48" w:afterLines="20" w:after="48"/>
              <w:rPr>
                <w:rFonts w:asciiTheme="majorBidi" w:hAnsiTheme="majorBidi" w:cstheme="majorBidi"/>
                <w:sz w:val="16"/>
                <w:szCs w:val="16"/>
              </w:rPr>
            </w:pPr>
            <w:r w:rsidRPr="004A1EBA">
              <w:rPr>
                <w:rFonts w:asciiTheme="majorBidi" w:hAnsiTheme="majorBidi" w:cstheme="majorBidi"/>
                <w:color w:val="000000"/>
                <w:sz w:val="16"/>
                <w:szCs w:val="16"/>
                <w:shd w:val="clear" w:color="auto" w:fill="FFFFFF"/>
              </w:rPr>
              <w:t>Where adequate provision for the proper maintenance and support of a person is not made, the court may order any provision it considers adequate for their proper maintenance and support</w:t>
            </w:r>
            <w:r w:rsidRPr="004A1EBA">
              <w:rPr>
                <w:rStyle w:val="FootnoteReference"/>
                <w:rFonts w:asciiTheme="majorBidi" w:hAnsiTheme="majorBidi" w:cstheme="majorBidi"/>
                <w:color w:val="000000"/>
                <w:sz w:val="16"/>
                <w:szCs w:val="16"/>
                <w:shd w:val="clear" w:color="auto" w:fill="FFFFFF"/>
              </w:rPr>
              <w:footnoteReference w:id="573"/>
            </w:r>
          </w:p>
        </w:tc>
        <w:tc>
          <w:tcPr>
            <w:tcW w:w="455" w:type="pct"/>
            <w:vAlign w:val="center"/>
          </w:tcPr>
          <w:p w14:paraId="238C673C" w14:textId="7F7B7A16" w:rsidR="009F3509" w:rsidRPr="004A1EBA" w:rsidRDefault="009F3509" w:rsidP="00347727">
            <w:pPr>
              <w:spacing w:beforeLines="20" w:before="48" w:afterLines="20" w:after="48"/>
              <w:rPr>
                <w:rFonts w:asciiTheme="majorBidi" w:hAnsiTheme="majorBidi" w:cstheme="majorBidi"/>
                <w:sz w:val="16"/>
                <w:szCs w:val="16"/>
              </w:rPr>
            </w:pPr>
            <w:r w:rsidRPr="004A1EBA">
              <w:rPr>
                <w:rFonts w:asciiTheme="majorBidi" w:hAnsiTheme="majorBidi" w:cstheme="majorBidi"/>
                <w:color w:val="333333"/>
                <w:sz w:val="16"/>
                <w:szCs w:val="16"/>
                <w:shd w:val="clear" w:color="auto" w:fill="FFFFFF"/>
              </w:rPr>
              <w:t>If it appears to the court that a dependant is in financial need, the court may order reasonable provision for their maintenance and support</w:t>
            </w:r>
            <w:r w:rsidRPr="004A1EBA">
              <w:rPr>
                <w:rStyle w:val="FootnoteReference"/>
                <w:rFonts w:asciiTheme="majorBidi" w:hAnsiTheme="majorBidi" w:cstheme="majorBidi"/>
                <w:color w:val="333333"/>
                <w:sz w:val="16"/>
                <w:szCs w:val="16"/>
                <w:shd w:val="clear" w:color="auto" w:fill="FFFFFF"/>
              </w:rPr>
              <w:footnoteReference w:id="574"/>
            </w:r>
          </w:p>
        </w:tc>
        <w:tc>
          <w:tcPr>
            <w:tcW w:w="455" w:type="pct"/>
            <w:vAlign w:val="center"/>
          </w:tcPr>
          <w:p w14:paraId="0EC1C258" w14:textId="243F7735" w:rsidR="009F3509" w:rsidRPr="004A1EBA" w:rsidRDefault="009F3509" w:rsidP="00347727">
            <w:pPr>
              <w:spacing w:beforeLines="20" w:before="48" w:afterLines="20" w:after="48"/>
              <w:rPr>
                <w:rFonts w:asciiTheme="majorBidi" w:hAnsiTheme="majorBidi" w:cstheme="majorBidi"/>
                <w:color w:val="333333"/>
                <w:sz w:val="16"/>
                <w:szCs w:val="16"/>
                <w:shd w:val="clear" w:color="auto" w:fill="FFFFFF"/>
              </w:rPr>
            </w:pPr>
            <w:r w:rsidRPr="004A1EBA">
              <w:rPr>
                <w:rFonts w:asciiTheme="majorBidi" w:hAnsiTheme="majorBidi" w:cstheme="majorBidi"/>
                <w:color w:val="000000"/>
                <w:sz w:val="16"/>
                <w:szCs w:val="16"/>
                <w:shd w:val="clear" w:color="auto" w:fill="FFFFFF"/>
              </w:rPr>
              <w:t xml:space="preserve">Where a dependant’s resources, taking into consideration everything they are entitled to under a will, intestacy or otherwise on the deceased’s death, are not sufficient to provide adequately for </w:t>
            </w:r>
            <w:r w:rsidRPr="004A1EBA">
              <w:rPr>
                <w:rFonts w:asciiTheme="majorBidi" w:hAnsiTheme="majorBidi" w:cstheme="majorBidi"/>
                <w:color w:val="000000"/>
                <w:sz w:val="16"/>
                <w:szCs w:val="16"/>
                <w:shd w:val="clear" w:color="auto" w:fill="FFFFFF"/>
              </w:rPr>
              <w:lastRenderedPageBreak/>
              <w:t>them, the court may order what it considers adequate for their maintenance and support</w:t>
            </w:r>
            <w:r w:rsidRPr="004A1EBA">
              <w:rPr>
                <w:rStyle w:val="FootnoteReference"/>
                <w:rFonts w:asciiTheme="majorBidi" w:hAnsiTheme="majorBidi" w:cstheme="majorBidi"/>
                <w:color w:val="000000"/>
                <w:sz w:val="16"/>
                <w:szCs w:val="16"/>
                <w:shd w:val="clear" w:color="auto" w:fill="FFFFFF"/>
              </w:rPr>
              <w:footnoteReference w:id="575"/>
            </w:r>
          </w:p>
        </w:tc>
        <w:tc>
          <w:tcPr>
            <w:tcW w:w="455" w:type="pct"/>
            <w:vAlign w:val="center"/>
          </w:tcPr>
          <w:p w14:paraId="5D56D02B" w14:textId="603FA778" w:rsidR="009F3509" w:rsidRPr="004A1EBA" w:rsidRDefault="009F3509" w:rsidP="00347727">
            <w:pPr>
              <w:spacing w:beforeLines="20" w:before="48" w:afterLines="20" w:after="48"/>
              <w:rPr>
                <w:rFonts w:asciiTheme="majorBidi" w:hAnsiTheme="majorBidi" w:cstheme="majorBidi"/>
                <w:color w:val="000000"/>
                <w:sz w:val="16"/>
                <w:szCs w:val="16"/>
                <w:shd w:val="clear" w:color="auto" w:fill="FFFFFF"/>
              </w:rPr>
            </w:pPr>
            <w:r w:rsidRPr="004A1EBA">
              <w:rPr>
                <w:rFonts w:asciiTheme="majorBidi" w:hAnsiTheme="majorBidi" w:cstheme="majorBidi"/>
                <w:color w:val="000000"/>
                <w:sz w:val="16"/>
                <w:szCs w:val="16"/>
                <w:shd w:val="clear" w:color="auto" w:fill="FFFFFF"/>
              </w:rPr>
              <w:lastRenderedPageBreak/>
              <w:t>If a deceased has not made adequate provision for the proper maintenance and support of the dependant, the court may order provision it considers adequate for their proper maintenance and support</w:t>
            </w:r>
            <w:r w:rsidRPr="004A1EBA">
              <w:rPr>
                <w:rStyle w:val="FootnoteReference"/>
                <w:rFonts w:asciiTheme="majorBidi" w:hAnsiTheme="majorBidi" w:cstheme="majorBidi"/>
                <w:color w:val="000000"/>
                <w:sz w:val="16"/>
                <w:szCs w:val="16"/>
                <w:shd w:val="clear" w:color="auto" w:fill="FFFFFF"/>
              </w:rPr>
              <w:footnoteReference w:id="576"/>
            </w:r>
          </w:p>
        </w:tc>
        <w:tc>
          <w:tcPr>
            <w:tcW w:w="449" w:type="pct"/>
            <w:vAlign w:val="center"/>
          </w:tcPr>
          <w:p w14:paraId="353CC15A" w14:textId="628A5223" w:rsidR="009F3509" w:rsidRPr="004A1EBA" w:rsidRDefault="009F3509" w:rsidP="00347727">
            <w:pPr>
              <w:spacing w:beforeLines="20" w:before="48" w:afterLines="20" w:after="48"/>
              <w:rPr>
                <w:rFonts w:asciiTheme="majorBidi" w:hAnsiTheme="majorBidi" w:cstheme="majorBidi"/>
                <w:color w:val="000000"/>
                <w:sz w:val="16"/>
                <w:szCs w:val="16"/>
                <w:shd w:val="clear" w:color="auto" w:fill="FFFFFF"/>
              </w:rPr>
            </w:pPr>
            <w:r w:rsidRPr="004A1EBA">
              <w:rPr>
                <w:rFonts w:asciiTheme="majorBidi" w:hAnsiTheme="majorBidi" w:cstheme="majorBidi"/>
                <w:color w:val="000000"/>
                <w:sz w:val="16"/>
                <w:szCs w:val="16"/>
                <w:shd w:val="clear" w:color="auto" w:fill="FFFFFF"/>
              </w:rPr>
              <w:t>Where adequate provision for the proper maintenance and support has not been made, the court may order that adequate provision be made for their proper maintenance and support</w:t>
            </w:r>
            <w:r w:rsidRPr="004A1EBA">
              <w:rPr>
                <w:rStyle w:val="FootnoteReference"/>
                <w:rFonts w:asciiTheme="majorBidi" w:hAnsiTheme="majorBidi" w:cstheme="majorBidi"/>
                <w:color w:val="000000"/>
                <w:sz w:val="16"/>
                <w:szCs w:val="16"/>
                <w:shd w:val="clear" w:color="auto" w:fill="FFFFFF"/>
              </w:rPr>
              <w:footnoteReference w:id="577"/>
            </w:r>
          </w:p>
        </w:tc>
      </w:tr>
      <w:tr w:rsidR="00180886" w:rsidRPr="004A1EBA" w14:paraId="75BEC897" w14:textId="76D2727B" w:rsidTr="004162EE">
        <w:trPr>
          <w:trHeight w:val="440"/>
        </w:trPr>
        <w:tc>
          <w:tcPr>
            <w:tcW w:w="498" w:type="pct"/>
            <w:vAlign w:val="center"/>
          </w:tcPr>
          <w:p w14:paraId="14319245" w14:textId="6BBDCB51" w:rsidR="00F322CF" w:rsidRPr="004A1EBA" w:rsidRDefault="00F322CF" w:rsidP="00F322CF">
            <w:pPr>
              <w:spacing w:beforeLines="20" w:before="48" w:afterLines="20" w:after="48"/>
              <w:rPr>
                <w:rFonts w:asciiTheme="majorBidi" w:hAnsiTheme="majorBidi" w:cstheme="majorBidi"/>
                <w:sz w:val="16"/>
                <w:szCs w:val="16"/>
              </w:rPr>
            </w:pPr>
            <w:r w:rsidRPr="004A1EBA">
              <w:rPr>
                <w:rFonts w:asciiTheme="majorBidi" w:hAnsiTheme="majorBidi" w:cstheme="majorBidi"/>
                <w:sz w:val="16"/>
                <w:szCs w:val="16"/>
              </w:rPr>
              <w:t>Statutory factors to be considered</w:t>
            </w:r>
            <w:r w:rsidRPr="004A1EBA">
              <w:rPr>
                <w:rStyle w:val="FootnoteReference"/>
                <w:rFonts w:asciiTheme="majorBidi" w:hAnsiTheme="majorBidi" w:cstheme="majorBidi"/>
                <w:sz w:val="16"/>
                <w:szCs w:val="16"/>
              </w:rPr>
              <w:footnoteReference w:id="578"/>
            </w:r>
          </w:p>
        </w:tc>
        <w:tc>
          <w:tcPr>
            <w:tcW w:w="499" w:type="pct"/>
            <w:vAlign w:val="center"/>
          </w:tcPr>
          <w:p w14:paraId="529F2697" w14:textId="77777777" w:rsidR="00F322CF" w:rsidRPr="004A1EBA" w:rsidRDefault="00F322CF" w:rsidP="00CA132D">
            <w:pPr>
              <w:spacing w:beforeLines="20" w:before="48" w:afterLines="20" w:after="48"/>
              <w:jc w:val="center"/>
              <w:rPr>
                <w:rFonts w:asciiTheme="majorBidi" w:hAnsiTheme="majorBidi" w:cstheme="majorBidi"/>
                <w:sz w:val="16"/>
                <w:szCs w:val="16"/>
              </w:rPr>
            </w:pPr>
          </w:p>
        </w:tc>
        <w:tc>
          <w:tcPr>
            <w:tcW w:w="369" w:type="pct"/>
            <w:vAlign w:val="center"/>
          </w:tcPr>
          <w:p w14:paraId="6CC68D51" w14:textId="0B38AB8B"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vAlign w:val="center"/>
          </w:tcPr>
          <w:p w14:paraId="607E30A2" w14:textId="1819AFD1"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vAlign w:val="center"/>
          </w:tcPr>
          <w:p w14:paraId="266D83EA" w14:textId="1BE566BC"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05B963D0" w14:textId="52B8C854"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vAlign w:val="center"/>
          </w:tcPr>
          <w:p w14:paraId="3E9859EE" w14:textId="15EA0DDE"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vAlign w:val="center"/>
          </w:tcPr>
          <w:p w14:paraId="14753BE1" w14:textId="4F22BED6"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c>
          <w:tcPr>
            <w:tcW w:w="455" w:type="pct"/>
            <w:vAlign w:val="center"/>
          </w:tcPr>
          <w:p w14:paraId="2A8A3BFC" w14:textId="48AC5A83"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55" w:type="pct"/>
            <w:vAlign w:val="center"/>
          </w:tcPr>
          <w:p w14:paraId="622F4AAE" w14:textId="17193E4A"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2" w:char="F0CF"/>
            </w:r>
          </w:p>
        </w:tc>
        <w:tc>
          <w:tcPr>
            <w:tcW w:w="449" w:type="pct"/>
            <w:vAlign w:val="center"/>
          </w:tcPr>
          <w:p w14:paraId="027EE242" w14:textId="02FFF2A2" w:rsidR="00F322CF" w:rsidRPr="004A1EBA" w:rsidRDefault="00F322CF" w:rsidP="00CA132D">
            <w:pPr>
              <w:spacing w:beforeLines="20" w:before="48" w:afterLines="20" w:after="48"/>
              <w:jc w:val="center"/>
              <w:rPr>
                <w:rFonts w:asciiTheme="majorBidi" w:hAnsiTheme="majorBidi" w:cstheme="majorBidi"/>
                <w:sz w:val="16"/>
                <w:szCs w:val="16"/>
              </w:rPr>
            </w:pPr>
            <w:r w:rsidRPr="004A1EBA">
              <w:rPr>
                <w:rFonts w:asciiTheme="majorBidi" w:hAnsiTheme="majorBidi" w:cstheme="majorBidi"/>
                <w:sz w:val="16"/>
                <w:szCs w:val="16"/>
              </w:rPr>
              <w:sym w:font="Wingdings" w:char="F0FC"/>
            </w:r>
          </w:p>
        </w:tc>
      </w:tr>
    </w:tbl>
    <w:p w14:paraId="2263B487" w14:textId="66117402" w:rsidR="00CA132D" w:rsidRPr="004C5271" w:rsidRDefault="00CA132D">
      <w:pPr>
        <w:rPr>
          <w:rFonts w:asciiTheme="majorBidi" w:hAnsiTheme="majorBidi" w:cstheme="majorBidi"/>
        </w:rPr>
      </w:pPr>
    </w:p>
    <w:p w14:paraId="5EDACAD5" w14:textId="77777777" w:rsidR="00CA132D" w:rsidRPr="004C5271" w:rsidRDefault="00CA132D">
      <w:pPr>
        <w:rPr>
          <w:rFonts w:asciiTheme="majorBidi" w:hAnsiTheme="majorBidi" w:cstheme="majorBidi"/>
        </w:rPr>
        <w:sectPr w:rsidR="00CA132D" w:rsidRPr="004C5271" w:rsidSect="00D0426A">
          <w:headerReference w:type="default" r:id="rId53"/>
          <w:pgSz w:w="14232" w:h="9979" w:orient="landscape" w:code="9"/>
          <w:pgMar w:top="1440" w:right="1440" w:bottom="1440" w:left="1440" w:header="709" w:footer="709" w:gutter="0"/>
          <w:cols w:space="708"/>
          <w:titlePg/>
          <w:docGrid w:linePitch="360"/>
        </w:sectPr>
      </w:pPr>
    </w:p>
    <w:p w14:paraId="3938CCAE" w14:textId="50475A1A" w:rsidR="009F661F" w:rsidRPr="00A7743A" w:rsidRDefault="009F661F" w:rsidP="003545DC">
      <w:pPr>
        <w:pStyle w:val="NumberlessSectionHeading"/>
        <w:spacing w:before="0"/>
        <w:rPr>
          <w:rFonts w:asciiTheme="majorBidi" w:hAnsiTheme="majorBidi" w:cstheme="majorBidi"/>
          <w:sz w:val="28"/>
          <w:szCs w:val="28"/>
        </w:rPr>
      </w:pPr>
      <w:bookmarkStart w:id="226" w:name="_Toc12268975"/>
      <w:r w:rsidRPr="00A7743A">
        <w:rPr>
          <w:rFonts w:asciiTheme="majorBidi" w:hAnsiTheme="majorBidi" w:cstheme="majorBidi"/>
          <w:sz w:val="28"/>
          <w:szCs w:val="28"/>
        </w:rPr>
        <w:lastRenderedPageBreak/>
        <w:t xml:space="preserve">Appendix </w:t>
      </w:r>
      <w:r w:rsidR="000F7E5B" w:rsidRPr="00A7743A">
        <w:rPr>
          <w:rFonts w:asciiTheme="majorBidi" w:hAnsiTheme="majorBidi" w:cstheme="majorBidi"/>
          <w:sz w:val="28"/>
          <w:szCs w:val="28"/>
        </w:rPr>
        <w:t>3</w:t>
      </w:r>
      <w:r w:rsidRPr="00A7743A">
        <w:rPr>
          <w:rFonts w:asciiTheme="majorBidi" w:hAnsiTheme="majorBidi" w:cstheme="majorBidi"/>
          <w:sz w:val="28"/>
          <w:szCs w:val="28"/>
        </w:rPr>
        <w:t>: Reported Tasmanian Family Provision Decisions</w:t>
      </w:r>
      <w:r w:rsidR="005D4293" w:rsidRPr="00A7743A">
        <w:rPr>
          <w:rFonts w:asciiTheme="majorBidi" w:hAnsiTheme="majorBidi" w:cstheme="majorBidi"/>
          <w:sz w:val="28"/>
          <w:szCs w:val="28"/>
        </w:rPr>
        <w:t>,</w:t>
      </w:r>
      <w:r w:rsidRPr="00A7743A">
        <w:rPr>
          <w:rFonts w:asciiTheme="majorBidi" w:hAnsiTheme="majorBidi" w:cstheme="majorBidi"/>
          <w:sz w:val="28"/>
          <w:szCs w:val="28"/>
        </w:rPr>
        <w:t xml:space="preserve"> April 2009 to April 2019</w:t>
      </w:r>
      <w:bookmarkEnd w:id="226"/>
    </w:p>
    <w:tbl>
      <w:tblPr>
        <w:tblStyle w:val="TableGrid"/>
        <w:tblW w:w="5000" w:type="pct"/>
        <w:tblCellMar>
          <w:left w:w="28" w:type="dxa"/>
          <w:right w:w="28" w:type="dxa"/>
        </w:tblCellMar>
        <w:tblLook w:val="04A0" w:firstRow="1" w:lastRow="0" w:firstColumn="1" w:lastColumn="0" w:noHBand="0" w:noVBand="1"/>
      </w:tblPr>
      <w:tblGrid>
        <w:gridCol w:w="397"/>
        <w:gridCol w:w="1465"/>
        <w:gridCol w:w="1252"/>
        <w:gridCol w:w="848"/>
        <w:gridCol w:w="994"/>
        <w:gridCol w:w="1418"/>
        <w:gridCol w:w="2836"/>
        <w:gridCol w:w="2132"/>
      </w:tblGrid>
      <w:tr w:rsidR="0039402B" w:rsidRPr="004C5271" w14:paraId="4B7A486F" w14:textId="77777777" w:rsidTr="00A95B20">
        <w:trPr>
          <w:trHeight w:hRule="exact" w:val="336"/>
          <w:tblHeader/>
        </w:trPr>
        <w:tc>
          <w:tcPr>
            <w:tcW w:w="175" w:type="pct"/>
            <w:shd w:val="clear" w:color="auto" w:fill="D9D9D9" w:themeFill="background1" w:themeFillShade="D9"/>
            <w:vAlign w:val="center"/>
          </w:tcPr>
          <w:p w14:paraId="730D169F" w14:textId="77777777" w:rsidR="009F661F" w:rsidRPr="004C5271" w:rsidRDefault="009F661F" w:rsidP="00A95B20">
            <w:pPr>
              <w:jc w:val="center"/>
              <w:rPr>
                <w:rFonts w:asciiTheme="majorBidi" w:hAnsiTheme="majorBidi" w:cstheme="majorBidi"/>
                <w:b/>
                <w:bCs/>
                <w:sz w:val="20"/>
                <w:szCs w:val="20"/>
              </w:rPr>
            </w:pPr>
          </w:p>
        </w:tc>
        <w:tc>
          <w:tcPr>
            <w:tcW w:w="646" w:type="pct"/>
            <w:shd w:val="clear" w:color="auto" w:fill="D9D9D9" w:themeFill="background1" w:themeFillShade="D9"/>
            <w:vAlign w:val="center"/>
          </w:tcPr>
          <w:p w14:paraId="5829CB85" w14:textId="77777777" w:rsidR="009F661F" w:rsidRPr="004C5271" w:rsidRDefault="009F661F" w:rsidP="00A95B20">
            <w:pPr>
              <w:jc w:val="center"/>
              <w:rPr>
                <w:rFonts w:asciiTheme="majorBidi" w:hAnsiTheme="majorBidi" w:cstheme="majorBidi"/>
                <w:b/>
                <w:bCs/>
                <w:sz w:val="20"/>
                <w:szCs w:val="20"/>
              </w:rPr>
            </w:pPr>
            <w:r w:rsidRPr="004C5271">
              <w:rPr>
                <w:rFonts w:asciiTheme="majorBidi" w:hAnsiTheme="majorBidi" w:cstheme="majorBidi"/>
                <w:b/>
                <w:bCs/>
                <w:sz w:val="20"/>
                <w:szCs w:val="20"/>
              </w:rPr>
              <w:t>Case Name</w:t>
            </w:r>
          </w:p>
        </w:tc>
        <w:tc>
          <w:tcPr>
            <w:tcW w:w="552" w:type="pct"/>
            <w:shd w:val="clear" w:color="auto" w:fill="D9D9D9" w:themeFill="background1" w:themeFillShade="D9"/>
            <w:vAlign w:val="center"/>
          </w:tcPr>
          <w:p w14:paraId="56718D99" w14:textId="77777777" w:rsidR="009F661F" w:rsidRPr="004C5271" w:rsidRDefault="009F661F" w:rsidP="00A95B20">
            <w:pPr>
              <w:jc w:val="center"/>
              <w:rPr>
                <w:rFonts w:asciiTheme="majorBidi" w:hAnsiTheme="majorBidi" w:cstheme="majorBidi"/>
                <w:b/>
                <w:bCs/>
                <w:sz w:val="20"/>
                <w:szCs w:val="20"/>
              </w:rPr>
            </w:pPr>
            <w:r w:rsidRPr="004C5271">
              <w:rPr>
                <w:rFonts w:asciiTheme="majorBidi" w:hAnsiTheme="majorBidi" w:cstheme="majorBidi"/>
                <w:b/>
                <w:bCs/>
                <w:sz w:val="20"/>
                <w:szCs w:val="20"/>
              </w:rPr>
              <w:t>Date</w:t>
            </w:r>
          </w:p>
        </w:tc>
        <w:tc>
          <w:tcPr>
            <w:tcW w:w="374" w:type="pct"/>
            <w:shd w:val="clear" w:color="auto" w:fill="D9D9D9" w:themeFill="background1" w:themeFillShade="D9"/>
            <w:vAlign w:val="center"/>
          </w:tcPr>
          <w:p w14:paraId="5D521014" w14:textId="77777777" w:rsidR="009F661F" w:rsidRPr="004C5271" w:rsidRDefault="009F661F" w:rsidP="00A95B20">
            <w:pPr>
              <w:jc w:val="center"/>
              <w:rPr>
                <w:rFonts w:asciiTheme="majorBidi" w:hAnsiTheme="majorBidi" w:cstheme="majorBidi"/>
                <w:b/>
                <w:bCs/>
                <w:sz w:val="20"/>
                <w:szCs w:val="20"/>
              </w:rPr>
            </w:pPr>
            <w:r w:rsidRPr="004C5271">
              <w:rPr>
                <w:rFonts w:asciiTheme="majorBidi" w:hAnsiTheme="majorBidi" w:cstheme="majorBidi"/>
                <w:b/>
                <w:bCs/>
                <w:sz w:val="20"/>
                <w:szCs w:val="20"/>
              </w:rPr>
              <w:t>Judge</w:t>
            </w:r>
          </w:p>
        </w:tc>
        <w:tc>
          <w:tcPr>
            <w:tcW w:w="438" w:type="pct"/>
            <w:shd w:val="clear" w:color="auto" w:fill="D9D9D9" w:themeFill="background1" w:themeFillShade="D9"/>
            <w:vAlign w:val="center"/>
          </w:tcPr>
          <w:p w14:paraId="303FC5E1" w14:textId="77777777" w:rsidR="009F661F" w:rsidRPr="004C5271" w:rsidRDefault="009F661F" w:rsidP="00A95B20">
            <w:pPr>
              <w:jc w:val="center"/>
              <w:rPr>
                <w:rFonts w:asciiTheme="majorBidi" w:hAnsiTheme="majorBidi" w:cstheme="majorBidi"/>
                <w:b/>
                <w:bCs/>
                <w:sz w:val="20"/>
                <w:szCs w:val="20"/>
              </w:rPr>
            </w:pPr>
            <w:r w:rsidRPr="004C5271">
              <w:rPr>
                <w:rFonts w:asciiTheme="majorBidi" w:hAnsiTheme="majorBidi" w:cstheme="majorBidi"/>
                <w:b/>
                <w:bCs/>
                <w:sz w:val="20"/>
                <w:szCs w:val="20"/>
              </w:rPr>
              <w:t>Applicant</w:t>
            </w:r>
          </w:p>
        </w:tc>
        <w:tc>
          <w:tcPr>
            <w:tcW w:w="625" w:type="pct"/>
            <w:shd w:val="clear" w:color="auto" w:fill="D9D9D9" w:themeFill="background1" w:themeFillShade="D9"/>
            <w:vAlign w:val="center"/>
          </w:tcPr>
          <w:p w14:paraId="199710D2" w14:textId="77777777" w:rsidR="009F661F" w:rsidRPr="004C5271" w:rsidRDefault="009F661F" w:rsidP="00A95B20">
            <w:pPr>
              <w:jc w:val="center"/>
              <w:rPr>
                <w:rFonts w:asciiTheme="majorBidi" w:hAnsiTheme="majorBidi" w:cstheme="majorBidi"/>
                <w:b/>
                <w:bCs/>
                <w:sz w:val="20"/>
                <w:szCs w:val="20"/>
              </w:rPr>
            </w:pPr>
            <w:r w:rsidRPr="004C5271">
              <w:rPr>
                <w:rFonts w:asciiTheme="majorBidi" w:hAnsiTheme="majorBidi" w:cstheme="majorBidi"/>
                <w:b/>
                <w:bCs/>
                <w:sz w:val="20"/>
                <w:szCs w:val="20"/>
              </w:rPr>
              <w:t>Size of Estate</w:t>
            </w:r>
          </w:p>
        </w:tc>
        <w:tc>
          <w:tcPr>
            <w:tcW w:w="1250" w:type="pct"/>
            <w:shd w:val="clear" w:color="auto" w:fill="D9D9D9" w:themeFill="background1" w:themeFillShade="D9"/>
            <w:vAlign w:val="center"/>
          </w:tcPr>
          <w:p w14:paraId="536D1816" w14:textId="77777777" w:rsidR="009F661F" w:rsidRPr="004C5271" w:rsidRDefault="009F661F" w:rsidP="00A95B20">
            <w:pPr>
              <w:jc w:val="center"/>
              <w:rPr>
                <w:rFonts w:asciiTheme="majorBidi" w:hAnsiTheme="majorBidi" w:cstheme="majorBidi"/>
                <w:b/>
                <w:bCs/>
                <w:sz w:val="20"/>
                <w:szCs w:val="20"/>
              </w:rPr>
            </w:pPr>
            <w:r w:rsidRPr="004C5271">
              <w:rPr>
                <w:rFonts w:asciiTheme="majorBidi" w:hAnsiTheme="majorBidi" w:cstheme="majorBidi"/>
                <w:b/>
                <w:bCs/>
                <w:sz w:val="20"/>
                <w:szCs w:val="20"/>
              </w:rPr>
              <w:t>‘Notional estate’</w:t>
            </w:r>
          </w:p>
        </w:tc>
        <w:tc>
          <w:tcPr>
            <w:tcW w:w="940" w:type="pct"/>
            <w:shd w:val="clear" w:color="auto" w:fill="D9D9D9" w:themeFill="background1" w:themeFillShade="D9"/>
            <w:vAlign w:val="center"/>
          </w:tcPr>
          <w:p w14:paraId="1B41EEFE" w14:textId="77777777" w:rsidR="009F661F" w:rsidRPr="004C5271" w:rsidRDefault="009F661F" w:rsidP="00A95B20">
            <w:pPr>
              <w:jc w:val="center"/>
              <w:rPr>
                <w:rFonts w:asciiTheme="majorBidi" w:hAnsiTheme="majorBidi" w:cstheme="majorBidi"/>
                <w:b/>
                <w:bCs/>
                <w:sz w:val="20"/>
                <w:szCs w:val="20"/>
              </w:rPr>
            </w:pPr>
            <w:r w:rsidRPr="004C5271">
              <w:rPr>
                <w:rFonts w:asciiTheme="majorBidi" w:hAnsiTheme="majorBidi" w:cstheme="majorBidi"/>
                <w:b/>
                <w:bCs/>
                <w:sz w:val="20"/>
                <w:szCs w:val="20"/>
              </w:rPr>
              <w:t>Provision awarded</w:t>
            </w:r>
          </w:p>
        </w:tc>
      </w:tr>
      <w:tr w:rsidR="0039402B" w:rsidRPr="004C5271" w14:paraId="2308344C" w14:textId="77777777" w:rsidTr="0039402B">
        <w:trPr>
          <w:trHeight w:val="399"/>
        </w:trPr>
        <w:tc>
          <w:tcPr>
            <w:tcW w:w="175" w:type="pct"/>
          </w:tcPr>
          <w:p w14:paraId="2D39B313"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t>1</w:t>
            </w:r>
          </w:p>
        </w:tc>
        <w:tc>
          <w:tcPr>
            <w:tcW w:w="646" w:type="pct"/>
          </w:tcPr>
          <w:p w14:paraId="1997B732"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i/>
                <w:iCs/>
                <w:color w:val="333333"/>
                <w:spacing w:val="-9"/>
                <w:sz w:val="20"/>
                <w:szCs w:val="20"/>
              </w:rPr>
              <w:t>Williams v Williams (No 2)</w:t>
            </w:r>
            <w:r w:rsidRPr="004C5271">
              <w:rPr>
                <w:rFonts w:asciiTheme="majorBidi" w:hAnsiTheme="majorBidi" w:cstheme="majorBidi"/>
                <w:color w:val="333333"/>
                <w:spacing w:val="-9"/>
                <w:sz w:val="20"/>
                <w:szCs w:val="20"/>
              </w:rPr>
              <w:t xml:space="preserve"> [2018] TASSC 61</w:t>
            </w:r>
          </w:p>
        </w:tc>
        <w:tc>
          <w:tcPr>
            <w:tcW w:w="552" w:type="pct"/>
          </w:tcPr>
          <w:p w14:paraId="6C5BC417"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5 December 2018</w:t>
            </w:r>
          </w:p>
        </w:tc>
        <w:tc>
          <w:tcPr>
            <w:tcW w:w="374" w:type="pct"/>
          </w:tcPr>
          <w:p w14:paraId="177E98C6"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Holt As J</w:t>
            </w:r>
          </w:p>
        </w:tc>
        <w:tc>
          <w:tcPr>
            <w:tcW w:w="438" w:type="pct"/>
          </w:tcPr>
          <w:p w14:paraId="6EB7A57D"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Widow</w:t>
            </w:r>
          </w:p>
        </w:tc>
        <w:tc>
          <w:tcPr>
            <w:tcW w:w="625" w:type="pct"/>
          </w:tcPr>
          <w:p w14:paraId="1654AA25"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$1.08m</w:t>
            </w:r>
          </w:p>
        </w:tc>
        <w:tc>
          <w:tcPr>
            <w:tcW w:w="1250" w:type="pct"/>
          </w:tcPr>
          <w:p w14:paraId="490FF920" w14:textId="5BDB2ABA" w:rsidR="009F661F" w:rsidRPr="004C5271" w:rsidRDefault="00A70FF1" w:rsidP="0060388D">
            <w:pPr>
              <w:spacing w:beforeLines="40" w:before="96" w:afterLines="40" w:after="96"/>
              <w:rPr>
                <w:rFonts w:asciiTheme="majorBidi" w:hAnsiTheme="majorBidi" w:cstheme="majorBidi"/>
                <w:color w:val="333333"/>
                <w:sz w:val="20"/>
                <w:szCs w:val="20"/>
              </w:rPr>
            </w:pP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As a result of the testator</w:t>
            </w: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s death the applicant also became entitled to receive a Department of Veterans</w:t>
            </w: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 xml:space="preserve"> Affairs (</w:t>
            </w: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DVA</w:t>
            </w: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 pension of about $450 per week and a DVA gold health card.</w:t>
            </w:r>
            <w:r w:rsidRPr="004C5271">
              <w:rPr>
                <w:rFonts w:asciiTheme="majorBidi" w:hAnsiTheme="majorBidi" w:cstheme="majorBidi"/>
                <w:color w:val="333333"/>
                <w:sz w:val="20"/>
                <w:szCs w:val="20"/>
              </w:rPr>
              <w:t>’</w:t>
            </w:r>
            <w:r w:rsidR="009F661F" w:rsidRPr="004C5271">
              <w:rPr>
                <w:rStyle w:val="FootnoteReference"/>
                <w:rFonts w:asciiTheme="majorBidi" w:hAnsiTheme="majorBidi" w:cstheme="majorBidi"/>
                <w:color w:val="333333"/>
                <w:szCs w:val="20"/>
              </w:rPr>
              <w:footnoteReference w:id="579"/>
            </w:r>
          </w:p>
          <w:p w14:paraId="04D5167F" w14:textId="7049E495"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color w:val="333333"/>
                <w:sz w:val="20"/>
                <w:szCs w:val="20"/>
              </w:rPr>
              <w:t>the major estate asset, being an apartment complex at St Helens, worth about $650,000, had been distributed in accordance with the terms of the will for the benefit of the daughter and her three children and for the benefit of the son</w:t>
            </w:r>
            <w:r w:rsidR="00A70FF1" w:rsidRPr="004C5271">
              <w:rPr>
                <w:rFonts w:asciiTheme="majorBidi" w:hAnsiTheme="majorBidi" w:cstheme="majorBidi"/>
                <w:color w:val="333333"/>
                <w:sz w:val="20"/>
                <w:szCs w:val="20"/>
              </w:rPr>
              <w:t xml:space="preserve"> </w:t>
            </w:r>
            <w:r w:rsidRPr="004C5271">
              <w:rPr>
                <w:rFonts w:asciiTheme="majorBidi" w:hAnsiTheme="majorBidi" w:cstheme="majorBidi"/>
                <w:color w:val="333333"/>
                <w:sz w:val="20"/>
                <w:szCs w:val="20"/>
              </w:rPr>
              <w:t xml:space="preserve">… by reason of the Act, </w:t>
            </w:r>
            <w:r w:rsidRPr="004C5271">
              <w:rPr>
                <w:rFonts w:asciiTheme="majorBidi" w:hAnsiTheme="majorBidi" w:cstheme="majorBidi"/>
                <w:sz w:val="20"/>
                <w:szCs w:val="20"/>
              </w:rPr>
              <w:t>s 11(4)</w:t>
            </w:r>
            <w:r w:rsidRPr="004C5271">
              <w:rPr>
                <w:rFonts w:asciiTheme="majorBidi" w:hAnsiTheme="majorBidi" w:cstheme="majorBidi"/>
                <w:color w:val="333333"/>
                <w:sz w:val="20"/>
                <w:szCs w:val="20"/>
              </w:rPr>
              <w:t>, the distribution which occurred prior to the time of the filing of the application cannot now be disturbed.</w:t>
            </w:r>
            <w:r w:rsidR="00A70FF1" w:rsidRPr="004C5271">
              <w:rPr>
                <w:rFonts w:asciiTheme="majorBidi" w:hAnsiTheme="majorBidi" w:cstheme="majorBidi"/>
                <w:color w:val="333333"/>
                <w:sz w:val="20"/>
                <w:szCs w:val="20"/>
              </w:rPr>
              <w:t>’</w:t>
            </w:r>
            <w:r w:rsidRPr="004C5271">
              <w:rPr>
                <w:rStyle w:val="FootnoteReference"/>
                <w:rFonts w:asciiTheme="majorBidi" w:hAnsiTheme="majorBidi" w:cstheme="majorBidi"/>
                <w:color w:val="333333"/>
                <w:szCs w:val="20"/>
              </w:rPr>
              <w:footnoteReference w:id="580"/>
            </w:r>
          </w:p>
        </w:tc>
        <w:tc>
          <w:tcPr>
            <w:tcW w:w="940" w:type="pct"/>
          </w:tcPr>
          <w:p w14:paraId="204C1D2E" w14:textId="367F3A30"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color w:val="333333"/>
                <w:sz w:val="20"/>
                <w:szCs w:val="20"/>
              </w:rPr>
              <w:t>YES</w:t>
            </w:r>
            <w:r w:rsidR="005A5E18" w:rsidRPr="004C5271">
              <w:rPr>
                <w:rFonts w:asciiTheme="majorBidi" w:hAnsiTheme="majorBidi" w:cstheme="majorBidi"/>
                <w:color w:val="333333"/>
                <w:sz w:val="20"/>
                <w:szCs w:val="20"/>
              </w:rPr>
              <w:t xml:space="preserve"> – </w:t>
            </w:r>
            <w:r w:rsidR="00A70FF1" w:rsidRPr="004C5271">
              <w:rPr>
                <w:rFonts w:asciiTheme="majorBidi" w:hAnsiTheme="majorBidi" w:cstheme="majorBidi"/>
                <w:color w:val="333333"/>
                <w:sz w:val="20"/>
                <w:szCs w:val="20"/>
              </w:rPr>
              <w:t>‘</w:t>
            </w:r>
            <w:r w:rsidRPr="004C5271">
              <w:rPr>
                <w:rFonts w:asciiTheme="majorBidi" w:hAnsiTheme="majorBidi" w:cstheme="majorBidi"/>
                <w:color w:val="333333"/>
                <w:sz w:val="20"/>
                <w:szCs w:val="20"/>
              </w:rPr>
              <w:t>Provision by way of a flexible life interest in the couple</w:t>
            </w:r>
            <w:r w:rsidR="00A70FF1" w:rsidRPr="004C5271">
              <w:rPr>
                <w:rFonts w:asciiTheme="majorBidi" w:hAnsiTheme="majorBidi" w:cstheme="majorBidi"/>
                <w:color w:val="333333"/>
                <w:sz w:val="20"/>
                <w:szCs w:val="20"/>
              </w:rPr>
              <w:t>’</w:t>
            </w:r>
            <w:r w:rsidRPr="004C5271">
              <w:rPr>
                <w:rFonts w:asciiTheme="majorBidi" w:hAnsiTheme="majorBidi" w:cstheme="majorBidi"/>
                <w:color w:val="333333"/>
                <w:sz w:val="20"/>
                <w:szCs w:val="20"/>
              </w:rPr>
              <w:t>s home in substitution for the mere right of occupancy and the bequest of a one-third interest in the investment property will be ordered.</w:t>
            </w:r>
            <w:r w:rsidR="00A70FF1" w:rsidRPr="004C5271">
              <w:rPr>
                <w:rFonts w:asciiTheme="majorBidi" w:hAnsiTheme="majorBidi" w:cstheme="majorBidi"/>
                <w:color w:val="333333"/>
                <w:sz w:val="20"/>
                <w:szCs w:val="20"/>
              </w:rPr>
              <w:t>’</w:t>
            </w:r>
            <w:r w:rsidRPr="004C5271">
              <w:rPr>
                <w:rStyle w:val="FootnoteReference"/>
                <w:rFonts w:asciiTheme="majorBidi" w:hAnsiTheme="majorBidi" w:cstheme="majorBidi"/>
                <w:color w:val="333333"/>
                <w:szCs w:val="20"/>
              </w:rPr>
              <w:footnoteReference w:id="581"/>
            </w:r>
          </w:p>
        </w:tc>
      </w:tr>
      <w:tr w:rsidR="0039402B" w:rsidRPr="004C5271" w14:paraId="5C21CF10" w14:textId="77777777" w:rsidTr="0039402B">
        <w:trPr>
          <w:trHeight w:val="384"/>
        </w:trPr>
        <w:tc>
          <w:tcPr>
            <w:tcW w:w="175" w:type="pct"/>
          </w:tcPr>
          <w:p w14:paraId="0CCAFF22"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lastRenderedPageBreak/>
              <w:t>2</w:t>
            </w:r>
          </w:p>
        </w:tc>
        <w:tc>
          <w:tcPr>
            <w:tcW w:w="646" w:type="pct"/>
          </w:tcPr>
          <w:p w14:paraId="62AA85AE"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i/>
                <w:iCs/>
                <w:color w:val="333333"/>
                <w:spacing w:val="-9"/>
                <w:sz w:val="20"/>
                <w:szCs w:val="20"/>
              </w:rPr>
              <w:t>Booth v Brooks</w:t>
            </w:r>
            <w:r w:rsidRPr="004C5271">
              <w:rPr>
                <w:rFonts w:asciiTheme="majorBidi" w:hAnsiTheme="majorBidi" w:cstheme="majorBidi"/>
                <w:color w:val="333333"/>
                <w:spacing w:val="-9"/>
                <w:sz w:val="20"/>
                <w:szCs w:val="20"/>
              </w:rPr>
              <w:t xml:space="preserve"> [2018] TASSC 35</w:t>
            </w:r>
          </w:p>
        </w:tc>
        <w:tc>
          <w:tcPr>
            <w:tcW w:w="552" w:type="pct"/>
          </w:tcPr>
          <w:p w14:paraId="42D7453E"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24 July 2018</w:t>
            </w:r>
          </w:p>
        </w:tc>
        <w:tc>
          <w:tcPr>
            <w:tcW w:w="374" w:type="pct"/>
          </w:tcPr>
          <w:p w14:paraId="57883DFA"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Holt AsJ</w:t>
            </w:r>
          </w:p>
        </w:tc>
        <w:tc>
          <w:tcPr>
            <w:tcW w:w="438" w:type="pct"/>
          </w:tcPr>
          <w:p w14:paraId="20BE9396"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daughter</w:t>
            </w:r>
          </w:p>
        </w:tc>
        <w:tc>
          <w:tcPr>
            <w:tcW w:w="625" w:type="pct"/>
          </w:tcPr>
          <w:p w14:paraId="4A30AD52"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$6m</w:t>
            </w:r>
          </w:p>
        </w:tc>
        <w:tc>
          <w:tcPr>
            <w:tcW w:w="1250" w:type="pct"/>
          </w:tcPr>
          <w:p w14:paraId="4875F5BC" w14:textId="55B82194" w:rsidR="009F661F" w:rsidRPr="004C5271" w:rsidRDefault="00A70FF1" w:rsidP="0060388D">
            <w:pPr>
              <w:spacing w:beforeLines="40" w:before="96" w:afterLines="40" w:after="96"/>
              <w:rPr>
                <w:rFonts w:asciiTheme="majorBidi" w:hAnsiTheme="majorBidi" w:cstheme="majorBidi"/>
                <w:sz w:val="20"/>
                <w:szCs w:val="20"/>
              </w:rPr>
            </w:pP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At the time of his death the testator held 9 of 10 issued shares in the company Triffett Holdings Pty Ltd, which was registered in June 1984. The other share was held by the first respondent. The company acquired 220 hectares of land at Ouse in May 1997, which had a government value as at 1 July 2014 of $1.25 million. The company acquired about 2,000 hectares of farming land in the Central Highlands in March 2008 which had a government valuation as at 1 July 2014 of $2.7 million. Shortly after the death of the testator the company acquired 246 hectares of land at Ouse which had a government valuation as at 1 July 2014 of $1.15 million. In the estate inventory no mention is made of the testator</w:t>
            </w: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s shares in Triffett Holdings Pty Ltd and accordingly I infer that the company</w:t>
            </w: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 xml:space="preserve">s assets were held in </w:t>
            </w:r>
            <w:r w:rsidR="009F661F" w:rsidRPr="004C5271">
              <w:rPr>
                <w:rFonts w:asciiTheme="majorBidi" w:hAnsiTheme="majorBidi" w:cstheme="majorBidi"/>
                <w:color w:val="333333"/>
                <w:sz w:val="20"/>
                <w:szCs w:val="20"/>
              </w:rPr>
              <w:lastRenderedPageBreak/>
              <w:t>trust, rather than beneficially for the shareholders.</w:t>
            </w:r>
            <w:r w:rsidRPr="004C5271">
              <w:rPr>
                <w:rFonts w:asciiTheme="majorBidi" w:hAnsiTheme="majorBidi" w:cstheme="majorBidi"/>
                <w:color w:val="333333"/>
                <w:sz w:val="20"/>
                <w:szCs w:val="20"/>
              </w:rPr>
              <w:t>’</w:t>
            </w:r>
            <w:r w:rsidR="009F661F" w:rsidRPr="004C5271">
              <w:rPr>
                <w:rStyle w:val="FootnoteReference"/>
                <w:rFonts w:asciiTheme="majorBidi" w:hAnsiTheme="majorBidi" w:cstheme="majorBidi"/>
                <w:color w:val="333333"/>
                <w:szCs w:val="20"/>
              </w:rPr>
              <w:footnoteReference w:id="582"/>
            </w:r>
          </w:p>
        </w:tc>
        <w:tc>
          <w:tcPr>
            <w:tcW w:w="940" w:type="pct"/>
          </w:tcPr>
          <w:p w14:paraId="031F202B" w14:textId="52742350"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lastRenderedPageBreak/>
              <w:t>YES</w:t>
            </w:r>
            <w:r w:rsidR="005A5E18" w:rsidRPr="004C5271">
              <w:rPr>
                <w:rFonts w:asciiTheme="majorBidi" w:hAnsiTheme="majorBidi" w:cstheme="majorBidi"/>
                <w:sz w:val="20"/>
                <w:szCs w:val="20"/>
              </w:rPr>
              <w:t xml:space="preserve"> – </w:t>
            </w:r>
            <w:r w:rsidRPr="004C5271">
              <w:rPr>
                <w:rFonts w:asciiTheme="majorBidi" w:hAnsiTheme="majorBidi" w:cstheme="majorBidi"/>
                <w:sz w:val="20"/>
                <w:szCs w:val="20"/>
              </w:rPr>
              <w:t>$800,000</w:t>
            </w:r>
          </w:p>
        </w:tc>
      </w:tr>
      <w:tr w:rsidR="0039402B" w:rsidRPr="004C5271" w14:paraId="76C0501C" w14:textId="77777777" w:rsidTr="0039402B">
        <w:trPr>
          <w:trHeight w:val="384"/>
        </w:trPr>
        <w:tc>
          <w:tcPr>
            <w:tcW w:w="175" w:type="pct"/>
          </w:tcPr>
          <w:p w14:paraId="1811708F"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t>3</w:t>
            </w:r>
          </w:p>
        </w:tc>
        <w:tc>
          <w:tcPr>
            <w:tcW w:w="646" w:type="pct"/>
          </w:tcPr>
          <w:p w14:paraId="7017DCF6" w14:textId="77777777" w:rsidR="009F661F" w:rsidRPr="004C5271" w:rsidRDefault="009F661F" w:rsidP="0060388D">
            <w:pPr>
              <w:spacing w:beforeLines="40" w:before="96" w:afterLines="40" w:after="96"/>
              <w:rPr>
                <w:rFonts w:asciiTheme="majorBidi" w:hAnsiTheme="majorBidi" w:cstheme="majorBidi"/>
                <w:sz w:val="20"/>
                <w:szCs w:val="20"/>
              </w:rPr>
            </w:pPr>
            <w:bookmarkStart w:id="227" w:name="_Hlk5012904"/>
            <w:r w:rsidRPr="004C5271">
              <w:rPr>
                <w:rFonts w:asciiTheme="majorBidi" w:hAnsiTheme="majorBidi" w:cstheme="majorBidi"/>
                <w:i/>
                <w:iCs/>
                <w:color w:val="333333"/>
                <w:spacing w:val="-9"/>
                <w:sz w:val="20"/>
                <w:szCs w:val="20"/>
              </w:rPr>
              <w:t>Nicholas v Tubb</w:t>
            </w:r>
            <w:r w:rsidRPr="004C5271">
              <w:rPr>
                <w:rFonts w:asciiTheme="majorBidi" w:hAnsiTheme="majorBidi" w:cstheme="majorBidi"/>
                <w:color w:val="333333"/>
                <w:spacing w:val="-9"/>
                <w:sz w:val="20"/>
                <w:szCs w:val="20"/>
              </w:rPr>
              <w:t xml:space="preserve"> [2016] TASSC 53</w:t>
            </w:r>
            <w:bookmarkEnd w:id="227"/>
          </w:p>
        </w:tc>
        <w:tc>
          <w:tcPr>
            <w:tcW w:w="552" w:type="pct"/>
          </w:tcPr>
          <w:p w14:paraId="5E84C05A"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13 October 2016</w:t>
            </w:r>
          </w:p>
        </w:tc>
        <w:tc>
          <w:tcPr>
            <w:tcW w:w="374" w:type="pct"/>
          </w:tcPr>
          <w:p w14:paraId="25D4279F"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Holt AsJ</w:t>
            </w:r>
          </w:p>
        </w:tc>
        <w:tc>
          <w:tcPr>
            <w:tcW w:w="438" w:type="pct"/>
          </w:tcPr>
          <w:p w14:paraId="5700B9F4"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4 adult children</w:t>
            </w:r>
          </w:p>
        </w:tc>
        <w:tc>
          <w:tcPr>
            <w:tcW w:w="625" w:type="pct"/>
          </w:tcPr>
          <w:p w14:paraId="51EAB283"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$266,000</w:t>
            </w:r>
          </w:p>
        </w:tc>
        <w:tc>
          <w:tcPr>
            <w:tcW w:w="1250" w:type="pct"/>
          </w:tcPr>
          <w:p w14:paraId="33CF2282" w14:textId="1C0B0127" w:rsidR="009F661F" w:rsidRPr="004C5271" w:rsidRDefault="00524624" w:rsidP="0060388D">
            <w:pPr>
              <w:spacing w:beforeLines="40" w:before="96" w:afterLines="40" w:after="96"/>
              <w:rPr>
                <w:rFonts w:asciiTheme="majorBidi" w:hAnsiTheme="majorBidi" w:cstheme="majorBidi"/>
                <w:sz w:val="20"/>
                <w:szCs w:val="20"/>
              </w:rPr>
            </w:pP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 xml:space="preserve">In May 2015 the eldest child, Susan Jones, who was an executor, had been sent by the solicitor for the estate a transfer form to be signed by her to facilitate the transfer of the farm to Brodi Nicholas. After a number of questions under cross-examination she eventually conceded that she had received the transfer form in May 2015. By the time of the hearing in September 2016 she had still not signed and returned the form. If she had signed and returned the form promptly the farm would have been transferred to Brodi Nicholas well before her three siblings had brought their claims </w:t>
            </w:r>
            <w:r w:rsidR="009F661F" w:rsidRPr="004C5271">
              <w:rPr>
                <w:rFonts w:asciiTheme="majorBidi" w:hAnsiTheme="majorBidi" w:cstheme="majorBidi"/>
                <w:color w:val="333333"/>
                <w:sz w:val="20"/>
                <w:szCs w:val="20"/>
              </w:rPr>
              <w:lastRenderedPageBreak/>
              <w:t>and so there would have been no prospect of disturbing the bequest of the farm.</w:t>
            </w:r>
            <w:r w:rsidRPr="004C5271">
              <w:rPr>
                <w:rFonts w:asciiTheme="majorBidi" w:hAnsiTheme="majorBidi" w:cstheme="majorBidi"/>
                <w:color w:val="333333"/>
                <w:sz w:val="20"/>
                <w:szCs w:val="20"/>
              </w:rPr>
              <w:t>’</w:t>
            </w:r>
            <w:r w:rsidR="009F661F" w:rsidRPr="004C5271">
              <w:rPr>
                <w:rStyle w:val="FootnoteReference"/>
                <w:rFonts w:asciiTheme="majorBidi" w:hAnsiTheme="majorBidi" w:cstheme="majorBidi"/>
                <w:color w:val="333333"/>
                <w:szCs w:val="20"/>
              </w:rPr>
              <w:footnoteReference w:id="583"/>
            </w:r>
          </w:p>
        </w:tc>
        <w:tc>
          <w:tcPr>
            <w:tcW w:w="940" w:type="pct"/>
          </w:tcPr>
          <w:p w14:paraId="2F80AED8" w14:textId="4AFEF5B2"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lastRenderedPageBreak/>
              <w:t>NO</w:t>
            </w:r>
            <w:r w:rsidR="002537F4" w:rsidRPr="004C5271">
              <w:rPr>
                <w:rFonts w:asciiTheme="majorBidi" w:hAnsiTheme="majorBidi" w:cstheme="majorBidi"/>
                <w:sz w:val="20"/>
                <w:szCs w:val="20"/>
              </w:rPr>
              <w:t xml:space="preserve"> – </w:t>
            </w:r>
            <w:r w:rsidRPr="004C5271">
              <w:rPr>
                <w:rFonts w:asciiTheme="majorBidi" w:hAnsiTheme="majorBidi" w:cstheme="majorBidi"/>
                <w:sz w:val="20"/>
                <w:szCs w:val="20"/>
              </w:rPr>
              <w:t>Claim made out of time and extension not granted.</w:t>
            </w:r>
          </w:p>
        </w:tc>
      </w:tr>
      <w:tr w:rsidR="0039402B" w:rsidRPr="004C5271" w14:paraId="5D1B9177" w14:textId="77777777" w:rsidTr="0039402B">
        <w:trPr>
          <w:trHeight w:val="384"/>
        </w:trPr>
        <w:tc>
          <w:tcPr>
            <w:tcW w:w="175" w:type="pct"/>
          </w:tcPr>
          <w:p w14:paraId="4ACE327D"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t>4</w:t>
            </w:r>
          </w:p>
        </w:tc>
        <w:tc>
          <w:tcPr>
            <w:tcW w:w="646" w:type="pct"/>
          </w:tcPr>
          <w:p w14:paraId="6373CA09" w14:textId="77777777" w:rsidR="009F661F" w:rsidRPr="004C5271" w:rsidRDefault="009F661F" w:rsidP="0060388D">
            <w:pPr>
              <w:spacing w:beforeLines="40" w:before="96" w:afterLines="40" w:after="96"/>
              <w:rPr>
                <w:rFonts w:asciiTheme="majorBidi" w:hAnsiTheme="majorBidi" w:cstheme="majorBidi"/>
                <w:sz w:val="20"/>
                <w:szCs w:val="20"/>
              </w:rPr>
            </w:pPr>
            <w:bookmarkStart w:id="228" w:name="_Hlk5013413"/>
            <w:r w:rsidRPr="004C5271">
              <w:rPr>
                <w:rFonts w:asciiTheme="majorBidi" w:hAnsiTheme="majorBidi" w:cstheme="majorBidi"/>
                <w:i/>
                <w:iCs/>
                <w:color w:val="333333"/>
                <w:spacing w:val="-9"/>
                <w:sz w:val="20"/>
                <w:szCs w:val="20"/>
              </w:rPr>
              <w:t>Thorne v The Public Trustee</w:t>
            </w:r>
            <w:r w:rsidRPr="004C5271">
              <w:rPr>
                <w:rFonts w:asciiTheme="majorBidi" w:hAnsiTheme="majorBidi" w:cstheme="majorBidi"/>
                <w:color w:val="333333"/>
                <w:spacing w:val="-9"/>
                <w:sz w:val="20"/>
                <w:szCs w:val="20"/>
              </w:rPr>
              <w:t xml:space="preserve"> [2015] TASSC 56</w:t>
            </w:r>
            <w:bookmarkEnd w:id="228"/>
          </w:p>
        </w:tc>
        <w:tc>
          <w:tcPr>
            <w:tcW w:w="552" w:type="pct"/>
          </w:tcPr>
          <w:p w14:paraId="6C1AB94C"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25 November 2015</w:t>
            </w:r>
          </w:p>
        </w:tc>
        <w:tc>
          <w:tcPr>
            <w:tcW w:w="374" w:type="pct"/>
          </w:tcPr>
          <w:p w14:paraId="58438661"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Holt AsJ</w:t>
            </w:r>
          </w:p>
        </w:tc>
        <w:tc>
          <w:tcPr>
            <w:tcW w:w="438" w:type="pct"/>
          </w:tcPr>
          <w:p w14:paraId="31871520"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daughter</w:t>
            </w:r>
          </w:p>
        </w:tc>
        <w:tc>
          <w:tcPr>
            <w:tcW w:w="625" w:type="pct"/>
          </w:tcPr>
          <w:p w14:paraId="264236F5"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Mid $300,000s</w:t>
            </w:r>
          </w:p>
        </w:tc>
        <w:tc>
          <w:tcPr>
            <w:tcW w:w="1250" w:type="pct"/>
          </w:tcPr>
          <w:p w14:paraId="55430FAC"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59E5B9F3" w14:textId="2F2BEF9B"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NO</w:t>
            </w:r>
          </w:p>
        </w:tc>
      </w:tr>
      <w:tr w:rsidR="0039402B" w:rsidRPr="004C5271" w14:paraId="40DF7123" w14:textId="77777777" w:rsidTr="0039402B">
        <w:trPr>
          <w:trHeight w:val="384"/>
        </w:trPr>
        <w:tc>
          <w:tcPr>
            <w:tcW w:w="175" w:type="pct"/>
          </w:tcPr>
          <w:p w14:paraId="05A87B8B"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t>5</w:t>
            </w:r>
          </w:p>
        </w:tc>
        <w:tc>
          <w:tcPr>
            <w:tcW w:w="646" w:type="pct"/>
          </w:tcPr>
          <w:p w14:paraId="2B9839E5"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i/>
                <w:iCs/>
                <w:color w:val="333333"/>
                <w:spacing w:val="-9"/>
                <w:sz w:val="20"/>
                <w:szCs w:val="20"/>
              </w:rPr>
              <w:t>How v How</w:t>
            </w:r>
            <w:r w:rsidRPr="004C5271">
              <w:rPr>
                <w:rFonts w:asciiTheme="majorBidi" w:hAnsiTheme="majorBidi" w:cstheme="majorBidi"/>
                <w:color w:val="333333"/>
                <w:spacing w:val="-9"/>
                <w:sz w:val="20"/>
                <w:szCs w:val="20"/>
              </w:rPr>
              <w:t xml:space="preserve"> [2015] TASSC 4</w:t>
            </w:r>
          </w:p>
        </w:tc>
        <w:tc>
          <w:tcPr>
            <w:tcW w:w="552" w:type="pct"/>
          </w:tcPr>
          <w:p w14:paraId="09F1DB17"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17 February 2015</w:t>
            </w:r>
          </w:p>
        </w:tc>
        <w:tc>
          <w:tcPr>
            <w:tcW w:w="374" w:type="pct"/>
          </w:tcPr>
          <w:p w14:paraId="1E6EAD1E"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Pearce J</w:t>
            </w:r>
          </w:p>
        </w:tc>
        <w:tc>
          <w:tcPr>
            <w:tcW w:w="438" w:type="pct"/>
          </w:tcPr>
          <w:p w14:paraId="16F40E60"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son</w:t>
            </w:r>
          </w:p>
        </w:tc>
        <w:tc>
          <w:tcPr>
            <w:tcW w:w="625" w:type="pct"/>
          </w:tcPr>
          <w:p w14:paraId="2BD82E60"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$260,000</w:t>
            </w:r>
          </w:p>
        </w:tc>
        <w:tc>
          <w:tcPr>
            <w:tcW w:w="1250" w:type="pct"/>
          </w:tcPr>
          <w:p w14:paraId="1F77E6E1"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3346DED5" w14:textId="4393E8DF"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NO</w:t>
            </w:r>
          </w:p>
        </w:tc>
      </w:tr>
      <w:tr w:rsidR="0039402B" w:rsidRPr="004C5271" w14:paraId="0356D283" w14:textId="77777777" w:rsidTr="0039402B">
        <w:trPr>
          <w:trHeight w:val="399"/>
        </w:trPr>
        <w:tc>
          <w:tcPr>
            <w:tcW w:w="175" w:type="pct"/>
          </w:tcPr>
          <w:p w14:paraId="57042ACC"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t>6</w:t>
            </w:r>
          </w:p>
        </w:tc>
        <w:tc>
          <w:tcPr>
            <w:tcW w:w="646" w:type="pct"/>
          </w:tcPr>
          <w:p w14:paraId="55EAC134"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i/>
                <w:iCs/>
                <w:color w:val="333333"/>
                <w:spacing w:val="-9"/>
                <w:sz w:val="20"/>
                <w:szCs w:val="20"/>
              </w:rPr>
              <w:t>Rodgers v Tasmanian Perpetual Trustees Limited</w:t>
            </w:r>
            <w:r w:rsidRPr="004C5271">
              <w:rPr>
                <w:rFonts w:asciiTheme="majorBidi" w:hAnsiTheme="majorBidi" w:cstheme="majorBidi"/>
                <w:color w:val="333333"/>
                <w:spacing w:val="-9"/>
                <w:sz w:val="20"/>
                <w:szCs w:val="20"/>
              </w:rPr>
              <w:t xml:space="preserve"> [2013] TASSC 73</w:t>
            </w:r>
          </w:p>
        </w:tc>
        <w:tc>
          <w:tcPr>
            <w:tcW w:w="552" w:type="pct"/>
          </w:tcPr>
          <w:p w14:paraId="2A02D3B7"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6 December 2013</w:t>
            </w:r>
          </w:p>
        </w:tc>
        <w:tc>
          <w:tcPr>
            <w:tcW w:w="374" w:type="pct"/>
          </w:tcPr>
          <w:p w14:paraId="4980D591"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Holt AsJ</w:t>
            </w:r>
          </w:p>
        </w:tc>
        <w:tc>
          <w:tcPr>
            <w:tcW w:w="438" w:type="pct"/>
          </w:tcPr>
          <w:p w14:paraId="6E8DFD74"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daughter</w:t>
            </w:r>
          </w:p>
        </w:tc>
        <w:tc>
          <w:tcPr>
            <w:tcW w:w="625" w:type="pct"/>
          </w:tcPr>
          <w:p w14:paraId="58414CEA"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$316,000</w:t>
            </w:r>
          </w:p>
        </w:tc>
        <w:tc>
          <w:tcPr>
            <w:tcW w:w="1250" w:type="pct"/>
          </w:tcPr>
          <w:p w14:paraId="5C309DEC"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5524E44A" w14:textId="3579CF2C"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YES</w:t>
            </w:r>
            <w:r w:rsidR="002537F4" w:rsidRPr="004C5271">
              <w:rPr>
                <w:rFonts w:asciiTheme="majorBidi" w:hAnsiTheme="majorBidi" w:cstheme="majorBidi"/>
                <w:sz w:val="20"/>
                <w:szCs w:val="20"/>
              </w:rPr>
              <w:t xml:space="preserve"> – </w:t>
            </w:r>
            <w:r w:rsidRPr="004C5271">
              <w:rPr>
                <w:rFonts w:asciiTheme="majorBidi" w:hAnsiTheme="majorBidi" w:cstheme="majorBidi"/>
                <w:sz w:val="20"/>
                <w:szCs w:val="20"/>
              </w:rPr>
              <w:t>$50,000</w:t>
            </w:r>
          </w:p>
        </w:tc>
      </w:tr>
      <w:tr w:rsidR="0039402B" w:rsidRPr="004C5271" w14:paraId="49F8327C" w14:textId="77777777" w:rsidTr="0039402B">
        <w:trPr>
          <w:trHeight w:val="384"/>
        </w:trPr>
        <w:tc>
          <w:tcPr>
            <w:tcW w:w="175" w:type="pct"/>
          </w:tcPr>
          <w:p w14:paraId="34D6A715" w14:textId="77777777" w:rsidR="009F661F" w:rsidRPr="004C5271" w:rsidRDefault="009F661F" w:rsidP="0060388D">
            <w:pPr>
              <w:spacing w:beforeLines="40" w:before="96" w:afterLines="40" w:after="96"/>
              <w:rPr>
                <w:rFonts w:asciiTheme="majorBidi" w:hAnsiTheme="majorBidi" w:cstheme="majorBidi"/>
                <w:b/>
                <w:bCs/>
                <w:color w:val="333333"/>
                <w:sz w:val="20"/>
                <w:szCs w:val="20"/>
              </w:rPr>
            </w:pPr>
            <w:r w:rsidRPr="004C5271">
              <w:rPr>
                <w:rFonts w:asciiTheme="majorBidi" w:hAnsiTheme="majorBidi" w:cstheme="majorBidi"/>
                <w:b/>
                <w:bCs/>
                <w:color w:val="333333"/>
                <w:sz w:val="20"/>
                <w:szCs w:val="20"/>
              </w:rPr>
              <w:t>7</w:t>
            </w:r>
          </w:p>
        </w:tc>
        <w:tc>
          <w:tcPr>
            <w:tcW w:w="646" w:type="pct"/>
          </w:tcPr>
          <w:p w14:paraId="29D4B303" w14:textId="42840481"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i/>
                <w:iCs/>
                <w:color w:val="333333"/>
                <w:sz w:val="20"/>
                <w:szCs w:val="20"/>
              </w:rPr>
              <w:t xml:space="preserve">Koukias v Koukias </w:t>
            </w:r>
            <w:hyperlink r:id="rId54" w:tooltip="View Case" w:history="1">
              <w:r w:rsidRPr="004C5271">
                <w:rPr>
                  <w:rStyle w:val="Hyperlink"/>
                  <w:rFonts w:asciiTheme="majorBidi" w:hAnsiTheme="majorBidi" w:cstheme="majorBidi"/>
                  <w:color w:val="auto"/>
                  <w:sz w:val="20"/>
                  <w:szCs w:val="20"/>
                  <w:u w:val="none"/>
                </w:rPr>
                <w:t>[2012] TASSC 85</w:t>
              </w:r>
            </w:hyperlink>
          </w:p>
        </w:tc>
        <w:tc>
          <w:tcPr>
            <w:tcW w:w="552" w:type="pct"/>
          </w:tcPr>
          <w:p w14:paraId="5FE44085"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12 December 2012</w:t>
            </w:r>
          </w:p>
        </w:tc>
        <w:tc>
          <w:tcPr>
            <w:tcW w:w="374" w:type="pct"/>
          </w:tcPr>
          <w:p w14:paraId="528C24A1"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Holt AsJ</w:t>
            </w:r>
          </w:p>
        </w:tc>
        <w:tc>
          <w:tcPr>
            <w:tcW w:w="438" w:type="pct"/>
          </w:tcPr>
          <w:p w14:paraId="6566070F"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daughter</w:t>
            </w:r>
          </w:p>
        </w:tc>
        <w:tc>
          <w:tcPr>
            <w:tcW w:w="625" w:type="pct"/>
          </w:tcPr>
          <w:p w14:paraId="1629AABC"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$140,000</w:t>
            </w:r>
          </w:p>
        </w:tc>
        <w:tc>
          <w:tcPr>
            <w:tcW w:w="1250" w:type="pct"/>
          </w:tcPr>
          <w:p w14:paraId="5787B16E"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0BAEBF93"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NO</w:t>
            </w:r>
          </w:p>
        </w:tc>
      </w:tr>
      <w:tr w:rsidR="0039402B" w:rsidRPr="004C5271" w14:paraId="136084A6" w14:textId="77777777" w:rsidTr="0039402B">
        <w:trPr>
          <w:trHeight w:val="384"/>
        </w:trPr>
        <w:tc>
          <w:tcPr>
            <w:tcW w:w="175" w:type="pct"/>
          </w:tcPr>
          <w:p w14:paraId="51B58ED8"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t>8</w:t>
            </w:r>
          </w:p>
        </w:tc>
        <w:tc>
          <w:tcPr>
            <w:tcW w:w="646" w:type="pct"/>
          </w:tcPr>
          <w:p w14:paraId="3D35DF78" w14:textId="77777777" w:rsidR="009F661F" w:rsidRPr="004C5271" w:rsidRDefault="009F661F" w:rsidP="0060388D">
            <w:pPr>
              <w:spacing w:beforeLines="40" w:before="96" w:afterLines="40" w:after="96"/>
              <w:rPr>
                <w:rFonts w:asciiTheme="majorBidi" w:hAnsiTheme="majorBidi" w:cstheme="majorBidi"/>
                <w:sz w:val="20"/>
                <w:szCs w:val="20"/>
              </w:rPr>
            </w:pPr>
            <w:bookmarkStart w:id="229" w:name="_Hlk5014661"/>
            <w:r w:rsidRPr="004C5271">
              <w:rPr>
                <w:rFonts w:asciiTheme="majorBidi" w:hAnsiTheme="majorBidi" w:cstheme="majorBidi"/>
                <w:i/>
                <w:iCs/>
                <w:color w:val="333333"/>
                <w:spacing w:val="-9"/>
                <w:sz w:val="20"/>
                <w:szCs w:val="20"/>
              </w:rPr>
              <w:t>Trumbull-Ward v Michell and Haley</w:t>
            </w:r>
            <w:r w:rsidRPr="004C5271">
              <w:rPr>
                <w:rFonts w:asciiTheme="majorBidi" w:hAnsiTheme="majorBidi" w:cstheme="majorBidi"/>
                <w:color w:val="333333"/>
                <w:spacing w:val="-9"/>
                <w:sz w:val="20"/>
                <w:szCs w:val="20"/>
              </w:rPr>
              <w:t xml:space="preserve"> [2012] TASSC 67</w:t>
            </w:r>
            <w:bookmarkEnd w:id="229"/>
          </w:p>
        </w:tc>
        <w:tc>
          <w:tcPr>
            <w:tcW w:w="552" w:type="pct"/>
          </w:tcPr>
          <w:p w14:paraId="56CAC0C1"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16 October 2012</w:t>
            </w:r>
          </w:p>
        </w:tc>
        <w:tc>
          <w:tcPr>
            <w:tcW w:w="374" w:type="pct"/>
          </w:tcPr>
          <w:p w14:paraId="3B5194DD"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Holt AsJ</w:t>
            </w:r>
          </w:p>
        </w:tc>
        <w:tc>
          <w:tcPr>
            <w:tcW w:w="438" w:type="pct"/>
          </w:tcPr>
          <w:p w14:paraId="43C8B994"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daughter</w:t>
            </w:r>
          </w:p>
        </w:tc>
        <w:tc>
          <w:tcPr>
            <w:tcW w:w="625" w:type="pct"/>
          </w:tcPr>
          <w:p w14:paraId="06842DB3"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$360,000</w:t>
            </w:r>
          </w:p>
        </w:tc>
        <w:tc>
          <w:tcPr>
            <w:tcW w:w="1250" w:type="pct"/>
          </w:tcPr>
          <w:p w14:paraId="17D9D1B8"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4725E21E" w14:textId="7338A05D"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YES</w:t>
            </w:r>
            <w:r w:rsidR="00AA077E" w:rsidRPr="004C5271">
              <w:rPr>
                <w:rFonts w:asciiTheme="majorBidi" w:hAnsiTheme="majorBidi" w:cstheme="majorBidi"/>
                <w:sz w:val="20"/>
                <w:szCs w:val="20"/>
              </w:rPr>
              <w:t xml:space="preserve"> – </w:t>
            </w:r>
            <w:r w:rsidRPr="004C5271">
              <w:rPr>
                <w:rFonts w:asciiTheme="majorBidi" w:hAnsiTheme="majorBidi" w:cstheme="majorBidi"/>
                <w:sz w:val="20"/>
                <w:szCs w:val="20"/>
              </w:rPr>
              <w:t>20% of estate less $25,000</w:t>
            </w:r>
          </w:p>
        </w:tc>
      </w:tr>
      <w:tr w:rsidR="0039402B" w:rsidRPr="004C5271" w14:paraId="272F8387" w14:textId="77777777" w:rsidTr="0039402B">
        <w:trPr>
          <w:trHeight w:val="384"/>
        </w:trPr>
        <w:tc>
          <w:tcPr>
            <w:tcW w:w="175" w:type="pct"/>
          </w:tcPr>
          <w:p w14:paraId="78CD8F6C"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lastRenderedPageBreak/>
              <w:t>9</w:t>
            </w:r>
          </w:p>
        </w:tc>
        <w:tc>
          <w:tcPr>
            <w:tcW w:w="646" w:type="pct"/>
          </w:tcPr>
          <w:p w14:paraId="01040824" w14:textId="77777777" w:rsidR="009F661F" w:rsidRPr="004C5271" w:rsidRDefault="009F661F" w:rsidP="0060388D">
            <w:pPr>
              <w:spacing w:beforeLines="40" w:before="96" w:afterLines="40" w:after="96"/>
              <w:rPr>
                <w:rFonts w:asciiTheme="majorBidi" w:hAnsiTheme="majorBidi" w:cstheme="majorBidi"/>
                <w:sz w:val="20"/>
                <w:szCs w:val="20"/>
              </w:rPr>
            </w:pPr>
            <w:bookmarkStart w:id="230" w:name="_Hlk5015296"/>
            <w:r w:rsidRPr="004C5271">
              <w:rPr>
                <w:rFonts w:asciiTheme="majorBidi" w:hAnsiTheme="majorBidi" w:cstheme="majorBidi"/>
                <w:i/>
                <w:iCs/>
                <w:color w:val="333333"/>
                <w:spacing w:val="-9"/>
                <w:sz w:val="20"/>
                <w:szCs w:val="20"/>
              </w:rPr>
              <w:t>Doddridge v Badenach</w:t>
            </w:r>
            <w:r w:rsidRPr="004C5271">
              <w:rPr>
                <w:rFonts w:asciiTheme="majorBidi" w:hAnsiTheme="majorBidi" w:cstheme="majorBidi"/>
                <w:color w:val="333333"/>
                <w:spacing w:val="-9"/>
                <w:sz w:val="20"/>
                <w:szCs w:val="20"/>
              </w:rPr>
              <w:t xml:space="preserve"> [2011] TASSC 34</w:t>
            </w:r>
            <w:bookmarkEnd w:id="230"/>
          </w:p>
        </w:tc>
        <w:tc>
          <w:tcPr>
            <w:tcW w:w="552" w:type="pct"/>
          </w:tcPr>
          <w:p w14:paraId="12B901C1"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8 July 2011</w:t>
            </w:r>
          </w:p>
        </w:tc>
        <w:tc>
          <w:tcPr>
            <w:tcW w:w="374" w:type="pct"/>
          </w:tcPr>
          <w:p w14:paraId="5E851730"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Evans J</w:t>
            </w:r>
          </w:p>
        </w:tc>
        <w:tc>
          <w:tcPr>
            <w:tcW w:w="438" w:type="pct"/>
          </w:tcPr>
          <w:p w14:paraId="32D77C1F"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daughter</w:t>
            </w:r>
          </w:p>
        </w:tc>
        <w:tc>
          <w:tcPr>
            <w:tcW w:w="625" w:type="pct"/>
          </w:tcPr>
          <w:p w14:paraId="0FC16DCF"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$612,000</w:t>
            </w:r>
          </w:p>
        </w:tc>
        <w:tc>
          <w:tcPr>
            <w:tcW w:w="1250" w:type="pct"/>
          </w:tcPr>
          <w:p w14:paraId="0A9E48B0"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1CE563B9" w14:textId="32178D5E"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YES</w:t>
            </w:r>
            <w:r w:rsidR="00AA077E" w:rsidRPr="004C5271">
              <w:rPr>
                <w:rFonts w:asciiTheme="majorBidi" w:hAnsiTheme="majorBidi" w:cstheme="majorBidi"/>
                <w:sz w:val="20"/>
                <w:szCs w:val="20"/>
              </w:rPr>
              <w:t xml:space="preserve"> – </w:t>
            </w:r>
            <w:r w:rsidRPr="004C5271">
              <w:rPr>
                <w:rFonts w:asciiTheme="majorBidi" w:hAnsiTheme="majorBidi" w:cstheme="majorBidi"/>
                <w:sz w:val="20"/>
                <w:szCs w:val="20"/>
              </w:rPr>
              <w:t>$200,000</w:t>
            </w:r>
          </w:p>
        </w:tc>
      </w:tr>
      <w:tr w:rsidR="0039402B" w:rsidRPr="004C5271" w14:paraId="13888773" w14:textId="77777777" w:rsidTr="0039402B">
        <w:trPr>
          <w:trHeight w:val="384"/>
        </w:trPr>
        <w:tc>
          <w:tcPr>
            <w:tcW w:w="175" w:type="pct"/>
          </w:tcPr>
          <w:p w14:paraId="64D5AB48"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t>10</w:t>
            </w:r>
          </w:p>
        </w:tc>
        <w:tc>
          <w:tcPr>
            <w:tcW w:w="646" w:type="pct"/>
          </w:tcPr>
          <w:p w14:paraId="7418CFCE"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i/>
                <w:iCs/>
                <w:color w:val="333333"/>
                <w:spacing w:val="-9"/>
                <w:sz w:val="20"/>
                <w:szCs w:val="20"/>
              </w:rPr>
              <w:t>Coulston v Tasmanian Perpetual Trustees</w:t>
            </w:r>
            <w:r w:rsidRPr="004C5271">
              <w:rPr>
                <w:rFonts w:asciiTheme="majorBidi" w:hAnsiTheme="majorBidi" w:cstheme="majorBidi"/>
                <w:color w:val="333333"/>
                <w:spacing w:val="-9"/>
                <w:sz w:val="20"/>
                <w:szCs w:val="20"/>
              </w:rPr>
              <w:t xml:space="preserve"> [2010] TASSC 22</w:t>
            </w:r>
          </w:p>
        </w:tc>
        <w:tc>
          <w:tcPr>
            <w:tcW w:w="552" w:type="pct"/>
          </w:tcPr>
          <w:p w14:paraId="76E90C31"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7 May 2010</w:t>
            </w:r>
          </w:p>
        </w:tc>
        <w:tc>
          <w:tcPr>
            <w:tcW w:w="374" w:type="pct"/>
          </w:tcPr>
          <w:p w14:paraId="6585A577"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Tennent J</w:t>
            </w:r>
          </w:p>
        </w:tc>
        <w:tc>
          <w:tcPr>
            <w:tcW w:w="438" w:type="pct"/>
          </w:tcPr>
          <w:p w14:paraId="5329B533"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son</w:t>
            </w:r>
          </w:p>
        </w:tc>
        <w:tc>
          <w:tcPr>
            <w:tcW w:w="625" w:type="pct"/>
          </w:tcPr>
          <w:p w14:paraId="02193FBF"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$220,000</w:t>
            </w:r>
          </w:p>
        </w:tc>
        <w:tc>
          <w:tcPr>
            <w:tcW w:w="1250" w:type="pct"/>
          </w:tcPr>
          <w:p w14:paraId="1DAF2A2D"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7198F1FE" w14:textId="7788C63D"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YES</w:t>
            </w:r>
            <w:r w:rsidR="00AA077E" w:rsidRPr="004C5271">
              <w:rPr>
                <w:rFonts w:asciiTheme="majorBidi" w:hAnsiTheme="majorBidi" w:cstheme="majorBidi"/>
                <w:sz w:val="20"/>
                <w:szCs w:val="20"/>
              </w:rPr>
              <w:t xml:space="preserve"> – </w:t>
            </w:r>
            <w:r w:rsidRPr="004C5271">
              <w:rPr>
                <w:rFonts w:asciiTheme="majorBidi" w:hAnsiTheme="majorBidi" w:cstheme="majorBidi"/>
                <w:sz w:val="20"/>
                <w:szCs w:val="20"/>
              </w:rPr>
              <w:t>$25,000</w:t>
            </w:r>
          </w:p>
        </w:tc>
      </w:tr>
      <w:tr w:rsidR="0039402B" w:rsidRPr="004C5271" w14:paraId="07A479B7" w14:textId="77777777" w:rsidTr="0039402B">
        <w:trPr>
          <w:trHeight w:val="384"/>
        </w:trPr>
        <w:tc>
          <w:tcPr>
            <w:tcW w:w="175" w:type="pct"/>
          </w:tcPr>
          <w:p w14:paraId="77C10916" w14:textId="77777777" w:rsidR="009F661F" w:rsidRPr="004C5271" w:rsidRDefault="009F661F" w:rsidP="0060388D">
            <w:pPr>
              <w:spacing w:beforeLines="40" w:before="96" w:afterLines="40" w:after="96"/>
              <w:rPr>
                <w:rFonts w:asciiTheme="majorBidi" w:hAnsiTheme="majorBidi" w:cstheme="majorBidi"/>
                <w:b/>
                <w:bCs/>
                <w:color w:val="333333"/>
                <w:sz w:val="20"/>
                <w:szCs w:val="20"/>
              </w:rPr>
            </w:pPr>
            <w:r w:rsidRPr="004C5271">
              <w:rPr>
                <w:rFonts w:asciiTheme="majorBidi" w:hAnsiTheme="majorBidi" w:cstheme="majorBidi"/>
                <w:b/>
                <w:bCs/>
                <w:color w:val="333333"/>
                <w:sz w:val="20"/>
                <w:szCs w:val="20"/>
              </w:rPr>
              <w:t>11</w:t>
            </w:r>
          </w:p>
        </w:tc>
        <w:tc>
          <w:tcPr>
            <w:tcW w:w="646" w:type="pct"/>
          </w:tcPr>
          <w:p w14:paraId="438687AE" w14:textId="4CD3A401"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i/>
                <w:iCs/>
                <w:color w:val="333333"/>
                <w:sz w:val="20"/>
                <w:szCs w:val="20"/>
              </w:rPr>
              <w:t xml:space="preserve">Contencin v Tasmanian Perpetual Trustees Ltd </w:t>
            </w:r>
            <w:r w:rsidRPr="004C5271">
              <w:rPr>
                <w:rFonts w:asciiTheme="majorBidi" w:hAnsiTheme="majorBidi" w:cstheme="majorBidi"/>
                <w:sz w:val="20"/>
                <w:szCs w:val="20"/>
              </w:rPr>
              <w:t>[2010] TASSC 3</w:t>
            </w:r>
          </w:p>
        </w:tc>
        <w:tc>
          <w:tcPr>
            <w:tcW w:w="552" w:type="pct"/>
          </w:tcPr>
          <w:p w14:paraId="1B0FED43"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24 February 2010</w:t>
            </w:r>
          </w:p>
        </w:tc>
        <w:tc>
          <w:tcPr>
            <w:tcW w:w="374" w:type="pct"/>
          </w:tcPr>
          <w:p w14:paraId="4D0DEF04"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Holt AsJ</w:t>
            </w:r>
          </w:p>
        </w:tc>
        <w:tc>
          <w:tcPr>
            <w:tcW w:w="438" w:type="pct"/>
          </w:tcPr>
          <w:p w14:paraId="2A9757D4"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Two adult children</w:t>
            </w:r>
          </w:p>
        </w:tc>
        <w:tc>
          <w:tcPr>
            <w:tcW w:w="625" w:type="pct"/>
          </w:tcPr>
          <w:p w14:paraId="0B111EA9"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Undisclosed</w:t>
            </w:r>
          </w:p>
        </w:tc>
        <w:tc>
          <w:tcPr>
            <w:tcW w:w="1250" w:type="pct"/>
          </w:tcPr>
          <w:p w14:paraId="2AD1E72D"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627A448B" w14:textId="1D24D2BE"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color w:val="333333"/>
                <w:sz w:val="20"/>
                <w:szCs w:val="20"/>
              </w:rPr>
              <w:t>YES</w:t>
            </w:r>
            <w:r w:rsidR="00AA077E" w:rsidRPr="004C5271">
              <w:rPr>
                <w:rFonts w:asciiTheme="majorBidi" w:hAnsiTheme="majorBidi" w:cstheme="majorBidi"/>
                <w:color w:val="333333"/>
                <w:sz w:val="20"/>
                <w:szCs w:val="20"/>
              </w:rPr>
              <w:t xml:space="preserve"> – </w:t>
            </w:r>
            <w:r w:rsidRPr="004C5271">
              <w:rPr>
                <w:rFonts w:asciiTheme="majorBidi" w:hAnsiTheme="majorBidi" w:cstheme="majorBidi"/>
                <w:color w:val="333333"/>
                <w:sz w:val="20"/>
                <w:szCs w:val="20"/>
              </w:rPr>
              <w:t>son $120,000, daughter $240,000</w:t>
            </w:r>
          </w:p>
        </w:tc>
      </w:tr>
      <w:tr w:rsidR="0039402B" w:rsidRPr="004C5271" w14:paraId="4C5CCB3F" w14:textId="77777777" w:rsidTr="0039402B">
        <w:trPr>
          <w:trHeight w:val="399"/>
        </w:trPr>
        <w:tc>
          <w:tcPr>
            <w:tcW w:w="175" w:type="pct"/>
          </w:tcPr>
          <w:p w14:paraId="4BDE2690"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t>12</w:t>
            </w:r>
          </w:p>
        </w:tc>
        <w:tc>
          <w:tcPr>
            <w:tcW w:w="646" w:type="pct"/>
          </w:tcPr>
          <w:p w14:paraId="247A4E49"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i/>
                <w:iCs/>
                <w:color w:val="333333"/>
                <w:spacing w:val="-9"/>
                <w:sz w:val="20"/>
                <w:szCs w:val="20"/>
              </w:rPr>
              <w:t>Dodge v Blissenden</w:t>
            </w:r>
            <w:r w:rsidRPr="004C5271">
              <w:rPr>
                <w:rFonts w:asciiTheme="majorBidi" w:hAnsiTheme="majorBidi" w:cstheme="majorBidi"/>
                <w:color w:val="333333"/>
                <w:spacing w:val="-9"/>
                <w:sz w:val="20"/>
                <w:szCs w:val="20"/>
              </w:rPr>
              <w:t xml:space="preserve"> [2009] TASSC 116</w:t>
            </w:r>
          </w:p>
        </w:tc>
        <w:tc>
          <w:tcPr>
            <w:tcW w:w="552" w:type="pct"/>
          </w:tcPr>
          <w:p w14:paraId="031A168C"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18 December 2009</w:t>
            </w:r>
          </w:p>
        </w:tc>
        <w:tc>
          <w:tcPr>
            <w:tcW w:w="374" w:type="pct"/>
          </w:tcPr>
          <w:p w14:paraId="1ADFAC0A"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Blow J</w:t>
            </w:r>
          </w:p>
        </w:tc>
        <w:tc>
          <w:tcPr>
            <w:tcW w:w="438" w:type="pct"/>
          </w:tcPr>
          <w:p w14:paraId="11D7B170"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Adult son</w:t>
            </w:r>
          </w:p>
        </w:tc>
        <w:tc>
          <w:tcPr>
            <w:tcW w:w="625" w:type="pct"/>
          </w:tcPr>
          <w:p w14:paraId="1ABEC9D7" w14:textId="4E0CDE08" w:rsidR="009F661F" w:rsidRPr="004C5271" w:rsidRDefault="00524624" w:rsidP="0060388D">
            <w:pPr>
              <w:spacing w:beforeLines="40" w:before="96" w:afterLines="40" w:after="96"/>
              <w:rPr>
                <w:rFonts w:asciiTheme="majorBidi" w:hAnsiTheme="majorBidi" w:cstheme="majorBidi"/>
                <w:sz w:val="20"/>
                <w:szCs w:val="20"/>
              </w:rPr>
            </w:pPr>
            <w:r w:rsidRPr="004C5271">
              <w:rPr>
                <w:rFonts w:asciiTheme="majorBidi" w:hAnsiTheme="majorBidi" w:cstheme="majorBidi"/>
                <w:color w:val="333333"/>
                <w:sz w:val="20"/>
                <w:szCs w:val="20"/>
              </w:rPr>
              <w:t>A</w:t>
            </w:r>
            <w:r w:rsidR="009F661F" w:rsidRPr="004C5271">
              <w:rPr>
                <w:rFonts w:asciiTheme="majorBidi" w:hAnsiTheme="majorBidi" w:cstheme="majorBidi"/>
                <w:color w:val="333333"/>
                <w:sz w:val="20"/>
                <w:szCs w:val="20"/>
              </w:rPr>
              <w:t>n unencumbered house in Moonah, its contents, a 1997 motor vehicle, and a bank account with $8,379.91 in it</w:t>
            </w:r>
          </w:p>
        </w:tc>
        <w:tc>
          <w:tcPr>
            <w:tcW w:w="1250" w:type="pct"/>
          </w:tcPr>
          <w:p w14:paraId="245200C5" w14:textId="77777777" w:rsidR="009F661F" w:rsidRPr="004C5271" w:rsidRDefault="009F661F" w:rsidP="0060388D">
            <w:pPr>
              <w:spacing w:beforeLines="40" w:before="96" w:afterLines="40" w:after="96"/>
              <w:rPr>
                <w:rFonts w:asciiTheme="majorBidi" w:hAnsiTheme="majorBidi" w:cstheme="majorBidi"/>
                <w:sz w:val="20"/>
                <w:szCs w:val="20"/>
              </w:rPr>
            </w:pPr>
          </w:p>
        </w:tc>
        <w:tc>
          <w:tcPr>
            <w:tcW w:w="940" w:type="pct"/>
          </w:tcPr>
          <w:p w14:paraId="78F439DD"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NO</w:t>
            </w:r>
          </w:p>
        </w:tc>
      </w:tr>
      <w:tr w:rsidR="0039402B" w:rsidRPr="004C5271" w14:paraId="1B229F83" w14:textId="77777777" w:rsidTr="0039402B">
        <w:trPr>
          <w:trHeight w:val="424"/>
        </w:trPr>
        <w:tc>
          <w:tcPr>
            <w:tcW w:w="175" w:type="pct"/>
          </w:tcPr>
          <w:p w14:paraId="1EEE0263" w14:textId="77777777" w:rsidR="009F661F" w:rsidRPr="004C5271" w:rsidRDefault="009F661F" w:rsidP="0060388D">
            <w:pPr>
              <w:spacing w:beforeLines="40" w:before="96" w:afterLines="40" w:after="96"/>
              <w:rPr>
                <w:rFonts w:asciiTheme="majorBidi" w:hAnsiTheme="majorBidi" w:cstheme="majorBidi"/>
                <w:b/>
                <w:bCs/>
                <w:color w:val="333333"/>
                <w:spacing w:val="-9"/>
                <w:sz w:val="20"/>
                <w:szCs w:val="20"/>
              </w:rPr>
            </w:pPr>
            <w:r w:rsidRPr="004C5271">
              <w:rPr>
                <w:rFonts w:asciiTheme="majorBidi" w:hAnsiTheme="majorBidi" w:cstheme="majorBidi"/>
                <w:b/>
                <w:bCs/>
                <w:color w:val="333333"/>
                <w:spacing w:val="-9"/>
                <w:sz w:val="20"/>
                <w:szCs w:val="20"/>
              </w:rPr>
              <w:lastRenderedPageBreak/>
              <w:t>13</w:t>
            </w:r>
          </w:p>
        </w:tc>
        <w:tc>
          <w:tcPr>
            <w:tcW w:w="646" w:type="pct"/>
          </w:tcPr>
          <w:p w14:paraId="2BDE42EB" w14:textId="77777777" w:rsidR="009F661F" w:rsidRPr="004C5271" w:rsidRDefault="009F661F" w:rsidP="0060388D">
            <w:pPr>
              <w:spacing w:beforeLines="40" w:before="96" w:afterLines="40" w:after="96"/>
              <w:rPr>
                <w:rFonts w:asciiTheme="majorBidi" w:hAnsiTheme="majorBidi" w:cstheme="majorBidi"/>
                <w:sz w:val="20"/>
                <w:szCs w:val="20"/>
              </w:rPr>
            </w:pPr>
            <w:bookmarkStart w:id="231" w:name="_Hlk5020243"/>
            <w:r w:rsidRPr="004C5271">
              <w:rPr>
                <w:rFonts w:asciiTheme="majorBidi" w:hAnsiTheme="majorBidi" w:cstheme="majorBidi"/>
                <w:i/>
                <w:iCs/>
                <w:color w:val="333333"/>
                <w:spacing w:val="-9"/>
                <w:sz w:val="20"/>
                <w:szCs w:val="20"/>
              </w:rPr>
              <w:t>Tapp v The Public Trustee</w:t>
            </w:r>
            <w:r w:rsidRPr="004C5271">
              <w:rPr>
                <w:rFonts w:asciiTheme="majorBidi" w:hAnsiTheme="majorBidi" w:cstheme="majorBidi"/>
                <w:color w:val="333333"/>
                <w:spacing w:val="-9"/>
                <w:sz w:val="20"/>
                <w:szCs w:val="20"/>
              </w:rPr>
              <w:t xml:space="preserve"> [2009] TASSC 54</w:t>
            </w:r>
            <w:bookmarkEnd w:id="231"/>
          </w:p>
        </w:tc>
        <w:tc>
          <w:tcPr>
            <w:tcW w:w="552" w:type="pct"/>
          </w:tcPr>
          <w:p w14:paraId="08B9F8A2"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31 July 2009</w:t>
            </w:r>
          </w:p>
        </w:tc>
        <w:tc>
          <w:tcPr>
            <w:tcW w:w="374" w:type="pct"/>
          </w:tcPr>
          <w:p w14:paraId="6184085C"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Tennent J</w:t>
            </w:r>
          </w:p>
        </w:tc>
        <w:tc>
          <w:tcPr>
            <w:tcW w:w="438" w:type="pct"/>
          </w:tcPr>
          <w:p w14:paraId="2141A364"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Widower</w:t>
            </w:r>
          </w:p>
        </w:tc>
        <w:tc>
          <w:tcPr>
            <w:tcW w:w="625" w:type="pct"/>
          </w:tcPr>
          <w:p w14:paraId="6E25F15E" w14:textId="77777777"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$99,000</w:t>
            </w:r>
          </w:p>
        </w:tc>
        <w:tc>
          <w:tcPr>
            <w:tcW w:w="1250" w:type="pct"/>
          </w:tcPr>
          <w:p w14:paraId="40A98C46" w14:textId="18E1293D" w:rsidR="009F661F" w:rsidRPr="004C5271" w:rsidRDefault="00524624" w:rsidP="0060388D">
            <w:pPr>
              <w:spacing w:beforeLines="40" w:before="96" w:afterLines="40" w:after="96"/>
              <w:rPr>
                <w:rFonts w:asciiTheme="majorBidi" w:hAnsiTheme="majorBidi" w:cstheme="majorBidi"/>
                <w:color w:val="333333"/>
                <w:sz w:val="20"/>
                <w:szCs w:val="20"/>
              </w:rPr>
            </w:pP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A few days prior to her death, her son, Laife Thurstans, withdrew $36,500 from those funds, thus removing those funds from the control of the deceased</w:t>
            </w: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s will. Mr Thurstans told the Court he removed those funds at his mother</w:t>
            </w: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s request, and that he gave $10,000 to each of his siblings, Donna and Craig, kept $10,000 for himself and used the balance to buy things and pay for things for his nephew Ben.</w:t>
            </w:r>
            <w:r w:rsidRPr="004C5271">
              <w:rPr>
                <w:rFonts w:asciiTheme="majorBidi" w:hAnsiTheme="majorBidi" w:cstheme="majorBidi"/>
                <w:color w:val="333333"/>
                <w:sz w:val="20"/>
                <w:szCs w:val="20"/>
              </w:rPr>
              <w:t>’</w:t>
            </w:r>
            <w:r w:rsidR="009F661F" w:rsidRPr="004C5271">
              <w:rPr>
                <w:rStyle w:val="FootnoteReference"/>
                <w:rFonts w:asciiTheme="majorBidi" w:hAnsiTheme="majorBidi" w:cstheme="majorBidi"/>
                <w:color w:val="333333"/>
                <w:szCs w:val="20"/>
              </w:rPr>
              <w:footnoteReference w:id="584"/>
            </w:r>
          </w:p>
          <w:p w14:paraId="43772D46" w14:textId="23B895C3" w:rsidR="009F661F" w:rsidRPr="004C5271" w:rsidRDefault="00524624" w:rsidP="0060388D">
            <w:pPr>
              <w:spacing w:beforeLines="40" w:before="96" w:afterLines="40" w:after="96"/>
              <w:rPr>
                <w:rFonts w:asciiTheme="majorBidi" w:hAnsiTheme="majorBidi" w:cstheme="majorBidi"/>
                <w:sz w:val="20"/>
                <w:szCs w:val="20"/>
              </w:rPr>
            </w:pPr>
            <w:r w:rsidRPr="004C5271">
              <w:rPr>
                <w:rFonts w:asciiTheme="majorBidi" w:hAnsiTheme="majorBidi" w:cstheme="majorBidi"/>
                <w:color w:val="333333"/>
                <w:sz w:val="20"/>
                <w:szCs w:val="20"/>
              </w:rPr>
              <w:t>‘</w:t>
            </w:r>
            <w:r w:rsidR="009F661F" w:rsidRPr="004C5271">
              <w:rPr>
                <w:rFonts w:asciiTheme="majorBidi" w:hAnsiTheme="majorBidi" w:cstheme="majorBidi"/>
                <w:color w:val="333333"/>
                <w:sz w:val="20"/>
                <w:szCs w:val="20"/>
              </w:rPr>
              <w:t>The deceased made her will late in 2004. At or around the same time, she arranged for the joint tenancy in respect of the Claremont home title to be severed.</w:t>
            </w:r>
            <w:r w:rsidRPr="004C5271">
              <w:rPr>
                <w:rFonts w:asciiTheme="majorBidi" w:hAnsiTheme="majorBidi" w:cstheme="majorBidi"/>
                <w:color w:val="333333"/>
                <w:sz w:val="20"/>
                <w:szCs w:val="20"/>
              </w:rPr>
              <w:t>’</w:t>
            </w:r>
            <w:r w:rsidR="009F661F" w:rsidRPr="004C5271">
              <w:rPr>
                <w:rStyle w:val="FootnoteReference"/>
                <w:rFonts w:asciiTheme="majorBidi" w:hAnsiTheme="majorBidi" w:cstheme="majorBidi"/>
                <w:color w:val="333333"/>
                <w:szCs w:val="20"/>
              </w:rPr>
              <w:footnoteReference w:id="585"/>
            </w:r>
          </w:p>
        </w:tc>
        <w:tc>
          <w:tcPr>
            <w:tcW w:w="940" w:type="pct"/>
          </w:tcPr>
          <w:p w14:paraId="3D9513BA" w14:textId="73A0D551" w:rsidR="009F661F" w:rsidRPr="004C5271" w:rsidRDefault="009F661F" w:rsidP="0060388D">
            <w:pPr>
              <w:spacing w:beforeLines="40" w:before="96" w:afterLines="40" w:after="96"/>
              <w:rPr>
                <w:rFonts w:asciiTheme="majorBidi" w:hAnsiTheme="majorBidi" w:cstheme="majorBidi"/>
                <w:sz w:val="20"/>
                <w:szCs w:val="20"/>
              </w:rPr>
            </w:pPr>
            <w:r w:rsidRPr="004C5271">
              <w:rPr>
                <w:rFonts w:asciiTheme="majorBidi" w:hAnsiTheme="majorBidi" w:cstheme="majorBidi"/>
                <w:sz w:val="20"/>
                <w:szCs w:val="20"/>
              </w:rPr>
              <w:t>YES</w:t>
            </w:r>
            <w:r w:rsidR="00AA077E" w:rsidRPr="004C5271">
              <w:rPr>
                <w:rFonts w:asciiTheme="majorBidi" w:hAnsiTheme="majorBidi" w:cstheme="majorBidi"/>
                <w:sz w:val="20"/>
                <w:szCs w:val="20"/>
              </w:rPr>
              <w:t xml:space="preserve"> – </w:t>
            </w:r>
            <w:r w:rsidRPr="004C5271">
              <w:rPr>
                <w:rFonts w:asciiTheme="majorBidi" w:hAnsiTheme="majorBidi" w:cstheme="majorBidi"/>
                <w:sz w:val="20"/>
                <w:szCs w:val="20"/>
              </w:rPr>
              <w:t>Three quarters of estate property</w:t>
            </w:r>
          </w:p>
        </w:tc>
      </w:tr>
    </w:tbl>
    <w:p w14:paraId="1A4E2F5F" w14:textId="77777777" w:rsidR="009F661F" w:rsidRPr="004C5271" w:rsidRDefault="009F661F" w:rsidP="009F661F">
      <w:pPr>
        <w:rPr>
          <w:rFonts w:asciiTheme="majorBidi" w:hAnsiTheme="majorBidi" w:cstheme="majorBidi"/>
        </w:rPr>
      </w:pPr>
    </w:p>
    <w:p w14:paraId="65C1B6A7" w14:textId="61402A66" w:rsidR="009F661F" w:rsidRPr="004C5271" w:rsidRDefault="009F661F" w:rsidP="00C0478D">
      <w:pPr>
        <w:pStyle w:val="NumberlessNormalText"/>
        <w:rPr>
          <w:rFonts w:asciiTheme="majorBidi" w:hAnsiTheme="majorBidi" w:cstheme="majorBidi"/>
          <w:lang w:val="en-AU"/>
        </w:rPr>
        <w:sectPr w:rsidR="009F661F" w:rsidRPr="004C5271" w:rsidSect="007A5ED7">
          <w:headerReference w:type="default" r:id="rId55"/>
          <w:pgSz w:w="14232" w:h="9979" w:orient="landscape" w:code="9"/>
          <w:pgMar w:top="1440" w:right="1440" w:bottom="1440" w:left="1440" w:header="709" w:footer="709" w:gutter="0"/>
          <w:cols w:space="708"/>
          <w:titlePg/>
          <w:docGrid w:linePitch="360"/>
        </w:sectPr>
      </w:pPr>
    </w:p>
    <w:p w14:paraId="7309EBF5" w14:textId="47E7D03A" w:rsidR="00EC76F8" w:rsidRPr="004C5271" w:rsidRDefault="00EC76F8" w:rsidP="00AA077E">
      <w:pPr>
        <w:pStyle w:val="NumberlessSectionHeading"/>
        <w:spacing w:before="0"/>
        <w:rPr>
          <w:rFonts w:asciiTheme="majorBidi" w:hAnsiTheme="majorBidi" w:cstheme="majorBidi"/>
        </w:rPr>
      </w:pPr>
      <w:bookmarkStart w:id="232" w:name="_Toc12268976"/>
      <w:r w:rsidRPr="004C5271">
        <w:rPr>
          <w:rFonts w:asciiTheme="majorBidi" w:hAnsiTheme="majorBidi" w:cstheme="majorBidi"/>
        </w:rPr>
        <w:lastRenderedPageBreak/>
        <w:t xml:space="preserve">Appendix </w:t>
      </w:r>
      <w:r w:rsidR="000F7E5B" w:rsidRPr="004C5271">
        <w:rPr>
          <w:rFonts w:asciiTheme="majorBidi" w:hAnsiTheme="majorBidi" w:cstheme="majorBidi"/>
        </w:rPr>
        <w:t>4</w:t>
      </w:r>
      <w:r w:rsidRPr="004C5271">
        <w:rPr>
          <w:rFonts w:asciiTheme="majorBidi" w:hAnsiTheme="majorBidi" w:cstheme="majorBidi"/>
        </w:rPr>
        <w:t>: Reported New South Wales decisions involving potential notional estate April 2018 to April 2019</w:t>
      </w:r>
      <w:bookmarkEnd w:id="232"/>
    </w:p>
    <w:tbl>
      <w:tblPr>
        <w:tblStyle w:val="TableGrid"/>
        <w:tblW w:w="0" w:type="auto"/>
        <w:tblLook w:val="04A0" w:firstRow="1" w:lastRow="0" w:firstColumn="1" w:lastColumn="0" w:noHBand="0" w:noVBand="1"/>
      </w:tblPr>
      <w:tblGrid>
        <w:gridCol w:w="379"/>
        <w:gridCol w:w="3160"/>
        <w:gridCol w:w="1599"/>
        <w:gridCol w:w="1951"/>
      </w:tblGrid>
      <w:tr w:rsidR="00EC76F8" w:rsidRPr="004C5271" w14:paraId="5BF34278" w14:textId="77777777" w:rsidTr="00385F11">
        <w:trPr>
          <w:trHeight w:hRule="exact" w:val="667"/>
        </w:trPr>
        <w:tc>
          <w:tcPr>
            <w:tcW w:w="379" w:type="dxa"/>
            <w:shd w:val="clear" w:color="auto" w:fill="D9D9D9" w:themeFill="background1" w:themeFillShade="D9"/>
            <w:vAlign w:val="center"/>
          </w:tcPr>
          <w:p w14:paraId="4A20F86C" w14:textId="77777777" w:rsidR="00EC76F8" w:rsidRPr="004C5271" w:rsidRDefault="00EC76F8" w:rsidP="00FA44D6">
            <w:pPr>
              <w:spacing w:beforeLines="40" w:before="96" w:afterLines="40" w:after="96"/>
              <w:jc w:val="center"/>
              <w:rPr>
                <w:rFonts w:asciiTheme="majorBidi" w:eastAsia="Times New Roman" w:hAnsiTheme="majorBidi" w:cstheme="majorBidi"/>
                <w:b/>
                <w:bCs/>
                <w:color w:val="333333"/>
                <w:sz w:val="20"/>
                <w:szCs w:val="20"/>
              </w:rPr>
            </w:pPr>
          </w:p>
        </w:tc>
        <w:tc>
          <w:tcPr>
            <w:tcW w:w="3160" w:type="dxa"/>
            <w:shd w:val="clear" w:color="auto" w:fill="D9D9D9" w:themeFill="background1" w:themeFillShade="D9"/>
            <w:vAlign w:val="center"/>
          </w:tcPr>
          <w:p w14:paraId="6BBC52B6" w14:textId="140620B2" w:rsidR="00EC76F8" w:rsidRPr="004C5271" w:rsidRDefault="00EC76F8" w:rsidP="00FA44D6">
            <w:pPr>
              <w:spacing w:beforeLines="40" w:before="96" w:afterLines="40" w:after="96"/>
              <w:jc w:val="center"/>
              <w:rPr>
                <w:rFonts w:asciiTheme="majorBidi" w:eastAsia="Times New Roman" w:hAnsiTheme="majorBidi" w:cstheme="majorBidi"/>
                <w:b/>
                <w:bCs/>
                <w:color w:val="333333"/>
                <w:sz w:val="20"/>
                <w:szCs w:val="20"/>
              </w:rPr>
            </w:pPr>
            <w:r w:rsidRPr="004C5271">
              <w:rPr>
                <w:rFonts w:asciiTheme="majorBidi" w:eastAsia="Times New Roman" w:hAnsiTheme="majorBidi" w:cstheme="majorBidi"/>
                <w:b/>
                <w:bCs/>
                <w:color w:val="333333"/>
                <w:sz w:val="20"/>
                <w:szCs w:val="20"/>
              </w:rPr>
              <w:t>Case Name</w:t>
            </w:r>
          </w:p>
        </w:tc>
        <w:tc>
          <w:tcPr>
            <w:tcW w:w="1599" w:type="dxa"/>
            <w:shd w:val="clear" w:color="auto" w:fill="D9D9D9" w:themeFill="background1" w:themeFillShade="D9"/>
            <w:vAlign w:val="center"/>
          </w:tcPr>
          <w:p w14:paraId="32BE10C5" w14:textId="77777777" w:rsidR="00EC76F8" w:rsidRPr="004C5271" w:rsidRDefault="00EC76F8" w:rsidP="00FA44D6">
            <w:pPr>
              <w:spacing w:beforeLines="40" w:before="96" w:afterLines="40" w:after="96"/>
              <w:jc w:val="center"/>
              <w:rPr>
                <w:rFonts w:asciiTheme="majorBidi" w:eastAsia="Times New Roman" w:hAnsiTheme="majorBidi" w:cstheme="majorBidi"/>
                <w:b/>
                <w:bCs/>
                <w:color w:val="333333"/>
                <w:sz w:val="20"/>
                <w:szCs w:val="20"/>
              </w:rPr>
            </w:pPr>
            <w:r w:rsidRPr="004C5271">
              <w:rPr>
                <w:rFonts w:asciiTheme="majorBidi" w:eastAsia="Times New Roman" w:hAnsiTheme="majorBidi" w:cstheme="majorBidi"/>
                <w:b/>
                <w:bCs/>
                <w:color w:val="333333"/>
                <w:sz w:val="20"/>
                <w:szCs w:val="20"/>
              </w:rPr>
              <w:t>Applicant type</w:t>
            </w:r>
          </w:p>
        </w:tc>
        <w:tc>
          <w:tcPr>
            <w:tcW w:w="1951" w:type="dxa"/>
            <w:shd w:val="clear" w:color="auto" w:fill="D9D9D9" w:themeFill="background1" w:themeFillShade="D9"/>
            <w:vAlign w:val="center"/>
          </w:tcPr>
          <w:p w14:paraId="40962AC3" w14:textId="642EE223" w:rsidR="00EC76F8" w:rsidRPr="004C5271" w:rsidRDefault="00EC76F8" w:rsidP="00FA44D6">
            <w:pPr>
              <w:spacing w:beforeLines="40" w:before="96" w:afterLines="40" w:after="96"/>
              <w:jc w:val="center"/>
              <w:rPr>
                <w:rFonts w:asciiTheme="majorBidi" w:eastAsia="Times New Roman" w:hAnsiTheme="majorBidi" w:cstheme="majorBidi"/>
                <w:b/>
                <w:bCs/>
                <w:color w:val="333333"/>
                <w:sz w:val="20"/>
                <w:szCs w:val="20"/>
              </w:rPr>
            </w:pPr>
            <w:r w:rsidRPr="004C5271">
              <w:rPr>
                <w:rFonts w:asciiTheme="majorBidi" w:eastAsia="Times New Roman" w:hAnsiTheme="majorBidi" w:cstheme="majorBidi"/>
                <w:b/>
                <w:bCs/>
                <w:color w:val="333333"/>
                <w:sz w:val="20"/>
                <w:szCs w:val="20"/>
              </w:rPr>
              <w:t>Successful/not successful</w:t>
            </w:r>
          </w:p>
        </w:tc>
      </w:tr>
      <w:tr w:rsidR="00EC76F8" w:rsidRPr="004C5271" w14:paraId="0B220417" w14:textId="77777777" w:rsidTr="00FA44D6">
        <w:trPr>
          <w:trHeight w:val="1646"/>
        </w:trPr>
        <w:tc>
          <w:tcPr>
            <w:tcW w:w="379" w:type="dxa"/>
          </w:tcPr>
          <w:p w14:paraId="575FA266" w14:textId="3176F00E" w:rsidR="00EC76F8" w:rsidRPr="004C5271" w:rsidRDefault="00EC76F8" w:rsidP="00FA44D6">
            <w:pPr>
              <w:spacing w:beforeLines="40" w:before="96" w:afterLines="40" w:after="96"/>
              <w:jc w:val="center"/>
              <w:rPr>
                <w:rFonts w:asciiTheme="majorBidi" w:hAnsiTheme="majorBidi" w:cstheme="majorBidi"/>
                <w:b/>
                <w:bCs/>
                <w:color w:val="333333"/>
                <w:spacing w:val="-8"/>
                <w:sz w:val="20"/>
                <w:szCs w:val="20"/>
              </w:rPr>
            </w:pPr>
            <w:r w:rsidRPr="004C5271">
              <w:rPr>
                <w:rFonts w:asciiTheme="majorBidi" w:hAnsiTheme="majorBidi" w:cstheme="majorBidi"/>
                <w:b/>
                <w:bCs/>
                <w:color w:val="333333"/>
                <w:spacing w:val="-8"/>
                <w:sz w:val="20"/>
                <w:szCs w:val="20"/>
              </w:rPr>
              <w:t>1</w:t>
            </w:r>
          </w:p>
        </w:tc>
        <w:tc>
          <w:tcPr>
            <w:tcW w:w="3160" w:type="dxa"/>
          </w:tcPr>
          <w:p w14:paraId="1E49E850" w14:textId="7A14D373"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hAnsiTheme="majorBidi" w:cstheme="majorBidi"/>
                <w:i/>
                <w:iCs/>
                <w:color w:val="333333"/>
                <w:spacing w:val="-8"/>
                <w:sz w:val="20"/>
                <w:szCs w:val="20"/>
              </w:rPr>
              <w:t>McDonald v O</w:t>
            </w:r>
            <w:r w:rsidR="00AA077E" w:rsidRPr="004C5271">
              <w:rPr>
                <w:rFonts w:asciiTheme="majorBidi" w:hAnsiTheme="majorBidi" w:cstheme="majorBidi"/>
                <w:i/>
                <w:iCs/>
                <w:color w:val="333333"/>
                <w:spacing w:val="-8"/>
                <w:sz w:val="20"/>
                <w:szCs w:val="20"/>
              </w:rPr>
              <w:t>’</w:t>
            </w:r>
            <w:r w:rsidRPr="004C5271">
              <w:rPr>
                <w:rFonts w:asciiTheme="majorBidi" w:hAnsiTheme="majorBidi" w:cstheme="majorBidi"/>
                <w:i/>
                <w:iCs/>
                <w:color w:val="333333"/>
                <w:spacing w:val="-8"/>
                <w:sz w:val="20"/>
                <w:szCs w:val="20"/>
              </w:rPr>
              <w:t>Connor</w:t>
            </w:r>
            <w:r w:rsidRPr="004C5271">
              <w:rPr>
                <w:rFonts w:asciiTheme="majorBidi" w:hAnsiTheme="majorBidi" w:cstheme="majorBidi"/>
                <w:color w:val="333333"/>
                <w:spacing w:val="-8"/>
                <w:sz w:val="20"/>
                <w:szCs w:val="20"/>
              </w:rPr>
              <w:t xml:space="preserve"> [2019] NSWSC 261 (14 March 2019)</w:t>
            </w:r>
          </w:p>
        </w:tc>
        <w:tc>
          <w:tcPr>
            <w:tcW w:w="1599" w:type="dxa"/>
          </w:tcPr>
          <w:p w14:paraId="1461FC10"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Adult daughter</w:t>
            </w:r>
          </w:p>
        </w:tc>
        <w:tc>
          <w:tcPr>
            <w:tcW w:w="1951" w:type="dxa"/>
          </w:tcPr>
          <w:p w14:paraId="0E0FB1BB"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Successful in receiving $45,000 payment but not successful in establishing that there was ‘notional estate’</w:t>
            </w:r>
          </w:p>
        </w:tc>
      </w:tr>
      <w:tr w:rsidR="00EC76F8" w:rsidRPr="004C5271" w14:paraId="73D5B4FB" w14:textId="77777777" w:rsidTr="00FA44D6">
        <w:tc>
          <w:tcPr>
            <w:tcW w:w="379" w:type="dxa"/>
          </w:tcPr>
          <w:p w14:paraId="382300D3" w14:textId="3AE4221A" w:rsidR="00EC76F8" w:rsidRPr="004C5271" w:rsidRDefault="00EC76F8" w:rsidP="00FA44D6">
            <w:pPr>
              <w:spacing w:beforeLines="40" w:before="96" w:afterLines="40" w:after="96"/>
              <w:jc w:val="center"/>
              <w:rPr>
                <w:rFonts w:asciiTheme="majorBidi" w:hAnsiTheme="majorBidi" w:cstheme="majorBidi"/>
                <w:b/>
                <w:bCs/>
                <w:color w:val="333333"/>
                <w:spacing w:val="-8"/>
                <w:sz w:val="20"/>
                <w:szCs w:val="20"/>
              </w:rPr>
            </w:pPr>
            <w:r w:rsidRPr="004C5271">
              <w:rPr>
                <w:rFonts w:asciiTheme="majorBidi" w:hAnsiTheme="majorBidi" w:cstheme="majorBidi"/>
                <w:b/>
                <w:bCs/>
                <w:color w:val="333333"/>
                <w:spacing w:val="-8"/>
                <w:sz w:val="20"/>
                <w:szCs w:val="20"/>
              </w:rPr>
              <w:t>2</w:t>
            </w:r>
          </w:p>
        </w:tc>
        <w:tc>
          <w:tcPr>
            <w:tcW w:w="3160" w:type="dxa"/>
          </w:tcPr>
          <w:p w14:paraId="33039FD4" w14:textId="0AE61792"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hAnsiTheme="majorBidi" w:cstheme="majorBidi"/>
                <w:i/>
                <w:iCs/>
                <w:color w:val="333333"/>
                <w:spacing w:val="-8"/>
                <w:sz w:val="20"/>
                <w:szCs w:val="20"/>
              </w:rPr>
              <w:t>Re Estate McNamara</w:t>
            </w:r>
            <w:r w:rsidRPr="004C5271">
              <w:rPr>
                <w:rFonts w:asciiTheme="majorBidi" w:hAnsiTheme="majorBidi" w:cstheme="majorBidi"/>
                <w:color w:val="333333"/>
                <w:spacing w:val="-8"/>
                <w:sz w:val="20"/>
                <w:szCs w:val="20"/>
              </w:rPr>
              <w:t xml:space="preserve"> [2018] NSWSC 1661 (2 November 2018)</w:t>
            </w:r>
          </w:p>
        </w:tc>
        <w:tc>
          <w:tcPr>
            <w:tcW w:w="1599" w:type="dxa"/>
          </w:tcPr>
          <w:p w14:paraId="2D1747B5"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Adult son</w:t>
            </w:r>
          </w:p>
        </w:tc>
        <w:tc>
          <w:tcPr>
            <w:tcW w:w="1951" w:type="dxa"/>
          </w:tcPr>
          <w:p w14:paraId="7126AD5D"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Unsuccessful in establishing notional estate, ordered to receive a legacy of $75,000</w:t>
            </w:r>
          </w:p>
        </w:tc>
      </w:tr>
      <w:tr w:rsidR="00EC76F8" w:rsidRPr="004C5271" w14:paraId="1060FA9F" w14:textId="77777777" w:rsidTr="00FA44D6">
        <w:tc>
          <w:tcPr>
            <w:tcW w:w="379" w:type="dxa"/>
          </w:tcPr>
          <w:p w14:paraId="7D1C9C41" w14:textId="5CFD1131" w:rsidR="00EC76F8" w:rsidRPr="004C5271" w:rsidRDefault="00EC76F8" w:rsidP="00FA44D6">
            <w:pPr>
              <w:spacing w:beforeLines="40" w:before="96" w:afterLines="40" w:after="96"/>
              <w:jc w:val="center"/>
              <w:rPr>
                <w:rFonts w:asciiTheme="majorBidi" w:hAnsiTheme="majorBidi" w:cstheme="majorBidi"/>
                <w:b/>
                <w:bCs/>
                <w:color w:val="333333"/>
                <w:spacing w:val="-8"/>
                <w:sz w:val="20"/>
                <w:szCs w:val="20"/>
              </w:rPr>
            </w:pPr>
            <w:r w:rsidRPr="004C5271">
              <w:rPr>
                <w:rFonts w:asciiTheme="majorBidi" w:hAnsiTheme="majorBidi" w:cstheme="majorBidi"/>
                <w:b/>
                <w:bCs/>
                <w:color w:val="333333"/>
                <w:spacing w:val="-8"/>
                <w:sz w:val="20"/>
                <w:szCs w:val="20"/>
              </w:rPr>
              <w:t>3</w:t>
            </w:r>
          </w:p>
        </w:tc>
        <w:tc>
          <w:tcPr>
            <w:tcW w:w="3160" w:type="dxa"/>
          </w:tcPr>
          <w:p w14:paraId="688CE61C" w14:textId="31E36EC0" w:rsidR="00EC76F8" w:rsidRPr="004C5271" w:rsidRDefault="00EC76F8" w:rsidP="00FA44D6">
            <w:pPr>
              <w:spacing w:beforeLines="40" w:before="96" w:afterLines="40" w:after="96"/>
              <w:rPr>
                <w:rFonts w:asciiTheme="majorBidi" w:hAnsiTheme="majorBidi" w:cstheme="majorBidi"/>
                <w:color w:val="333333"/>
                <w:spacing w:val="-8"/>
                <w:sz w:val="20"/>
                <w:szCs w:val="20"/>
              </w:rPr>
            </w:pPr>
            <w:r w:rsidRPr="004C5271">
              <w:rPr>
                <w:rFonts w:asciiTheme="majorBidi" w:hAnsiTheme="majorBidi" w:cstheme="majorBidi"/>
                <w:i/>
                <w:iCs/>
                <w:color w:val="333333"/>
                <w:spacing w:val="-8"/>
                <w:sz w:val="20"/>
                <w:szCs w:val="20"/>
              </w:rPr>
              <w:t>Sreckovic v Sreckovic</w:t>
            </w:r>
            <w:r w:rsidRPr="004C5271">
              <w:rPr>
                <w:rFonts w:asciiTheme="majorBidi" w:hAnsiTheme="majorBidi" w:cstheme="majorBidi"/>
                <w:color w:val="333333"/>
                <w:spacing w:val="-8"/>
                <w:sz w:val="20"/>
                <w:szCs w:val="20"/>
              </w:rPr>
              <w:t xml:space="preserve"> [2018] NSWSC 1597 (23 October 2018)</w:t>
            </w:r>
          </w:p>
        </w:tc>
        <w:tc>
          <w:tcPr>
            <w:tcW w:w="1599" w:type="dxa"/>
          </w:tcPr>
          <w:p w14:paraId="0064B3CA"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Adult daughter</w:t>
            </w:r>
          </w:p>
        </w:tc>
        <w:tc>
          <w:tcPr>
            <w:tcW w:w="1951" w:type="dxa"/>
          </w:tcPr>
          <w:p w14:paraId="32520A46"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 xml:space="preserve">Unsuccessful </w:t>
            </w:r>
          </w:p>
        </w:tc>
      </w:tr>
      <w:tr w:rsidR="00EC76F8" w:rsidRPr="004C5271" w14:paraId="3778BE79" w14:textId="77777777" w:rsidTr="00FA44D6">
        <w:tc>
          <w:tcPr>
            <w:tcW w:w="379" w:type="dxa"/>
          </w:tcPr>
          <w:p w14:paraId="10DA4BC8" w14:textId="73896528" w:rsidR="00EC76F8" w:rsidRPr="004C5271" w:rsidRDefault="00EC76F8" w:rsidP="00FA44D6">
            <w:pPr>
              <w:spacing w:beforeLines="40" w:before="96" w:afterLines="40" w:after="96"/>
              <w:jc w:val="center"/>
              <w:rPr>
                <w:rFonts w:asciiTheme="majorBidi" w:hAnsiTheme="majorBidi" w:cstheme="majorBidi"/>
                <w:b/>
                <w:bCs/>
                <w:color w:val="333333"/>
                <w:spacing w:val="-8"/>
                <w:sz w:val="20"/>
                <w:szCs w:val="20"/>
              </w:rPr>
            </w:pPr>
            <w:r w:rsidRPr="004C5271">
              <w:rPr>
                <w:rFonts w:asciiTheme="majorBidi" w:hAnsiTheme="majorBidi" w:cstheme="majorBidi"/>
                <w:b/>
                <w:bCs/>
                <w:color w:val="333333"/>
                <w:spacing w:val="-8"/>
                <w:sz w:val="20"/>
                <w:szCs w:val="20"/>
              </w:rPr>
              <w:t>4</w:t>
            </w:r>
          </w:p>
        </w:tc>
        <w:tc>
          <w:tcPr>
            <w:tcW w:w="3160" w:type="dxa"/>
          </w:tcPr>
          <w:p w14:paraId="737B69CB" w14:textId="4DA36804"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hAnsiTheme="majorBidi" w:cstheme="majorBidi"/>
                <w:i/>
                <w:iCs/>
                <w:color w:val="333333"/>
                <w:spacing w:val="-8"/>
                <w:sz w:val="20"/>
                <w:szCs w:val="20"/>
              </w:rPr>
              <w:t>Mekhail v Hana; Mekail v Hana; In the Estate of Nadia Mekhail (No 3)</w:t>
            </w:r>
            <w:r w:rsidRPr="004C5271">
              <w:rPr>
                <w:rFonts w:asciiTheme="majorBidi" w:hAnsiTheme="majorBidi" w:cstheme="majorBidi"/>
                <w:color w:val="333333"/>
                <w:spacing w:val="-8"/>
                <w:sz w:val="20"/>
                <w:szCs w:val="20"/>
              </w:rPr>
              <w:t xml:space="preserve"> [2018] NSWSC 1452 (5 October 2018)</w:t>
            </w:r>
          </w:p>
        </w:tc>
        <w:tc>
          <w:tcPr>
            <w:tcW w:w="1599" w:type="dxa"/>
          </w:tcPr>
          <w:p w14:paraId="60968E40"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Nephews</w:t>
            </w:r>
          </w:p>
        </w:tc>
        <w:tc>
          <w:tcPr>
            <w:tcW w:w="1951" w:type="dxa"/>
          </w:tcPr>
          <w:p w14:paraId="0ADC10AF"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 xml:space="preserve">Unsuccessful </w:t>
            </w:r>
          </w:p>
        </w:tc>
      </w:tr>
      <w:tr w:rsidR="00EC76F8" w:rsidRPr="004C5271" w14:paraId="5C06DD52" w14:textId="77777777" w:rsidTr="00FA44D6">
        <w:tc>
          <w:tcPr>
            <w:tcW w:w="379" w:type="dxa"/>
          </w:tcPr>
          <w:p w14:paraId="276B79B5" w14:textId="78FA9FFF" w:rsidR="00EC76F8" w:rsidRPr="004C5271" w:rsidRDefault="00EC76F8" w:rsidP="00FA44D6">
            <w:pPr>
              <w:spacing w:beforeLines="40" w:before="96" w:afterLines="40" w:after="96"/>
              <w:jc w:val="center"/>
              <w:rPr>
                <w:rFonts w:asciiTheme="majorBidi" w:hAnsiTheme="majorBidi" w:cstheme="majorBidi"/>
                <w:b/>
                <w:bCs/>
                <w:color w:val="333333"/>
                <w:spacing w:val="-8"/>
                <w:sz w:val="20"/>
                <w:szCs w:val="20"/>
              </w:rPr>
            </w:pPr>
            <w:r w:rsidRPr="004C5271">
              <w:rPr>
                <w:rFonts w:asciiTheme="majorBidi" w:hAnsiTheme="majorBidi" w:cstheme="majorBidi"/>
                <w:b/>
                <w:bCs/>
                <w:color w:val="333333"/>
                <w:spacing w:val="-8"/>
                <w:sz w:val="20"/>
                <w:szCs w:val="20"/>
              </w:rPr>
              <w:t>5</w:t>
            </w:r>
          </w:p>
        </w:tc>
        <w:tc>
          <w:tcPr>
            <w:tcW w:w="3160" w:type="dxa"/>
          </w:tcPr>
          <w:p w14:paraId="2E300AF0" w14:textId="2199E178"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hAnsiTheme="majorBidi" w:cstheme="majorBidi"/>
                <w:i/>
                <w:iCs/>
                <w:color w:val="333333"/>
                <w:spacing w:val="-8"/>
                <w:sz w:val="20"/>
                <w:szCs w:val="20"/>
              </w:rPr>
              <w:t>Re Estate Grant, deceased</w:t>
            </w:r>
            <w:r w:rsidRPr="004C5271">
              <w:rPr>
                <w:rFonts w:asciiTheme="majorBidi" w:hAnsiTheme="majorBidi" w:cstheme="majorBidi"/>
                <w:color w:val="333333"/>
                <w:spacing w:val="-8"/>
                <w:sz w:val="20"/>
                <w:szCs w:val="20"/>
              </w:rPr>
              <w:t xml:space="preserve"> [2018] NSWSC 1031 (5 July 2018)</w:t>
            </w:r>
          </w:p>
        </w:tc>
        <w:tc>
          <w:tcPr>
            <w:tcW w:w="1599" w:type="dxa"/>
          </w:tcPr>
          <w:p w14:paraId="04207102"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Step-son</w:t>
            </w:r>
          </w:p>
        </w:tc>
        <w:tc>
          <w:tcPr>
            <w:tcW w:w="1951" w:type="dxa"/>
          </w:tcPr>
          <w:p w14:paraId="6B9C08B4"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Property designated as notional estate and received $750,000</w:t>
            </w:r>
          </w:p>
        </w:tc>
      </w:tr>
      <w:tr w:rsidR="00EC76F8" w:rsidRPr="004C5271" w14:paraId="527F502A" w14:textId="77777777" w:rsidTr="00FA44D6">
        <w:tc>
          <w:tcPr>
            <w:tcW w:w="379" w:type="dxa"/>
          </w:tcPr>
          <w:p w14:paraId="7972F91B" w14:textId="41D8EC34" w:rsidR="00EC76F8" w:rsidRPr="004C5271" w:rsidRDefault="00EC76F8" w:rsidP="00FA44D6">
            <w:pPr>
              <w:spacing w:beforeLines="40" w:before="96" w:afterLines="40" w:after="96"/>
              <w:jc w:val="center"/>
              <w:rPr>
                <w:rFonts w:asciiTheme="majorBidi" w:hAnsiTheme="majorBidi" w:cstheme="majorBidi"/>
                <w:b/>
                <w:bCs/>
                <w:color w:val="333333"/>
                <w:spacing w:val="-8"/>
                <w:sz w:val="20"/>
                <w:szCs w:val="20"/>
              </w:rPr>
            </w:pPr>
            <w:r w:rsidRPr="004C5271">
              <w:rPr>
                <w:rFonts w:asciiTheme="majorBidi" w:hAnsiTheme="majorBidi" w:cstheme="majorBidi"/>
                <w:b/>
                <w:bCs/>
                <w:color w:val="333333"/>
                <w:spacing w:val="-8"/>
                <w:sz w:val="20"/>
                <w:szCs w:val="20"/>
              </w:rPr>
              <w:t>6</w:t>
            </w:r>
          </w:p>
        </w:tc>
        <w:tc>
          <w:tcPr>
            <w:tcW w:w="3160" w:type="dxa"/>
          </w:tcPr>
          <w:p w14:paraId="0E657D6A" w14:textId="6128E8AC"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hAnsiTheme="majorBidi" w:cstheme="majorBidi"/>
                <w:i/>
                <w:iCs/>
                <w:color w:val="333333"/>
                <w:spacing w:val="-8"/>
                <w:sz w:val="20"/>
                <w:szCs w:val="20"/>
              </w:rPr>
              <w:t>Beech v Squire</w:t>
            </w:r>
            <w:r w:rsidRPr="004C5271">
              <w:rPr>
                <w:rFonts w:asciiTheme="majorBidi" w:hAnsiTheme="majorBidi" w:cstheme="majorBidi"/>
                <w:color w:val="333333"/>
                <w:spacing w:val="-8"/>
                <w:sz w:val="20"/>
                <w:szCs w:val="20"/>
              </w:rPr>
              <w:t xml:space="preserve"> [2018] NSWSC 594 (4 May 2018)</w:t>
            </w:r>
          </w:p>
        </w:tc>
        <w:tc>
          <w:tcPr>
            <w:tcW w:w="1599" w:type="dxa"/>
          </w:tcPr>
          <w:p w14:paraId="66891130"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Two adult children</w:t>
            </w:r>
          </w:p>
        </w:tc>
        <w:tc>
          <w:tcPr>
            <w:tcW w:w="1951" w:type="dxa"/>
          </w:tcPr>
          <w:p w14:paraId="33655BCB"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 xml:space="preserve">Unsuccessful </w:t>
            </w:r>
          </w:p>
        </w:tc>
      </w:tr>
      <w:tr w:rsidR="00EC76F8" w:rsidRPr="004C5271" w14:paraId="1C04D422" w14:textId="77777777" w:rsidTr="00FA44D6">
        <w:tc>
          <w:tcPr>
            <w:tcW w:w="379" w:type="dxa"/>
          </w:tcPr>
          <w:p w14:paraId="791BE4B2" w14:textId="39EA5664" w:rsidR="00EC76F8" w:rsidRPr="004C5271" w:rsidRDefault="00EC76F8" w:rsidP="00FA44D6">
            <w:pPr>
              <w:spacing w:beforeLines="40" w:before="96" w:afterLines="40" w:after="96"/>
              <w:jc w:val="center"/>
              <w:rPr>
                <w:rFonts w:asciiTheme="majorBidi" w:hAnsiTheme="majorBidi" w:cstheme="majorBidi"/>
                <w:b/>
                <w:bCs/>
                <w:color w:val="333333"/>
                <w:spacing w:val="-8"/>
                <w:sz w:val="20"/>
                <w:szCs w:val="20"/>
              </w:rPr>
            </w:pPr>
            <w:r w:rsidRPr="004C5271">
              <w:rPr>
                <w:rFonts w:asciiTheme="majorBidi" w:hAnsiTheme="majorBidi" w:cstheme="majorBidi"/>
                <w:b/>
                <w:bCs/>
                <w:color w:val="333333"/>
                <w:spacing w:val="-8"/>
                <w:sz w:val="20"/>
                <w:szCs w:val="20"/>
              </w:rPr>
              <w:t>7</w:t>
            </w:r>
          </w:p>
        </w:tc>
        <w:tc>
          <w:tcPr>
            <w:tcW w:w="3160" w:type="dxa"/>
          </w:tcPr>
          <w:p w14:paraId="793337CB" w14:textId="4ACB6CDB"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hAnsiTheme="majorBidi" w:cstheme="majorBidi"/>
                <w:i/>
                <w:iCs/>
                <w:color w:val="333333"/>
                <w:spacing w:val="-8"/>
                <w:sz w:val="20"/>
                <w:szCs w:val="20"/>
              </w:rPr>
              <w:t>Harris v Harris</w:t>
            </w:r>
            <w:r w:rsidRPr="004C5271">
              <w:rPr>
                <w:rFonts w:asciiTheme="majorBidi" w:hAnsiTheme="majorBidi" w:cstheme="majorBidi"/>
                <w:color w:val="333333"/>
                <w:spacing w:val="-8"/>
                <w:sz w:val="20"/>
                <w:szCs w:val="20"/>
              </w:rPr>
              <w:t xml:space="preserve"> [2018] NSWSC 552 (1 May 2018)</w:t>
            </w:r>
          </w:p>
        </w:tc>
        <w:tc>
          <w:tcPr>
            <w:tcW w:w="1599" w:type="dxa"/>
          </w:tcPr>
          <w:p w14:paraId="3CF04D19"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Adult son</w:t>
            </w:r>
          </w:p>
        </w:tc>
        <w:tc>
          <w:tcPr>
            <w:tcW w:w="1951" w:type="dxa"/>
          </w:tcPr>
          <w:p w14:paraId="69CA96B7" w14:textId="77777777" w:rsidR="00EC76F8" w:rsidRPr="004C5271" w:rsidRDefault="00EC76F8" w:rsidP="00FA44D6">
            <w:pPr>
              <w:spacing w:beforeLines="40" w:before="96" w:afterLines="40" w:after="96"/>
              <w:rPr>
                <w:rFonts w:asciiTheme="majorBidi" w:eastAsia="Times New Roman" w:hAnsiTheme="majorBidi" w:cstheme="majorBidi"/>
                <w:color w:val="333333"/>
                <w:sz w:val="20"/>
                <w:szCs w:val="20"/>
              </w:rPr>
            </w:pPr>
            <w:r w:rsidRPr="004C5271">
              <w:rPr>
                <w:rFonts w:asciiTheme="majorBidi" w:eastAsia="Times New Roman" w:hAnsiTheme="majorBidi" w:cstheme="majorBidi"/>
                <w:color w:val="333333"/>
                <w:sz w:val="20"/>
                <w:szCs w:val="20"/>
              </w:rPr>
              <w:t xml:space="preserve">Unsuccessful </w:t>
            </w:r>
          </w:p>
        </w:tc>
      </w:tr>
    </w:tbl>
    <w:p w14:paraId="424521FA" w14:textId="77777777" w:rsidR="005D3626" w:rsidRPr="004C5271" w:rsidRDefault="005D3626" w:rsidP="008F0157">
      <w:pPr>
        <w:pStyle w:val="NumberlessSectionHeading"/>
        <w:spacing w:before="0"/>
        <w:ind w:right="0"/>
        <w:rPr>
          <w:rFonts w:asciiTheme="majorBidi" w:hAnsiTheme="majorBidi" w:cstheme="majorBidi"/>
        </w:rPr>
      </w:pPr>
    </w:p>
    <w:sectPr w:rsidR="005D3626" w:rsidRPr="004C5271" w:rsidSect="004C5271">
      <w:headerReference w:type="even" r:id="rId56"/>
      <w:headerReference w:type="default" r:id="rId57"/>
      <w:headerReference w:type="first" r:id="rId58"/>
      <w:pgSz w:w="9979" w:h="14232"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248F" w14:textId="77777777" w:rsidR="00E43830" w:rsidRDefault="00E43830" w:rsidP="0059627F">
      <w:r>
        <w:separator/>
      </w:r>
    </w:p>
  </w:endnote>
  <w:endnote w:type="continuationSeparator" w:id="0">
    <w:p w14:paraId="68B407FE" w14:textId="77777777" w:rsidR="00E43830" w:rsidRDefault="00E43830" w:rsidP="0059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9295" w14:textId="77777777" w:rsidR="00C61533" w:rsidRPr="007B6846" w:rsidRDefault="00C61533" w:rsidP="007B6846">
    <w:pPr>
      <w:pStyle w:val="Footer"/>
      <w:framePr w:wrap="none" w:vAnchor="text" w:hAnchor="margin" w:xAlign="outside" w:y="1"/>
      <w:spacing w:after="0"/>
      <w:rPr>
        <w:rStyle w:val="PageNumber"/>
        <w:rFonts w:ascii="Times New Roman" w:hAnsi="Times New Roman" w:cs="Times New Roman"/>
        <w:sz w:val="20"/>
        <w:szCs w:val="20"/>
      </w:rPr>
    </w:pPr>
    <w:r w:rsidRPr="007B6846">
      <w:rPr>
        <w:rStyle w:val="PageNumber"/>
        <w:rFonts w:ascii="Times New Roman" w:hAnsi="Times New Roman" w:cs="Times New Roman"/>
        <w:sz w:val="20"/>
        <w:szCs w:val="20"/>
      </w:rPr>
      <w:fldChar w:fldCharType="begin"/>
    </w:r>
    <w:r w:rsidRPr="007B6846">
      <w:rPr>
        <w:rStyle w:val="PageNumber"/>
        <w:rFonts w:ascii="Times New Roman" w:hAnsi="Times New Roman" w:cs="Times New Roman"/>
        <w:sz w:val="20"/>
        <w:szCs w:val="20"/>
      </w:rPr>
      <w:instrText xml:space="preserve"> PAGE </w:instrText>
    </w:r>
    <w:r w:rsidRPr="007B6846">
      <w:rPr>
        <w:rStyle w:val="PageNumber"/>
        <w:rFonts w:ascii="Times New Roman" w:hAnsi="Times New Roman" w:cs="Times New Roman"/>
        <w:sz w:val="20"/>
        <w:szCs w:val="20"/>
      </w:rPr>
      <w:fldChar w:fldCharType="separate"/>
    </w:r>
    <w:r w:rsidRPr="007B6846">
      <w:rPr>
        <w:rStyle w:val="PageNumber"/>
        <w:rFonts w:ascii="Times New Roman" w:hAnsi="Times New Roman" w:cs="Times New Roman"/>
        <w:noProof/>
        <w:sz w:val="20"/>
        <w:szCs w:val="20"/>
      </w:rPr>
      <w:t>32</w:t>
    </w:r>
    <w:r w:rsidRPr="007B6846">
      <w:rPr>
        <w:rStyle w:val="PageNumber"/>
        <w:rFonts w:ascii="Times New Roman" w:hAnsi="Times New Roman" w:cs="Times New Roman"/>
        <w:sz w:val="20"/>
        <w:szCs w:val="20"/>
      </w:rPr>
      <w:fldChar w:fldCharType="end"/>
    </w:r>
  </w:p>
  <w:p w14:paraId="59A15364" w14:textId="77777777" w:rsidR="00C61533" w:rsidRPr="00000032" w:rsidRDefault="00C61533" w:rsidP="00165678">
    <w:pPr>
      <w:pStyle w:val="Footer"/>
      <w:ind w:right="360" w:firstLine="360"/>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C224" w14:textId="19CFD876" w:rsidR="00C61533" w:rsidRPr="007B6846" w:rsidRDefault="00C61533" w:rsidP="007B6846">
    <w:pPr>
      <w:pStyle w:val="Footer"/>
      <w:framePr w:wrap="none" w:vAnchor="text" w:hAnchor="margin" w:xAlign="outside" w:y="1"/>
      <w:spacing w:after="0"/>
      <w:rPr>
        <w:rStyle w:val="PageNumber"/>
        <w:rFonts w:asciiTheme="majorBidi" w:hAnsiTheme="majorBidi" w:cstheme="majorBidi"/>
        <w:sz w:val="20"/>
        <w:szCs w:val="20"/>
      </w:rPr>
    </w:pPr>
    <w:r w:rsidRPr="007B6846">
      <w:rPr>
        <w:rStyle w:val="PageNumber"/>
        <w:rFonts w:asciiTheme="majorBidi" w:hAnsiTheme="majorBidi" w:cstheme="majorBidi"/>
        <w:sz w:val="20"/>
        <w:szCs w:val="20"/>
      </w:rPr>
      <w:fldChar w:fldCharType="begin"/>
    </w:r>
    <w:r w:rsidRPr="007B6846">
      <w:rPr>
        <w:rStyle w:val="PageNumber"/>
        <w:rFonts w:asciiTheme="majorBidi" w:hAnsiTheme="majorBidi" w:cstheme="majorBidi"/>
        <w:sz w:val="20"/>
        <w:szCs w:val="20"/>
      </w:rPr>
      <w:instrText xml:space="preserve"> PAGE </w:instrText>
    </w:r>
    <w:r w:rsidRPr="007B6846">
      <w:rPr>
        <w:rStyle w:val="PageNumber"/>
        <w:rFonts w:asciiTheme="majorBidi" w:hAnsiTheme="majorBidi" w:cstheme="majorBidi"/>
        <w:sz w:val="20"/>
        <w:szCs w:val="20"/>
      </w:rPr>
      <w:fldChar w:fldCharType="separate"/>
    </w:r>
    <w:r w:rsidRPr="007B6846">
      <w:rPr>
        <w:rStyle w:val="PageNumber"/>
        <w:rFonts w:asciiTheme="majorBidi" w:hAnsiTheme="majorBidi" w:cstheme="majorBidi"/>
        <w:noProof/>
        <w:sz w:val="20"/>
        <w:szCs w:val="20"/>
      </w:rPr>
      <w:t>32</w:t>
    </w:r>
    <w:r w:rsidRPr="007B6846">
      <w:rPr>
        <w:rStyle w:val="PageNumber"/>
        <w:rFonts w:asciiTheme="majorBidi" w:hAnsiTheme="majorBidi" w:cstheme="majorBidi"/>
        <w:sz w:val="20"/>
        <w:szCs w:val="20"/>
      </w:rPr>
      <w:fldChar w:fldCharType="end"/>
    </w:r>
  </w:p>
  <w:p w14:paraId="7DA086DD" w14:textId="77777777" w:rsidR="00C61533" w:rsidRPr="00000032" w:rsidRDefault="00C61533" w:rsidP="00165678">
    <w:pPr>
      <w:pStyle w:val="Footer"/>
      <w:ind w:right="360" w:firstLine="360"/>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ED92" w14:textId="77777777" w:rsidR="00C61533" w:rsidRPr="00385F11" w:rsidRDefault="00C61533" w:rsidP="00385F11">
    <w:pPr>
      <w:pStyle w:val="Footer"/>
      <w:framePr w:wrap="none" w:vAnchor="text" w:hAnchor="margin" w:xAlign="outside" w:y="1"/>
      <w:rPr>
        <w:rStyle w:val="PageNumber"/>
        <w:rFonts w:asciiTheme="majorBidi" w:hAnsiTheme="majorBidi" w:cstheme="majorBidi"/>
        <w:sz w:val="20"/>
        <w:szCs w:val="20"/>
      </w:rPr>
    </w:pPr>
    <w:r w:rsidRPr="00385F11">
      <w:rPr>
        <w:rStyle w:val="PageNumber"/>
        <w:rFonts w:asciiTheme="majorBidi" w:hAnsiTheme="majorBidi" w:cstheme="majorBidi"/>
        <w:sz w:val="20"/>
        <w:szCs w:val="20"/>
      </w:rPr>
      <w:fldChar w:fldCharType="begin"/>
    </w:r>
    <w:r w:rsidRPr="00385F11">
      <w:rPr>
        <w:rStyle w:val="PageNumber"/>
        <w:rFonts w:asciiTheme="majorBidi" w:hAnsiTheme="majorBidi" w:cstheme="majorBidi"/>
        <w:sz w:val="20"/>
        <w:szCs w:val="20"/>
      </w:rPr>
      <w:instrText xml:space="preserve"> PAGE </w:instrText>
    </w:r>
    <w:r w:rsidRPr="00385F11">
      <w:rPr>
        <w:rStyle w:val="PageNumber"/>
        <w:rFonts w:asciiTheme="majorBidi" w:hAnsiTheme="majorBidi" w:cstheme="majorBidi"/>
        <w:sz w:val="20"/>
        <w:szCs w:val="20"/>
      </w:rPr>
      <w:fldChar w:fldCharType="separate"/>
    </w:r>
    <w:r w:rsidRPr="00385F11">
      <w:rPr>
        <w:rStyle w:val="PageNumber"/>
        <w:rFonts w:asciiTheme="majorBidi" w:hAnsiTheme="majorBidi" w:cstheme="majorBidi"/>
        <w:noProof/>
        <w:sz w:val="20"/>
        <w:szCs w:val="20"/>
      </w:rPr>
      <w:t>v</w:t>
    </w:r>
    <w:r w:rsidRPr="00385F11">
      <w:rPr>
        <w:rStyle w:val="PageNumber"/>
        <w:rFonts w:asciiTheme="majorBidi" w:hAnsiTheme="majorBidi" w:cstheme="majorBidi"/>
        <w:sz w:val="20"/>
        <w:szCs w:val="20"/>
      </w:rPr>
      <w:fldChar w:fldCharType="end"/>
    </w:r>
  </w:p>
  <w:p w14:paraId="2D5DE87C" w14:textId="77777777" w:rsidR="00C61533" w:rsidRPr="00C37965" w:rsidRDefault="00C61533" w:rsidP="00165678">
    <w:pPr>
      <w:pStyle w:val="Footer"/>
      <w:ind w:right="360" w:firstLine="360"/>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3307086"/>
      <w:docPartObj>
        <w:docPartGallery w:val="Page Numbers (Bottom of Page)"/>
        <w:docPartUnique/>
      </w:docPartObj>
    </w:sdtPr>
    <w:sdtEndPr>
      <w:rPr>
        <w:rStyle w:val="PageNumber"/>
      </w:rPr>
    </w:sdtEndPr>
    <w:sdtContent>
      <w:p w14:paraId="142DCB46" w14:textId="77777777" w:rsidR="00C61533" w:rsidRDefault="00C61533" w:rsidP="007B6846">
        <w:pPr>
          <w:pStyle w:val="Footer"/>
          <w:framePr w:wrap="none" w:vAnchor="text" w:hAnchor="margin" w:xAlign="outside" w:y="1"/>
          <w:spacing w:after="0"/>
          <w:rPr>
            <w:rStyle w:val="PageNumber"/>
          </w:rPr>
        </w:pPr>
        <w:r w:rsidRPr="007B6846">
          <w:rPr>
            <w:rStyle w:val="PageNumber"/>
            <w:rFonts w:ascii="Times New Roman" w:hAnsi="Times New Roman" w:cs="Times New Roman"/>
            <w:sz w:val="20"/>
            <w:szCs w:val="20"/>
          </w:rPr>
          <w:fldChar w:fldCharType="begin"/>
        </w:r>
        <w:r w:rsidRPr="007B6846">
          <w:rPr>
            <w:rStyle w:val="PageNumber"/>
            <w:rFonts w:ascii="Times New Roman" w:hAnsi="Times New Roman" w:cs="Times New Roman"/>
            <w:sz w:val="20"/>
            <w:szCs w:val="20"/>
          </w:rPr>
          <w:instrText xml:space="preserve"> PAGE </w:instrText>
        </w:r>
        <w:r w:rsidRPr="007B6846">
          <w:rPr>
            <w:rStyle w:val="PageNumber"/>
            <w:rFonts w:ascii="Times New Roman" w:hAnsi="Times New Roman" w:cs="Times New Roman"/>
            <w:sz w:val="20"/>
            <w:szCs w:val="20"/>
          </w:rPr>
          <w:fldChar w:fldCharType="separate"/>
        </w:r>
        <w:r w:rsidRPr="007B6846">
          <w:rPr>
            <w:rStyle w:val="PageNumber"/>
            <w:rFonts w:ascii="Times New Roman" w:hAnsi="Times New Roman" w:cs="Times New Roman"/>
            <w:noProof/>
            <w:sz w:val="20"/>
            <w:szCs w:val="20"/>
          </w:rPr>
          <w:t>ii</w:t>
        </w:r>
        <w:r w:rsidRPr="007B6846">
          <w:rPr>
            <w:rStyle w:val="PageNumber"/>
            <w:rFonts w:ascii="Times New Roman" w:hAnsi="Times New Roman" w:cs="Times New Roman"/>
            <w:sz w:val="20"/>
            <w:szCs w:val="20"/>
          </w:rPr>
          <w:fldChar w:fldCharType="end"/>
        </w:r>
      </w:p>
    </w:sdtContent>
  </w:sdt>
  <w:p w14:paraId="3BDBE651" w14:textId="77777777" w:rsidR="00C61533" w:rsidRDefault="00C61533" w:rsidP="002C3BE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FA92" w14:textId="77777777" w:rsidR="00C61533" w:rsidRPr="004140BF" w:rsidRDefault="00C61533" w:rsidP="00165678">
    <w:pPr>
      <w:pStyle w:val="Footer"/>
      <w:framePr w:wrap="none" w:vAnchor="text" w:hAnchor="margin" w:xAlign="outside" w:y="1"/>
      <w:rPr>
        <w:rStyle w:val="PageNumber"/>
        <w:rFonts w:cs="Times New Roman"/>
        <w:sz w:val="20"/>
        <w:szCs w:val="20"/>
      </w:rPr>
    </w:pPr>
    <w:r w:rsidRPr="004140BF">
      <w:rPr>
        <w:rStyle w:val="PageNumber"/>
        <w:rFonts w:cs="Times New Roman"/>
        <w:sz w:val="20"/>
        <w:szCs w:val="20"/>
      </w:rPr>
      <w:fldChar w:fldCharType="begin"/>
    </w:r>
    <w:r w:rsidRPr="004140BF">
      <w:rPr>
        <w:rStyle w:val="PageNumber"/>
        <w:rFonts w:cs="Times New Roman"/>
        <w:sz w:val="20"/>
        <w:szCs w:val="20"/>
      </w:rPr>
      <w:instrText xml:space="preserve"> PAGE </w:instrText>
    </w:r>
    <w:r w:rsidRPr="004140BF">
      <w:rPr>
        <w:rStyle w:val="PageNumber"/>
        <w:rFonts w:cs="Times New Roman"/>
        <w:sz w:val="20"/>
        <w:szCs w:val="20"/>
      </w:rPr>
      <w:fldChar w:fldCharType="separate"/>
    </w:r>
    <w:r w:rsidRPr="004140BF">
      <w:rPr>
        <w:rStyle w:val="PageNumber"/>
        <w:rFonts w:cs="Times New Roman"/>
        <w:noProof/>
        <w:sz w:val="20"/>
        <w:szCs w:val="20"/>
      </w:rPr>
      <w:t>v</w:t>
    </w:r>
    <w:r w:rsidRPr="004140BF">
      <w:rPr>
        <w:rStyle w:val="PageNumber"/>
        <w:rFonts w:cs="Times New Roman"/>
        <w:sz w:val="20"/>
        <w:szCs w:val="20"/>
      </w:rPr>
      <w:fldChar w:fldCharType="end"/>
    </w:r>
  </w:p>
  <w:p w14:paraId="028FBDA9" w14:textId="77777777" w:rsidR="00C61533" w:rsidRPr="00C37965" w:rsidRDefault="00C61533" w:rsidP="00165678">
    <w:pPr>
      <w:pStyle w:val="Footer"/>
      <w:ind w:right="360" w:firstLine="36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512" w14:textId="1F703874" w:rsidR="00C61533" w:rsidRDefault="00C61533" w:rsidP="002C3BE8">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3F1B" w14:textId="317CA5E8" w:rsidR="00C61533" w:rsidRDefault="00C61533" w:rsidP="004140BF">
    <w:pPr>
      <w:pStyle w:val="Footer"/>
      <w:framePr w:wrap="none" w:vAnchor="text" w:hAnchor="margin" w:xAlign="outside" w:y="1"/>
      <w:rPr>
        <w:rStyle w:val="PageNumber"/>
      </w:rPr>
    </w:pPr>
  </w:p>
  <w:p w14:paraId="7D43E03F" w14:textId="77777777" w:rsidR="00C61533" w:rsidRDefault="00C61533" w:rsidP="002C3BE8">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1542105"/>
      <w:docPartObj>
        <w:docPartGallery w:val="Page Numbers (Bottom of Page)"/>
        <w:docPartUnique/>
      </w:docPartObj>
    </w:sdtPr>
    <w:sdtEndPr>
      <w:rPr>
        <w:rStyle w:val="PageNumber"/>
        <w:rFonts w:cs="Times New Roman"/>
      </w:rPr>
    </w:sdtEndPr>
    <w:sdtContent>
      <w:p w14:paraId="0AAC4E4C" w14:textId="77777777" w:rsidR="00C61533" w:rsidRPr="00385F11" w:rsidRDefault="00C61533" w:rsidP="007B6846">
        <w:pPr>
          <w:pStyle w:val="Footer"/>
          <w:framePr w:wrap="none" w:vAnchor="text" w:hAnchor="margin" w:xAlign="outside" w:y="1"/>
          <w:spacing w:after="0"/>
          <w:rPr>
            <w:rStyle w:val="PageNumber"/>
            <w:rFonts w:cs="Times New Roman"/>
          </w:rPr>
        </w:pPr>
        <w:r w:rsidRPr="007B6846">
          <w:rPr>
            <w:rStyle w:val="PageNumber"/>
            <w:rFonts w:ascii="Times New Roman" w:hAnsi="Times New Roman" w:cs="Times New Roman"/>
            <w:sz w:val="20"/>
            <w:szCs w:val="20"/>
          </w:rPr>
          <w:fldChar w:fldCharType="begin"/>
        </w:r>
        <w:r w:rsidRPr="007B6846">
          <w:rPr>
            <w:rStyle w:val="PageNumber"/>
            <w:rFonts w:ascii="Times New Roman" w:hAnsi="Times New Roman" w:cs="Times New Roman"/>
            <w:sz w:val="20"/>
            <w:szCs w:val="20"/>
          </w:rPr>
          <w:instrText xml:space="preserve"> PAGE </w:instrText>
        </w:r>
        <w:r w:rsidRPr="007B6846">
          <w:rPr>
            <w:rStyle w:val="PageNumber"/>
            <w:rFonts w:ascii="Times New Roman" w:hAnsi="Times New Roman" w:cs="Times New Roman"/>
            <w:sz w:val="20"/>
            <w:szCs w:val="20"/>
          </w:rPr>
          <w:fldChar w:fldCharType="separate"/>
        </w:r>
        <w:r w:rsidRPr="007B6846">
          <w:rPr>
            <w:rStyle w:val="PageNumber"/>
            <w:rFonts w:ascii="Times New Roman" w:hAnsi="Times New Roman" w:cs="Times New Roman"/>
            <w:noProof/>
            <w:sz w:val="20"/>
            <w:szCs w:val="20"/>
          </w:rPr>
          <w:t>ii</w:t>
        </w:r>
        <w:r w:rsidRPr="007B6846">
          <w:rPr>
            <w:rStyle w:val="PageNumber"/>
            <w:rFonts w:ascii="Times New Roman" w:hAnsi="Times New Roman" w:cs="Times New Roman"/>
            <w:sz w:val="20"/>
            <w:szCs w:val="20"/>
          </w:rPr>
          <w:fldChar w:fldCharType="end"/>
        </w:r>
      </w:p>
    </w:sdtContent>
  </w:sdt>
  <w:p w14:paraId="0F446705" w14:textId="77777777" w:rsidR="00C61533" w:rsidRDefault="00C61533" w:rsidP="002C3BE8">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FAC7" w14:textId="77777777" w:rsidR="00C61533" w:rsidRPr="007B6846" w:rsidRDefault="00C61533" w:rsidP="007B6846">
    <w:pPr>
      <w:pStyle w:val="Footer"/>
      <w:framePr w:wrap="none" w:vAnchor="text" w:hAnchor="margin" w:xAlign="outside" w:y="1"/>
      <w:spacing w:after="0"/>
      <w:rPr>
        <w:rStyle w:val="PageNumber"/>
        <w:rFonts w:ascii="Times New Roman" w:hAnsi="Times New Roman" w:cs="Times New Roman"/>
        <w:sz w:val="20"/>
        <w:szCs w:val="20"/>
      </w:rPr>
    </w:pPr>
    <w:r w:rsidRPr="007B6846">
      <w:rPr>
        <w:rStyle w:val="PageNumber"/>
        <w:rFonts w:ascii="Times New Roman" w:hAnsi="Times New Roman" w:cs="Times New Roman"/>
        <w:sz w:val="20"/>
        <w:szCs w:val="20"/>
      </w:rPr>
      <w:fldChar w:fldCharType="begin"/>
    </w:r>
    <w:r w:rsidRPr="007B6846">
      <w:rPr>
        <w:rStyle w:val="PageNumber"/>
        <w:rFonts w:ascii="Times New Roman" w:hAnsi="Times New Roman" w:cs="Times New Roman"/>
        <w:sz w:val="20"/>
        <w:szCs w:val="20"/>
      </w:rPr>
      <w:instrText xml:space="preserve"> PAGE </w:instrText>
    </w:r>
    <w:r w:rsidRPr="007B6846">
      <w:rPr>
        <w:rStyle w:val="PageNumber"/>
        <w:rFonts w:ascii="Times New Roman" w:hAnsi="Times New Roman" w:cs="Times New Roman"/>
        <w:sz w:val="20"/>
        <w:szCs w:val="20"/>
      </w:rPr>
      <w:fldChar w:fldCharType="separate"/>
    </w:r>
    <w:r w:rsidRPr="007B6846">
      <w:rPr>
        <w:rStyle w:val="PageNumber"/>
        <w:rFonts w:ascii="Times New Roman" w:hAnsi="Times New Roman" w:cs="Times New Roman"/>
        <w:noProof/>
        <w:sz w:val="20"/>
        <w:szCs w:val="20"/>
      </w:rPr>
      <w:t>32</w:t>
    </w:r>
    <w:r w:rsidRPr="007B6846">
      <w:rPr>
        <w:rStyle w:val="PageNumber"/>
        <w:rFonts w:ascii="Times New Roman" w:hAnsi="Times New Roman" w:cs="Times New Roman"/>
        <w:sz w:val="20"/>
        <w:szCs w:val="20"/>
      </w:rPr>
      <w:fldChar w:fldCharType="end"/>
    </w:r>
  </w:p>
  <w:p w14:paraId="5C9282ED" w14:textId="77777777" w:rsidR="00C61533" w:rsidRPr="00000032" w:rsidRDefault="00C61533" w:rsidP="00165678">
    <w:pPr>
      <w:pStyle w:val="Footer"/>
      <w:ind w:right="360" w:firstLine="360"/>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2893" w14:textId="77777777" w:rsidR="00C61533" w:rsidRPr="007B6846" w:rsidRDefault="00C61533" w:rsidP="007B6846">
    <w:pPr>
      <w:pStyle w:val="Footer"/>
      <w:framePr w:wrap="none" w:vAnchor="text" w:hAnchor="margin" w:xAlign="outside" w:y="1"/>
      <w:spacing w:after="0"/>
      <w:rPr>
        <w:rStyle w:val="PageNumber"/>
        <w:rFonts w:ascii="Times New Roman" w:hAnsi="Times New Roman" w:cs="Times New Roman"/>
        <w:sz w:val="20"/>
        <w:szCs w:val="20"/>
      </w:rPr>
    </w:pPr>
    <w:r w:rsidRPr="007B6846">
      <w:rPr>
        <w:rStyle w:val="PageNumber"/>
        <w:rFonts w:ascii="Times New Roman" w:hAnsi="Times New Roman" w:cs="Times New Roman"/>
        <w:sz w:val="20"/>
        <w:szCs w:val="20"/>
      </w:rPr>
      <w:fldChar w:fldCharType="begin"/>
    </w:r>
    <w:r w:rsidRPr="007B6846">
      <w:rPr>
        <w:rStyle w:val="PageNumber"/>
        <w:rFonts w:ascii="Times New Roman" w:hAnsi="Times New Roman" w:cs="Times New Roman"/>
        <w:sz w:val="20"/>
        <w:szCs w:val="20"/>
      </w:rPr>
      <w:instrText xml:space="preserve"> PAGE </w:instrText>
    </w:r>
    <w:r w:rsidRPr="007B6846">
      <w:rPr>
        <w:rStyle w:val="PageNumber"/>
        <w:rFonts w:ascii="Times New Roman" w:hAnsi="Times New Roman" w:cs="Times New Roman"/>
        <w:sz w:val="20"/>
        <w:szCs w:val="20"/>
      </w:rPr>
      <w:fldChar w:fldCharType="separate"/>
    </w:r>
    <w:r w:rsidRPr="007B6846">
      <w:rPr>
        <w:rStyle w:val="PageNumber"/>
        <w:rFonts w:ascii="Times New Roman" w:hAnsi="Times New Roman" w:cs="Times New Roman"/>
        <w:noProof/>
        <w:sz w:val="20"/>
        <w:szCs w:val="20"/>
      </w:rPr>
      <w:t>v</w:t>
    </w:r>
    <w:r w:rsidRPr="007B6846">
      <w:rPr>
        <w:rStyle w:val="PageNumber"/>
        <w:rFonts w:ascii="Times New Roman" w:hAnsi="Times New Roman" w:cs="Times New Roman"/>
        <w:sz w:val="20"/>
        <w:szCs w:val="20"/>
      </w:rPr>
      <w:fldChar w:fldCharType="end"/>
    </w:r>
  </w:p>
  <w:p w14:paraId="78AE4F50" w14:textId="77777777" w:rsidR="00C61533" w:rsidRPr="00C37965" w:rsidRDefault="00C61533" w:rsidP="00165678">
    <w:pPr>
      <w:pStyle w:val="Footer"/>
      <w:ind w:right="360" w:firstLine="360"/>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7514017"/>
      <w:docPartObj>
        <w:docPartGallery w:val="Page Numbers (Bottom of Page)"/>
        <w:docPartUnique/>
      </w:docPartObj>
    </w:sdtPr>
    <w:sdtEndPr>
      <w:rPr>
        <w:rStyle w:val="PageNumber"/>
        <w:rFonts w:ascii="Times New Roman" w:hAnsi="Times New Roman" w:cs="Times New Roman"/>
      </w:rPr>
    </w:sdtEndPr>
    <w:sdtContent>
      <w:p w14:paraId="21247CF8" w14:textId="77777777" w:rsidR="00C61533" w:rsidRPr="007B6846" w:rsidRDefault="00C61533" w:rsidP="007B6846">
        <w:pPr>
          <w:pStyle w:val="Footer"/>
          <w:framePr w:wrap="none" w:vAnchor="text" w:hAnchor="margin" w:xAlign="outside" w:y="1"/>
          <w:spacing w:after="0"/>
          <w:rPr>
            <w:rStyle w:val="PageNumber"/>
            <w:rFonts w:ascii="Times New Roman" w:hAnsi="Times New Roman" w:cs="Times New Roman"/>
          </w:rPr>
        </w:pPr>
        <w:r w:rsidRPr="007B6846">
          <w:rPr>
            <w:rStyle w:val="PageNumber"/>
            <w:rFonts w:ascii="Times New Roman" w:hAnsi="Times New Roman" w:cs="Times New Roman"/>
            <w:sz w:val="20"/>
            <w:szCs w:val="20"/>
          </w:rPr>
          <w:fldChar w:fldCharType="begin"/>
        </w:r>
        <w:r w:rsidRPr="007B6846">
          <w:rPr>
            <w:rStyle w:val="PageNumber"/>
            <w:rFonts w:ascii="Times New Roman" w:hAnsi="Times New Roman" w:cs="Times New Roman"/>
            <w:sz w:val="20"/>
            <w:szCs w:val="20"/>
          </w:rPr>
          <w:instrText xml:space="preserve"> PAGE </w:instrText>
        </w:r>
        <w:r w:rsidRPr="007B6846">
          <w:rPr>
            <w:rStyle w:val="PageNumber"/>
            <w:rFonts w:ascii="Times New Roman" w:hAnsi="Times New Roman" w:cs="Times New Roman"/>
            <w:sz w:val="20"/>
            <w:szCs w:val="20"/>
          </w:rPr>
          <w:fldChar w:fldCharType="separate"/>
        </w:r>
        <w:r w:rsidRPr="007B6846">
          <w:rPr>
            <w:rStyle w:val="PageNumber"/>
            <w:rFonts w:ascii="Times New Roman" w:hAnsi="Times New Roman" w:cs="Times New Roman"/>
            <w:noProof/>
            <w:sz w:val="20"/>
            <w:szCs w:val="20"/>
          </w:rPr>
          <w:t>ii</w:t>
        </w:r>
        <w:r w:rsidRPr="007B6846">
          <w:rPr>
            <w:rStyle w:val="PageNumber"/>
            <w:rFonts w:ascii="Times New Roman" w:hAnsi="Times New Roman" w:cs="Times New Roman"/>
            <w:sz w:val="20"/>
            <w:szCs w:val="20"/>
          </w:rPr>
          <w:fldChar w:fldCharType="end"/>
        </w:r>
      </w:p>
    </w:sdtContent>
  </w:sdt>
  <w:p w14:paraId="0FDAFC3B" w14:textId="77777777" w:rsidR="00C61533" w:rsidRDefault="00C61533" w:rsidP="002C3BE8">
    <w:pPr>
      <w:pStyle w:val="Footer"/>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9841070"/>
      <w:docPartObj>
        <w:docPartGallery w:val="Page Numbers (Bottom of Page)"/>
        <w:docPartUnique/>
      </w:docPartObj>
    </w:sdtPr>
    <w:sdtEndPr>
      <w:rPr>
        <w:rStyle w:val="PageNumber"/>
        <w:rFonts w:cs="Times New Roman"/>
        <w:sz w:val="20"/>
        <w:szCs w:val="20"/>
      </w:rPr>
    </w:sdtEndPr>
    <w:sdtContent>
      <w:p w14:paraId="7DBB43F5" w14:textId="77777777" w:rsidR="00C61533" w:rsidRDefault="00C61533" w:rsidP="007B6846">
        <w:pPr>
          <w:pStyle w:val="Footer"/>
          <w:framePr w:wrap="none" w:vAnchor="text" w:hAnchor="margin" w:xAlign="outside" w:y="1"/>
          <w:spacing w:after="0"/>
          <w:rPr>
            <w:rStyle w:val="PageNumber"/>
          </w:rPr>
        </w:pPr>
        <w:r w:rsidRPr="007B6846">
          <w:rPr>
            <w:rStyle w:val="PageNumber"/>
            <w:rFonts w:ascii="Times New Roman" w:hAnsi="Times New Roman" w:cs="Times New Roman"/>
            <w:sz w:val="20"/>
            <w:szCs w:val="20"/>
          </w:rPr>
          <w:fldChar w:fldCharType="begin"/>
        </w:r>
        <w:r w:rsidRPr="007B6846">
          <w:rPr>
            <w:rStyle w:val="PageNumber"/>
            <w:rFonts w:ascii="Times New Roman" w:hAnsi="Times New Roman" w:cs="Times New Roman"/>
            <w:sz w:val="20"/>
            <w:szCs w:val="20"/>
          </w:rPr>
          <w:instrText xml:space="preserve"> PAGE </w:instrText>
        </w:r>
        <w:r w:rsidRPr="007B6846">
          <w:rPr>
            <w:rStyle w:val="PageNumber"/>
            <w:rFonts w:ascii="Times New Roman" w:hAnsi="Times New Roman" w:cs="Times New Roman"/>
            <w:sz w:val="20"/>
            <w:szCs w:val="20"/>
          </w:rPr>
          <w:fldChar w:fldCharType="separate"/>
        </w:r>
        <w:r w:rsidRPr="007B6846">
          <w:rPr>
            <w:rStyle w:val="PageNumber"/>
            <w:rFonts w:ascii="Times New Roman" w:hAnsi="Times New Roman" w:cs="Times New Roman"/>
            <w:noProof/>
            <w:sz w:val="20"/>
            <w:szCs w:val="20"/>
          </w:rPr>
          <w:t>ii</w:t>
        </w:r>
        <w:r w:rsidRPr="007B6846">
          <w:rPr>
            <w:rStyle w:val="PageNumber"/>
            <w:rFonts w:ascii="Times New Roman" w:hAnsi="Times New Roman" w:cs="Times New Roman"/>
            <w:sz w:val="20"/>
            <w:szCs w:val="20"/>
          </w:rPr>
          <w:fldChar w:fldCharType="end"/>
        </w:r>
      </w:p>
    </w:sdtContent>
  </w:sdt>
  <w:p w14:paraId="142B104F" w14:textId="77777777" w:rsidR="00C61533" w:rsidRDefault="00C61533" w:rsidP="002C3BE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4824" w14:textId="77777777" w:rsidR="00E43830" w:rsidRPr="009220C6" w:rsidRDefault="00E43830" w:rsidP="009220C6">
      <w:pPr>
        <w:rPr>
          <w:rFonts w:cs="Times New Roman"/>
          <w:sz w:val="20"/>
          <w:szCs w:val="20"/>
        </w:rPr>
      </w:pPr>
      <w:r w:rsidRPr="009220C6">
        <w:rPr>
          <w:rFonts w:cs="Times New Roman"/>
          <w:sz w:val="20"/>
          <w:szCs w:val="20"/>
        </w:rPr>
        <w:separator/>
      </w:r>
    </w:p>
  </w:footnote>
  <w:footnote w:type="continuationSeparator" w:id="0">
    <w:p w14:paraId="0F6EA512" w14:textId="77777777" w:rsidR="00E43830" w:rsidRPr="009220C6" w:rsidRDefault="00E43830" w:rsidP="009220C6">
      <w:pPr>
        <w:rPr>
          <w:rFonts w:cs="Times New Roman"/>
          <w:sz w:val="20"/>
          <w:szCs w:val="20"/>
        </w:rPr>
      </w:pPr>
      <w:r w:rsidRPr="009220C6">
        <w:rPr>
          <w:rFonts w:cs="Times New Roman"/>
          <w:sz w:val="20"/>
          <w:szCs w:val="20"/>
        </w:rPr>
        <w:continuationSeparator/>
      </w:r>
    </w:p>
  </w:footnote>
  <w:footnote w:type="continuationNotice" w:id="1">
    <w:p w14:paraId="21CD6260" w14:textId="77777777" w:rsidR="00E43830" w:rsidRPr="009220C6" w:rsidRDefault="00E43830">
      <w:pPr>
        <w:rPr>
          <w:rFonts w:cs="Times New Roman"/>
          <w:sz w:val="20"/>
          <w:szCs w:val="20"/>
        </w:rPr>
      </w:pPr>
    </w:p>
  </w:footnote>
  <w:footnote w:id="2">
    <w:p w14:paraId="530AA384" w14:textId="7025403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These numbers include eight members of the Elder and Succession Law Committee, eight members of the Litigation Committee, nine members of the Family Law Committee, the joint submission lodged by Dorothy Lowe on behalf of her eight siblings, and the joint submission of Christine Schokman, Dexter Marcenko and Michael Flanagan.</w:t>
      </w:r>
    </w:p>
  </w:footnote>
  <w:footnote w:id="3">
    <w:p w14:paraId="0DA93148" w14:textId="31971D1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Submissions #1I and #2I.</w:t>
      </w:r>
    </w:p>
  </w:footnote>
  <w:footnote w:id="4">
    <w:p w14:paraId="75E21524" w14:textId="147F4CA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Without intending any disrespect, the Institute refers to this joint submission throughout this report as ‘Dorothy Lowe and siblings’.</w:t>
      </w:r>
    </w:p>
  </w:footnote>
  <w:footnote w:id="5">
    <w:p w14:paraId="051F62F7" w14:textId="33B25597" w:rsidR="00C61533" w:rsidRPr="00675D56" w:rsidRDefault="00C61533" w:rsidP="004769DF">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Style w:val="FootnoteTextTLRIChar"/>
          <w:rFonts w:asciiTheme="majorBidi" w:hAnsiTheme="majorBidi" w:cstheme="majorBidi"/>
          <w:lang w:val="x-none"/>
        </w:rPr>
        <w:t xml:space="preserve">There are three elements that must exist for a valid </w:t>
      </w:r>
      <w:r w:rsidRPr="00675D56">
        <w:rPr>
          <w:rStyle w:val="FootnoteTextTLRIChar"/>
          <w:rFonts w:asciiTheme="majorBidi" w:hAnsiTheme="majorBidi" w:cstheme="majorBidi"/>
          <w:i/>
          <w:iCs/>
          <w:lang w:val="x-none"/>
        </w:rPr>
        <w:t>donatio mortis causa</w:t>
      </w:r>
      <w:r w:rsidRPr="00675D56">
        <w:rPr>
          <w:rStyle w:val="FootnoteTextTLRIChar"/>
          <w:rFonts w:asciiTheme="majorBidi" w:hAnsiTheme="majorBidi" w:cstheme="majorBidi"/>
          <w:lang w:val="x-none"/>
        </w:rPr>
        <w:t xml:space="preserve">: </w:t>
      </w:r>
      <w:r w:rsidRPr="00675D56">
        <w:rPr>
          <w:rStyle w:val="FootnoteTextTLRIChar"/>
          <w:rFonts w:asciiTheme="majorBidi" w:hAnsiTheme="majorBidi" w:cstheme="majorBidi"/>
        </w:rPr>
        <w:t>‘(1) the gift must be made in contemplation of the donor’s death, although not necessarily in expectation of death; (2) there must be delivery of the subject matter of the gift to the donee or a transfer of the means or part of the means of getting at the property, or, as has been said, the essential indicia of title; and (3) the gift must be conditional upon it taking effect on the death of the donor, being revocable until that event occurs’:</w:t>
      </w:r>
      <w:r w:rsidRPr="00675D56">
        <w:rPr>
          <w:rStyle w:val="FootnoteTextTLRIChar"/>
          <w:rFonts w:asciiTheme="majorBidi" w:hAnsiTheme="majorBidi" w:cstheme="majorBidi"/>
          <w:lang w:val="x-none"/>
        </w:rPr>
        <w:t xml:space="preserve"> </w:t>
      </w:r>
      <w:r w:rsidRPr="00675D56">
        <w:rPr>
          <w:rStyle w:val="FootnoteTextTLRIChar"/>
          <w:rFonts w:asciiTheme="majorBidi" w:hAnsiTheme="majorBidi" w:cstheme="majorBidi"/>
          <w:i/>
          <w:iCs/>
          <w:lang w:val="x-none"/>
        </w:rPr>
        <w:t>P</w:t>
      </w:r>
      <w:r w:rsidRPr="00675D56">
        <w:rPr>
          <w:rStyle w:val="FootnoteTextTLRIChar"/>
          <w:rFonts w:asciiTheme="majorBidi" w:hAnsiTheme="majorBidi" w:cstheme="majorBidi"/>
          <w:i/>
          <w:iCs/>
        </w:rPr>
        <w:t xml:space="preserve">ublic Trustee v Bussell </w:t>
      </w:r>
      <w:r w:rsidRPr="00675D56">
        <w:rPr>
          <w:rStyle w:val="FootnoteTextTLRIChar"/>
          <w:rFonts w:asciiTheme="majorBidi" w:hAnsiTheme="majorBidi" w:cstheme="majorBidi"/>
        </w:rPr>
        <w:t xml:space="preserve">(1993) 30 NSWLR 111, 115 (Cohen J) </w:t>
      </w:r>
      <w:r w:rsidRPr="00675D56">
        <w:rPr>
          <w:rStyle w:val="FootnoteTextTLRIChar"/>
          <w:rFonts w:asciiTheme="majorBidi" w:hAnsiTheme="majorBidi" w:cstheme="majorBidi"/>
          <w:lang w:val="x-none"/>
        </w:rPr>
        <w:t xml:space="preserve">quoted in </w:t>
      </w:r>
      <w:r w:rsidRPr="00675D56">
        <w:rPr>
          <w:rStyle w:val="FootnoteTextTLRIChar"/>
          <w:rFonts w:asciiTheme="majorBidi" w:hAnsiTheme="majorBidi" w:cstheme="majorBidi"/>
          <w:i/>
          <w:iCs/>
          <w:szCs w:val="22"/>
        </w:rPr>
        <w:t>Hobbes v NSW Trustee &amp; Guardian</w:t>
      </w:r>
      <w:r w:rsidRPr="00675D56">
        <w:rPr>
          <w:rStyle w:val="FootnoteTextTLRIChar"/>
          <w:rFonts w:asciiTheme="majorBidi" w:hAnsiTheme="majorBidi" w:cstheme="majorBidi"/>
          <w:szCs w:val="22"/>
        </w:rPr>
        <w:t xml:space="preserve"> [2014] NSWSC 570, [22] (</w:t>
      </w:r>
      <w:r w:rsidRPr="00675D56">
        <w:rPr>
          <w:rStyle w:val="FootnoteTextTLRIChar"/>
          <w:rFonts w:asciiTheme="majorBidi" w:hAnsiTheme="majorBidi" w:cstheme="majorBidi"/>
          <w:szCs w:val="22"/>
          <w:lang w:val="x-none"/>
        </w:rPr>
        <w:t>White J</w:t>
      </w:r>
      <w:r w:rsidRPr="00675D56">
        <w:rPr>
          <w:rStyle w:val="FootnoteTextTLRIChar"/>
          <w:rFonts w:asciiTheme="majorBidi" w:hAnsiTheme="majorBidi" w:cstheme="majorBidi"/>
          <w:szCs w:val="22"/>
        </w:rPr>
        <w:t>)</w:t>
      </w:r>
      <w:r w:rsidRPr="00675D56">
        <w:rPr>
          <w:rStyle w:val="FootnoteTextTLRIChar"/>
          <w:rFonts w:asciiTheme="majorBidi" w:hAnsiTheme="majorBidi" w:cstheme="majorBidi"/>
          <w:szCs w:val="22"/>
          <w:lang w:val="x-none"/>
        </w:rPr>
        <w:t>.</w:t>
      </w:r>
      <w:r w:rsidRPr="00675D56">
        <w:rPr>
          <w:rStyle w:val="FootnoteTextTLRIChar"/>
          <w:rFonts w:asciiTheme="majorBidi" w:hAnsiTheme="majorBidi" w:cstheme="majorBidi"/>
        </w:rPr>
        <w:t xml:space="preserve"> Its effect is to render effective an otherwise imperfect gift: </w:t>
      </w:r>
      <w:r w:rsidRPr="00675D56">
        <w:rPr>
          <w:rStyle w:val="FootnoteTextTLRIChar"/>
          <w:rFonts w:asciiTheme="majorBidi" w:hAnsiTheme="majorBidi" w:cstheme="majorBidi"/>
          <w:i/>
          <w:iCs/>
        </w:rPr>
        <w:t>Hobbes v NSW Trustee &amp; Guardian</w:t>
      </w:r>
      <w:r w:rsidRPr="00675D56">
        <w:rPr>
          <w:rStyle w:val="FootnoteTextTLRIChar"/>
          <w:rFonts w:asciiTheme="majorBidi" w:hAnsiTheme="majorBidi" w:cstheme="majorBidi"/>
        </w:rPr>
        <w:t xml:space="preserve"> [2014] NSWSC 570, [1].</w:t>
      </w:r>
    </w:p>
  </w:footnote>
  <w:footnote w:id="6">
    <w:p w14:paraId="158D9245" w14:textId="00FBBB8C" w:rsidR="00C61533" w:rsidRPr="00675D56" w:rsidRDefault="00C61533" w:rsidP="000D4FE4">
      <w:pPr>
        <w:pStyle w:val="FootnoteTextTLRI"/>
        <w:jc w:val="left"/>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Supreme Court of Tasmania – Probate and Administration &lt;</w:t>
      </w:r>
      <w:r w:rsidRPr="00675D56">
        <w:rPr>
          <w:rFonts w:asciiTheme="majorBidi" w:hAnsiTheme="majorBidi" w:cstheme="majorBidi"/>
          <w:szCs w:val="20"/>
        </w:rPr>
        <w:t>https://www.supremecourt.tas.gov.au/probate_and_administration</w:t>
      </w:r>
      <w:r w:rsidRPr="00675D56">
        <w:rPr>
          <w:rFonts w:asciiTheme="majorBidi" w:hAnsiTheme="majorBidi" w:cstheme="majorBidi"/>
        </w:rPr>
        <w:t xml:space="preserve">&gt;. </w:t>
      </w:r>
    </w:p>
  </w:footnote>
  <w:footnote w:id="7">
    <w:p w14:paraId="73310D6C" w14:textId="4CB101B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w:t>
      </w:r>
    </w:p>
  </w:footnote>
  <w:footnote w:id="8">
    <w:p w14:paraId="1B44968D" w14:textId="114B203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In Tasmania, these laws are contained within the </w:t>
      </w:r>
      <w:r w:rsidRPr="00675D56">
        <w:rPr>
          <w:rFonts w:asciiTheme="majorBidi" w:hAnsiTheme="majorBidi" w:cstheme="majorBidi"/>
          <w:i/>
          <w:iCs/>
        </w:rPr>
        <w:t>Intestacy Act 2010</w:t>
      </w:r>
      <w:r w:rsidRPr="00675D56">
        <w:rPr>
          <w:rFonts w:asciiTheme="majorBidi" w:hAnsiTheme="majorBidi" w:cstheme="majorBidi"/>
        </w:rPr>
        <w:t xml:space="preserve"> (Tas) (‘</w:t>
      </w:r>
      <w:r w:rsidRPr="00675D56">
        <w:rPr>
          <w:rFonts w:asciiTheme="majorBidi" w:hAnsiTheme="majorBidi" w:cstheme="majorBidi"/>
          <w:i/>
          <w:iCs/>
        </w:rPr>
        <w:t>Intestacy Act</w:t>
      </w:r>
      <w:r w:rsidRPr="00675D56">
        <w:rPr>
          <w:rFonts w:asciiTheme="majorBidi" w:hAnsiTheme="majorBidi" w:cstheme="majorBidi"/>
        </w:rPr>
        <w:t>’).</w:t>
      </w:r>
    </w:p>
  </w:footnote>
  <w:footnote w:id="9">
    <w:p w14:paraId="31506309" w14:textId="356F3FD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rPr>
        <w:t>Testator’s Family Maintenance Act 1912</w:t>
      </w:r>
      <w:r w:rsidRPr="00675D56">
        <w:rPr>
          <w:rFonts w:asciiTheme="majorBidi" w:hAnsiTheme="majorBidi" w:cstheme="majorBidi"/>
        </w:rPr>
        <w:t xml:space="preserve"> (Tas) (‘</w:t>
      </w:r>
      <w:r w:rsidRPr="00675D56">
        <w:rPr>
          <w:rFonts w:asciiTheme="majorBidi" w:hAnsiTheme="majorBidi" w:cstheme="majorBidi"/>
          <w:i/>
          <w:iCs/>
        </w:rPr>
        <w:t>TFM Act</w:t>
      </w:r>
      <w:r w:rsidRPr="00675D56">
        <w:rPr>
          <w:rFonts w:asciiTheme="majorBidi" w:hAnsiTheme="majorBidi" w:cstheme="majorBidi"/>
        </w:rPr>
        <w:t xml:space="preserve">’); </w:t>
      </w:r>
      <w:r w:rsidRPr="00675D56">
        <w:rPr>
          <w:rFonts w:asciiTheme="majorBidi" w:hAnsiTheme="majorBidi" w:cstheme="majorBidi"/>
          <w:i/>
          <w:iCs/>
        </w:rPr>
        <w:t>Family Provision Act 1969</w:t>
      </w:r>
      <w:r w:rsidRPr="00675D56">
        <w:rPr>
          <w:rFonts w:asciiTheme="majorBidi" w:hAnsiTheme="majorBidi" w:cstheme="majorBidi"/>
        </w:rPr>
        <w:t xml:space="preserve"> (ACT); </w:t>
      </w:r>
      <w:r w:rsidRPr="00675D56">
        <w:rPr>
          <w:rFonts w:asciiTheme="majorBidi" w:hAnsiTheme="majorBidi" w:cstheme="majorBidi"/>
          <w:i/>
          <w:iCs/>
        </w:rPr>
        <w:t>Succession Act 2006</w:t>
      </w:r>
      <w:r w:rsidRPr="00675D56">
        <w:rPr>
          <w:rFonts w:asciiTheme="majorBidi" w:hAnsiTheme="majorBidi" w:cstheme="majorBidi"/>
        </w:rPr>
        <w:t xml:space="preserve"> (NSW) Pt 3.2 (‘NSW</w:t>
      </w:r>
      <w:r w:rsidRPr="00675D56">
        <w:rPr>
          <w:rFonts w:asciiTheme="majorBidi" w:hAnsiTheme="majorBidi" w:cstheme="majorBidi"/>
          <w:i/>
          <w:iCs/>
        </w:rPr>
        <w:t xml:space="preserve"> Succession Act</w:t>
      </w:r>
      <w:r w:rsidRPr="00675D56">
        <w:rPr>
          <w:rFonts w:asciiTheme="majorBidi" w:hAnsiTheme="majorBidi" w:cstheme="majorBidi"/>
        </w:rPr>
        <w:t xml:space="preserve">’); </w:t>
      </w:r>
      <w:r w:rsidRPr="00675D56">
        <w:rPr>
          <w:rFonts w:asciiTheme="majorBidi" w:hAnsiTheme="majorBidi" w:cstheme="majorBidi"/>
          <w:i/>
          <w:iCs/>
        </w:rPr>
        <w:t>Family Provision Act 1970</w:t>
      </w:r>
      <w:r w:rsidRPr="00675D56">
        <w:rPr>
          <w:rFonts w:asciiTheme="majorBidi" w:hAnsiTheme="majorBidi" w:cstheme="majorBidi"/>
        </w:rPr>
        <w:t xml:space="preserve"> (NT); </w:t>
      </w:r>
      <w:r w:rsidRPr="00675D56">
        <w:rPr>
          <w:rFonts w:asciiTheme="majorBidi" w:hAnsiTheme="majorBidi" w:cstheme="majorBidi"/>
          <w:i/>
          <w:iCs/>
        </w:rPr>
        <w:t>Succession Act 1981</w:t>
      </w:r>
      <w:r w:rsidRPr="00675D56">
        <w:rPr>
          <w:rFonts w:asciiTheme="majorBidi" w:hAnsiTheme="majorBidi" w:cstheme="majorBidi"/>
        </w:rPr>
        <w:t xml:space="preserve"> (Qld) Pt 4; </w:t>
      </w:r>
      <w:r w:rsidRPr="00675D56">
        <w:rPr>
          <w:rFonts w:asciiTheme="majorBidi" w:hAnsiTheme="majorBidi" w:cstheme="majorBidi"/>
          <w:i/>
          <w:iCs/>
        </w:rPr>
        <w:t>Inheritance (Family Provision) Act 1972</w:t>
      </w:r>
      <w:r w:rsidRPr="00675D56">
        <w:rPr>
          <w:rFonts w:asciiTheme="majorBidi" w:hAnsiTheme="majorBidi" w:cstheme="majorBidi"/>
        </w:rPr>
        <w:t xml:space="preserve"> (SA); </w:t>
      </w:r>
      <w:r w:rsidRPr="00675D56">
        <w:rPr>
          <w:rFonts w:asciiTheme="majorBidi" w:hAnsiTheme="majorBidi" w:cstheme="majorBidi"/>
          <w:i/>
          <w:iCs/>
        </w:rPr>
        <w:t>Administration and Probate Act 1958</w:t>
      </w:r>
      <w:r w:rsidRPr="00675D56">
        <w:rPr>
          <w:rFonts w:asciiTheme="majorBidi" w:hAnsiTheme="majorBidi" w:cstheme="majorBidi"/>
        </w:rPr>
        <w:t xml:space="preserve"> (Vic) Pt IV; </w:t>
      </w:r>
      <w:r w:rsidRPr="00675D56">
        <w:rPr>
          <w:rFonts w:asciiTheme="majorBidi" w:hAnsiTheme="majorBidi" w:cstheme="majorBidi"/>
          <w:i/>
          <w:iCs/>
        </w:rPr>
        <w:t>Family Provision Act 1972</w:t>
      </w:r>
      <w:r w:rsidRPr="00675D56">
        <w:rPr>
          <w:rFonts w:asciiTheme="majorBidi" w:hAnsiTheme="majorBidi" w:cstheme="majorBidi"/>
        </w:rPr>
        <w:t xml:space="preserve"> (WA).</w:t>
      </w:r>
    </w:p>
  </w:footnote>
  <w:footnote w:id="10">
    <w:p w14:paraId="73F41281" w14:textId="66E080B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
        </w:rPr>
        <w:t xml:space="preserve">TFM Act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_Ref2242859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w:t>
      </w:r>
      <w:r w:rsidRPr="00675D56">
        <w:rPr>
          <w:rFonts w:asciiTheme="majorBidi" w:hAnsiTheme="majorBidi" w:cstheme="majorBidi"/>
        </w:rPr>
        <w:fldChar w:fldCharType="end"/>
      </w:r>
      <w:r w:rsidRPr="00675D56">
        <w:rPr>
          <w:rFonts w:asciiTheme="majorBidi" w:hAnsiTheme="majorBidi" w:cstheme="majorBidi"/>
        </w:rPr>
        <w:t>) s 3(1).</w:t>
      </w:r>
    </w:p>
  </w:footnote>
  <w:footnote w:id="11">
    <w:p w14:paraId="41ABBDD4" w14:textId="5F9F2F5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The </w:t>
      </w:r>
      <w:r w:rsidRPr="00675D56">
        <w:rPr>
          <w:rFonts w:asciiTheme="majorBidi" w:hAnsiTheme="majorBidi" w:cstheme="majorBidi"/>
          <w:i/>
        </w:rPr>
        <w:t>Probate Rules 2017</w:t>
      </w:r>
      <w:r w:rsidRPr="00675D56">
        <w:rPr>
          <w:rFonts w:asciiTheme="majorBidi" w:hAnsiTheme="majorBidi" w:cstheme="majorBidi"/>
        </w:rPr>
        <w:t xml:space="preserve"> (Tas) require those applying to the Court for a Grant to file an inventory of the estate with their application: r 35(1). That inventory must contain details of ‘</w:t>
      </w:r>
      <w:r w:rsidRPr="00675D56">
        <w:rPr>
          <w:rFonts w:asciiTheme="majorBidi" w:hAnsiTheme="majorBidi" w:cstheme="majorBidi"/>
          <w:color w:val="000000"/>
          <w:shd w:val="clear" w:color="auto" w:fill="FFFFFF"/>
        </w:rPr>
        <w:t>the real and personal estate which the deceased possessed, or was entitled to, at the time of his or her death’: r 35(2)(a).</w:t>
      </w:r>
    </w:p>
  </w:footnote>
  <w:footnote w:id="12">
    <w:p w14:paraId="7576CE94" w14:textId="1A3EFDB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NSW </w:t>
      </w:r>
      <w:r w:rsidRPr="00675D56">
        <w:rPr>
          <w:rFonts w:asciiTheme="majorBidi" w:hAnsiTheme="majorBidi" w:cstheme="majorBidi"/>
          <w:i/>
        </w:rPr>
        <w:t xml:space="preserve">Succession Act </w:t>
      </w:r>
      <w:r w:rsidRPr="00675D56">
        <w:rPr>
          <w:rFonts w:asciiTheme="majorBidi" w:hAnsiTheme="majorBidi" w:cstheme="majorBidi"/>
          <w:iCs/>
        </w:rPr>
        <w:t xml:space="preserve">(n </w:t>
      </w:r>
      <w:r w:rsidRPr="00675D56">
        <w:rPr>
          <w:rFonts w:asciiTheme="majorBidi" w:hAnsiTheme="majorBidi" w:cstheme="majorBidi"/>
          <w:iCs/>
        </w:rPr>
        <w:fldChar w:fldCharType="begin"/>
      </w:r>
      <w:r w:rsidRPr="00675D56">
        <w:rPr>
          <w:rFonts w:asciiTheme="majorBidi" w:hAnsiTheme="majorBidi" w:cstheme="majorBidi"/>
          <w:iCs/>
        </w:rPr>
        <w:instrText xml:space="preserve"> NOTEREF _Ref2242859 \h </w:instrText>
      </w:r>
      <w:r>
        <w:rPr>
          <w:rFonts w:asciiTheme="majorBidi" w:hAnsiTheme="majorBidi" w:cstheme="majorBidi"/>
          <w:iCs/>
        </w:rPr>
        <w:instrText xml:space="preserve"> \* MERGEFORMAT </w:instrText>
      </w:r>
      <w:r w:rsidRPr="00675D56">
        <w:rPr>
          <w:rFonts w:asciiTheme="majorBidi" w:hAnsiTheme="majorBidi" w:cstheme="majorBidi"/>
          <w:iCs/>
        </w:rPr>
      </w:r>
      <w:r w:rsidRPr="00675D56">
        <w:rPr>
          <w:rFonts w:asciiTheme="majorBidi" w:hAnsiTheme="majorBidi" w:cstheme="majorBidi"/>
          <w:iCs/>
        </w:rPr>
        <w:fldChar w:fldCharType="separate"/>
      </w:r>
      <w:r>
        <w:rPr>
          <w:rFonts w:asciiTheme="majorBidi" w:hAnsiTheme="majorBidi" w:cstheme="majorBidi"/>
          <w:iCs/>
        </w:rPr>
        <w:t>8</w:t>
      </w:r>
      <w:r w:rsidRPr="00675D56">
        <w:rPr>
          <w:rFonts w:asciiTheme="majorBidi" w:hAnsiTheme="majorBidi" w:cstheme="majorBidi"/>
          <w:iCs/>
        </w:rPr>
        <w:fldChar w:fldCharType="end"/>
      </w:r>
      <w:r w:rsidRPr="00675D56">
        <w:rPr>
          <w:rFonts w:asciiTheme="majorBidi" w:hAnsiTheme="majorBidi" w:cstheme="majorBidi"/>
          <w:iCs/>
        </w:rPr>
        <w:t>)</w:t>
      </w:r>
      <w:r w:rsidRPr="00675D56">
        <w:rPr>
          <w:rFonts w:asciiTheme="majorBidi" w:hAnsiTheme="majorBidi" w:cstheme="majorBidi"/>
        </w:rPr>
        <w:t xml:space="preserve"> Pt 3.2.</w:t>
      </w:r>
    </w:p>
  </w:footnote>
  <w:footnote w:id="13">
    <w:p w14:paraId="2EDEDB28" w14:textId="7A1A5C2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See for example John Stuart Mill, </w:t>
      </w:r>
      <w:r w:rsidRPr="00675D56">
        <w:rPr>
          <w:rFonts w:asciiTheme="majorBidi" w:hAnsiTheme="majorBidi" w:cstheme="majorBidi"/>
          <w:i/>
        </w:rPr>
        <w:t>Principles of Political Economy</w:t>
      </w:r>
      <w:r w:rsidRPr="00675D56">
        <w:rPr>
          <w:rFonts w:asciiTheme="majorBidi" w:hAnsiTheme="majorBidi" w:cstheme="majorBidi"/>
        </w:rPr>
        <w:t xml:space="preserve"> (Longman, 1848) Ch 2.</w:t>
      </w:r>
    </w:p>
  </w:footnote>
  <w:footnote w:id="14">
    <w:p w14:paraId="3F7C3C16" w14:textId="00B9427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Rosalind Croucher and Prue Vines, </w:t>
      </w:r>
      <w:r w:rsidRPr="00675D56">
        <w:rPr>
          <w:rFonts w:asciiTheme="majorBidi" w:hAnsiTheme="majorBidi" w:cstheme="majorBidi"/>
          <w:i/>
        </w:rPr>
        <w:t>Succession: Families, Property and Death</w:t>
      </w:r>
      <w:r w:rsidRPr="00675D56">
        <w:rPr>
          <w:rFonts w:asciiTheme="majorBidi" w:hAnsiTheme="majorBidi" w:cstheme="majorBidi"/>
        </w:rPr>
        <w:t xml:space="preserve"> (LexisNexis Butterworths, 2014) 13–14. Emeritus Professor Rosalind Croucher AM is at the time of writing the President of the Australian Human Rights Commission and former President of the Australian Law Reform Commission.</w:t>
      </w:r>
    </w:p>
  </w:footnote>
  <w:footnote w:id="15">
    <w:p w14:paraId="32B39934" w14:textId="0E869A8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John De Groot and Bruce Nickel, </w:t>
      </w:r>
      <w:r w:rsidRPr="00675D56">
        <w:rPr>
          <w:rFonts w:asciiTheme="majorBidi" w:hAnsiTheme="majorBidi" w:cstheme="majorBidi"/>
          <w:i/>
        </w:rPr>
        <w:t>Family Provision in Australia</w:t>
      </w:r>
      <w:r w:rsidRPr="00675D56">
        <w:rPr>
          <w:rFonts w:asciiTheme="majorBidi" w:hAnsiTheme="majorBidi" w:cstheme="majorBidi"/>
        </w:rPr>
        <w:t xml:space="preserve"> (Lexis Nexis Butterworth, 4</w:t>
      </w:r>
      <w:r w:rsidRPr="00675D56">
        <w:rPr>
          <w:rFonts w:asciiTheme="majorBidi" w:hAnsiTheme="majorBidi" w:cstheme="majorBidi"/>
          <w:vertAlign w:val="superscript"/>
        </w:rPr>
        <w:t>th</w:t>
      </w:r>
      <w:r w:rsidRPr="00675D56">
        <w:rPr>
          <w:rFonts w:asciiTheme="majorBidi" w:hAnsiTheme="majorBidi" w:cstheme="majorBidi"/>
        </w:rPr>
        <w:t xml:space="preserve"> ed, 2012) 3–4.</w:t>
      </w:r>
    </w:p>
  </w:footnote>
  <w:footnote w:id="16">
    <w:p w14:paraId="2F0920C8" w14:textId="5F73D7A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rPr>
        <w:t>Widows and Young Children Maintenance Act 1906</w:t>
      </w:r>
      <w:r w:rsidRPr="00675D56">
        <w:rPr>
          <w:rFonts w:asciiTheme="majorBidi" w:hAnsiTheme="majorBidi" w:cstheme="majorBidi"/>
        </w:rPr>
        <w:t xml:space="preserve"> (Vic); </w:t>
      </w:r>
      <w:r w:rsidRPr="00675D56">
        <w:rPr>
          <w:rFonts w:asciiTheme="majorBidi" w:hAnsiTheme="majorBidi" w:cstheme="majorBidi"/>
          <w:i/>
          <w:iCs/>
        </w:rPr>
        <w:t>TFM Act</w:t>
      </w:r>
      <w:r w:rsidRPr="00675D56">
        <w:rPr>
          <w:rFonts w:asciiTheme="majorBidi" w:hAnsiTheme="majorBidi" w:cstheme="majorBidi"/>
        </w:rPr>
        <w:t xml:space="preserve"> (n </w:t>
      </w:r>
      <w:r w:rsidRPr="00675D56">
        <w:rPr>
          <w:rFonts w:asciiTheme="majorBidi" w:hAnsiTheme="majorBidi" w:cstheme="majorBidi"/>
        </w:rPr>
        <w:fldChar w:fldCharType="begin"/>
      </w:r>
      <w:r w:rsidRPr="00675D56">
        <w:rPr>
          <w:rFonts w:asciiTheme="majorBidi" w:hAnsiTheme="majorBidi" w:cstheme="majorBidi"/>
        </w:rPr>
        <w:instrText xml:space="preserve"> NOTEREF _Ref2242859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w:t>
      </w:r>
      <w:r w:rsidRPr="00675D56">
        <w:rPr>
          <w:rFonts w:asciiTheme="majorBidi" w:hAnsiTheme="majorBidi" w:cstheme="majorBidi"/>
        </w:rPr>
        <w:fldChar w:fldCharType="end"/>
      </w:r>
      <w:r w:rsidRPr="00675D56">
        <w:rPr>
          <w:rFonts w:asciiTheme="majorBidi" w:hAnsiTheme="majorBidi" w:cstheme="majorBidi"/>
        </w:rPr>
        <w:t xml:space="preserve">); </w:t>
      </w:r>
      <w:r w:rsidRPr="00675D56">
        <w:rPr>
          <w:rFonts w:asciiTheme="majorBidi" w:hAnsiTheme="majorBidi" w:cstheme="majorBidi"/>
          <w:i/>
          <w:iCs/>
        </w:rPr>
        <w:t>Testator’s Family Maintenance Act 1914</w:t>
      </w:r>
      <w:r w:rsidRPr="00675D56">
        <w:rPr>
          <w:rFonts w:asciiTheme="majorBidi" w:hAnsiTheme="majorBidi" w:cstheme="majorBidi"/>
        </w:rPr>
        <w:t xml:space="preserve"> (Qld); </w:t>
      </w:r>
      <w:r w:rsidRPr="00675D56">
        <w:rPr>
          <w:rFonts w:asciiTheme="majorBidi" w:hAnsiTheme="majorBidi" w:cstheme="majorBidi"/>
          <w:i/>
          <w:iCs/>
        </w:rPr>
        <w:t>Testator’s Family Maintenance and Guardianship of Infants Act 1916</w:t>
      </w:r>
      <w:r w:rsidRPr="00675D56">
        <w:rPr>
          <w:rFonts w:asciiTheme="majorBidi" w:hAnsiTheme="majorBidi" w:cstheme="majorBidi"/>
        </w:rPr>
        <w:t xml:space="preserve"> (NSW); </w:t>
      </w:r>
      <w:r w:rsidRPr="00675D56">
        <w:rPr>
          <w:rFonts w:asciiTheme="majorBidi" w:hAnsiTheme="majorBidi" w:cstheme="majorBidi"/>
          <w:i/>
          <w:iCs/>
        </w:rPr>
        <w:t>Testator’s Family Maintenance Act 1918</w:t>
      </w:r>
      <w:r w:rsidRPr="00675D56">
        <w:rPr>
          <w:rFonts w:asciiTheme="majorBidi" w:hAnsiTheme="majorBidi" w:cstheme="majorBidi"/>
        </w:rPr>
        <w:t xml:space="preserve"> (SA); </w:t>
      </w:r>
      <w:r w:rsidRPr="00675D56">
        <w:rPr>
          <w:rFonts w:asciiTheme="majorBidi" w:hAnsiTheme="majorBidi" w:cstheme="majorBidi"/>
          <w:i/>
          <w:iCs/>
        </w:rPr>
        <w:t>Guardianship of Infants Act 1920</w:t>
      </w:r>
      <w:r w:rsidRPr="00675D56">
        <w:rPr>
          <w:rFonts w:asciiTheme="majorBidi" w:hAnsiTheme="majorBidi" w:cstheme="majorBidi"/>
        </w:rPr>
        <w:t xml:space="preserve"> (WA); </w:t>
      </w:r>
      <w:r w:rsidRPr="00675D56">
        <w:rPr>
          <w:rFonts w:asciiTheme="majorBidi" w:hAnsiTheme="majorBidi" w:cstheme="majorBidi"/>
          <w:i/>
          <w:iCs/>
        </w:rPr>
        <w:t>Administration and Probate Ordinance 1929</w:t>
      </w:r>
      <w:r w:rsidRPr="00675D56">
        <w:rPr>
          <w:rFonts w:asciiTheme="majorBidi" w:hAnsiTheme="majorBidi" w:cstheme="majorBidi"/>
        </w:rPr>
        <w:t xml:space="preserve"> (ACT); </w:t>
      </w:r>
      <w:r w:rsidRPr="00675D56">
        <w:rPr>
          <w:rFonts w:asciiTheme="majorBidi" w:hAnsiTheme="majorBidi" w:cstheme="majorBidi"/>
          <w:i/>
          <w:iCs/>
        </w:rPr>
        <w:t>Testator’s Family Maintenance Ordinance 1929</w:t>
      </w:r>
      <w:r w:rsidRPr="00675D56">
        <w:rPr>
          <w:rFonts w:asciiTheme="majorBidi" w:hAnsiTheme="majorBidi" w:cstheme="majorBidi"/>
        </w:rPr>
        <w:t xml:space="preserve"> (NT).</w:t>
      </w:r>
    </w:p>
  </w:footnote>
  <w:footnote w:id="17">
    <w:p w14:paraId="0C3B57AD" w14:textId="5A9930A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
        </w:rPr>
        <w:t>Inheritance (Family Provision) Act 1938</w:t>
      </w:r>
      <w:r w:rsidRPr="00675D56">
        <w:rPr>
          <w:rFonts w:asciiTheme="majorBidi" w:hAnsiTheme="majorBidi" w:cstheme="majorBidi"/>
        </w:rPr>
        <w:t xml:space="preserve"> 1 &amp; 2 Geo 6, c 45. For a brief history of family provision law see Gino Dal Pont and Ken Mackie, </w:t>
      </w:r>
      <w:r w:rsidRPr="00675D56">
        <w:rPr>
          <w:rFonts w:asciiTheme="majorBidi" w:hAnsiTheme="majorBidi" w:cstheme="majorBidi"/>
          <w:i/>
        </w:rPr>
        <w:t>Law of Succession</w:t>
      </w:r>
      <w:r w:rsidRPr="00675D56">
        <w:rPr>
          <w:rFonts w:asciiTheme="majorBidi" w:hAnsiTheme="majorBidi" w:cstheme="majorBidi"/>
        </w:rPr>
        <w:t xml:space="preserve"> (Lexis Nexis Butterworth, 2</w:t>
      </w:r>
      <w:r w:rsidRPr="00675D56">
        <w:rPr>
          <w:rFonts w:asciiTheme="majorBidi" w:hAnsiTheme="majorBidi" w:cstheme="majorBidi"/>
          <w:vertAlign w:val="superscript"/>
        </w:rPr>
        <w:t>nd</w:t>
      </w:r>
      <w:r w:rsidRPr="00675D56">
        <w:rPr>
          <w:rFonts w:asciiTheme="majorBidi" w:hAnsiTheme="majorBidi" w:cstheme="majorBidi"/>
        </w:rPr>
        <w:t xml:space="preserve"> ed, 2017) [15.5]–[15.8].</w:t>
      </w:r>
    </w:p>
  </w:footnote>
  <w:footnote w:id="18">
    <w:p w14:paraId="5B9F321B" w14:textId="5DD30C5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New South Wales, </w:t>
      </w:r>
      <w:r w:rsidRPr="00675D56">
        <w:rPr>
          <w:rFonts w:asciiTheme="majorBidi" w:hAnsiTheme="majorBidi" w:cstheme="majorBidi"/>
          <w:i/>
        </w:rPr>
        <w:t>Parliamentary Debates</w:t>
      </w:r>
      <w:r w:rsidRPr="00675D56">
        <w:rPr>
          <w:rFonts w:asciiTheme="majorBidi" w:hAnsiTheme="majorBidi" w:cstheme="majorBidi"/>
        </w:rPr>
        <w:t>, Legislative Assembly, 3 August 1916, 578 (D R Hall, Attorney General and Minister for Justice).</w:t>
      </w:r>
    </w:p>
  </w:footnote>
  <w:footnote w:id="19">
    <w:p w14:paraId="3921117C" w14:textId="2898492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Lord Justice Simon, for example, has commented that the intention of family provision was ‘to prevent family dependants being thrown on the world with inadequate provision, when the person on whom they were dependent dies possessed of sufficient estate to provide for or contribute towards their maintenance.’: </w:t>
      </w:r>
      <w:r w:rsidRPr="00675D56">
        <w:rPr>
          <w:rFonts w:asciiTheme="majorBidi" w:hAnsiTheme="majorBidi" w:cstheme="majorBidi"/>
          <w:i/>
          <w:iCs/>
        </w:rPr>
        <w:t>Schaefer v Schuhmann</w:t>
      </w:r>
      <w:r w:rsidRPr="00675D56">
        <w:rPr>
          <w:rFonts w:asciiTheme="majorBidi" w:hAnsiTheme="majorBidi" w:cstheme="majorBidi"/>
        </w:rPr>
        <w:t xml:space="preserve"> [1972] AC 572, 596, cited in </w:t>
      </w:r>
      <w:r w:rsidRPr="00675D56">
        <w:rPr>
          <w:rFonts w:asciiTheme="majorBidi" w:hAnsiTheme="majorBidi" w:cstheme="majorBidi"/>
          <w:i/>
          <w:iCs/>
        </w:rPr>
        <w:t>Barns v Barns</w:t>
      </w:r>
      <w:r w:rsidRPr="00675D56">
        <w:rPr>
          <w:rFonts w:asciiTheme="majorBidi" w:hAnsiTheme="majorBidi" w:cstheme="majorBidi"/>
        </w:rPr>
        <w:t xml:space="preserve"> (2003) 214 CLR 169, 173, [2] (Gleeson CJ). Croucher has made similar comments: ‘Family provision legislation is </w:t>
      </w:r>
      <w:r w:rsidRPr="00675D56">
        <w:rPr>
          <w:rFonts w:asciiTheme="majorBidi" w:hAnsiTheme="majorBidi" w:cstheme="majorBidi"/>
          <w:i/>
          <w:iCs/>
        </w:rPr>
        <w:t>not</w:t>
      </w:r>
      <w:r w:rsidRPr="00675D56">
        <w:rPr>
          <w:rFonts w:asciiTheme="majorBidi" w:hAnsiTheme="majorBidi" w:cstheme="majorBidi"/>
        </w:rPr>
        <w:t xml:space="preserve">, as its name suggests, family </w:t>
      </w:r>
      <w:r w:rsidRPr="00675D56">
        <w:rPr>
          <w:rFonts w:asciiTheme="majorBidi" w:hAnsiTheme="majorBidi" w:cstheme="majorBidi"/>
          <w:i/>
          <w:iCs/>
        </w:rPr>
        <w:t>provision</w:t>
      </w:r>
      <w:r w:rsidRPr="00675D56">
        <w:rPr>
          <w:rFonts w:asciiTheme="majorBidi" w:hAnsiTheme="majorBidi" w:cstheme="majorBidi"/>
        </w:rPr>
        <w:t xml:space="preserve"> legislation. It was cast as family </w:t>
      </w:r>
      <w:r w:rsidRPr="00675D56">
        <w:rPr>
          <w:rFonts w:asciiTheme="majorBidi" w:hAnsiTheme="majorBidi" w:cstheme="majorBidi"/>
          <w:i/>
          <w:iCs/>
        </w:rPr>
        <w:t>maintenance</w:t>
      </w:r>
      <w:r w:rsidRPr="00675D56">
        <w:rPr>
          <w:rFonts w:asciiTheme="majorBidi" w:hAnsiTheme="majorBidi" w:cstheme="majorBidi"/>
        </w:rPr>
        <w:t xml:space="preserve"> legislation within strict confines. And it was cast from the perspective of the testator. It did not impose a restriction upon testamentary freedom, except in a broad, minimally corrective sense.’: Rosalind Croucher, ‘Contracts to Leave Property by Will and Family Provision after </w:t>
      </w:r>
      <w:r w:rsidRPr="00675D56">
        <w:rPr>
          <w:rFonts w:asciiTheme="majorBidi" w:hAnsiTheme="majorBidi" w:cstheme="majorBidi"/>
          <w:i/>
          <w:iCs/>
        </w:rPr>
        <w:t>Barns v Barns</w:t>
      </w:r>
      <w:r w:rsidRPr="00675D56">
        <w:rPr>
          <w:rFonts w:asciiTheme="majorBidi" w:hAnsiTheme="majorBidi" w:cstheme="majorBidi"/>
        </w:rPr>
        <w:t xml:space="preserve"> (2003) 196 ALR 65 — Orthodoxy or Aberration?’ (2005) 27(2) </w:t>
      </w:r>
      <w:r w:rsidRPr="00675D56">
        <w:rPr>
          <w:rFonts w:asciiTheme="majorBidi" w:hAnsiTheme="majorBidi" w:cstheme="majorBidi"/>
          <w:i/>
          <w:iCs/>
        </w:rPr>
        <w:t>Sydney Law Review</w:t>
      </w:r>
      <w:r w:rsidRPr="00675D56">
        <w:rPr>
          <w:rFonts w:asciiTheme="majorBidi" w:hAnsiTheme="majorBidi" w:cstheme="majorBidi"/>
        </w:rPr>
        <w:t xml:space="preserve"> 263, 282.</w:t>
      </w:r>
    </w:p>
  </w:footnote>
  <w:footnote w:id="20">
    <w:p w14:paraId="67B53327" w14:textId="0F4A0C9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Malcolm Voyce, ‘Family Provision, the Family Farm and Rural Patriarchy: Three Actors in Search of a Play’ (2014) 19 </w:t>
      </w:r>
      <w:r w:rsidRPr="00675D56">
        <w:rPr>
          <w:rFonts w:asciiTheme="majorBidi" w:hAnsiTheme="majorBidi" w:cstheme="majorBidi"/>
          <w:i/>
          <w:iCs/>
        </w:rPr>
        <w:t>Deakin Law Rev</w:t>
      </w:r>
      <w:r w:rsidRPr="00675D56">
        <w:rPr>
          <w:rFonts w:asciiTheme="majorBidi" w:hAnsiTheme="majorBidi" w:cstheme="majorBidi"/>
        </w:rPr>
        <w:t>iew 347, 353.</w:t>
      </w:r>
    </w:p>
  </w:footnote>
  <w:footnote w:id="21">
    <w:p w14:paraId="62AFAEC7" w14:textId="6376749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Barns v Barns</w:t>
      </w:r>
      <w:r w:rsidRPr="00675D56">
        <w:rPr>
          <w:rFonts w:asciiTheme="majorBidi" w:hAnsiTheme="majorBidi" w:cstheme="majorBidi"/>
        </w:rPr>
        <w:t xml:space="preserve"> (2003) 214 CLR 169.</w:t>
      </w:r>
    </w:p>
  </w:footnote>
  <w:footnote w:id="22">
    <w:p w14:paraId="08D0F3F8" w14:textId="5BE963D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White v Barron</w:t>
      </w:r>
      <w:r w:rsidRPr="00675D56">
        <w:rPr>
          <w:rFonts w:asciiTheme="majorBidi" w:hAnsiTheme="majorBidi" w:cstheme="majorBidi"/>
        </w:rPr>
        <w:t xml:space="preserve"> (1980) 144 CLR 431, 439[7] (Stephen J).</w:t>
      </w:r>
    </w:p>
  </w:footnote>
  <w:footnote w:id="23">
    <w:p w14:paraId="532C253E" w14:textId="7CC8A77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Barns v Barns</w:t>
      </w:r>
      <w:r w:rsidRPr="00675D56">
        <w:rPr>
          <w:rFonts w:asciiTheme="majorBidi" w:hAnsiTheme="majorBidi" w:cstheme="majorBidi"/>
        </w:rPr>
        <w:t xml:space="preserve"> (2003) 214 CLR 169, 212 [132] (Callinan J). </w:t>
      </w:r>
    </w:p>
  </w:footnote>
  <w:footnote w:id="24">
    <w:p w14:paraId="5F9DA58C" w14:textId="2AD941B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Rosalind Croucher, ‘Conflicting Narratives in Succession Law – A Review of Recent Cases’ (2010) 14(2) </w:t>
      </w:r>
      <w:r w:rsidRPr="00675D56">
        <w:rPr>
          <w:rFonts w:asciiTheme="majorBidi" w:hAnsiTheme="majorBidi" w:cstheme="majorBidi"/>
          <w:i/>
          <w:iCs/>
        </w:rPr>
        <w:t xml:space="preserve">Australian Property Law Journal </w:t>
      </w:r>
      <w:r w:rsidRPr="00675D56">
        <w:rPr>
          <w:rFonts w:asciiTheme="majorBidi" w:hAnsiTheme="majorBidi" w:cstheme="majorBidi"/>
        </w:rPr>
        <w:t>179, 189–190.</w:t>
      </w:r>
    </w:p>
  </w:footnote>
  <w:footnote w:id="25">
    <w:p w14:paraId="3DE4C686" w14:textId="56F556E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Justice Roslyn Atkinson, ‘Family Provision in Australia: Addressing Interstate Differences and Family Provision Law Reform’ (Speech, Queensland Law Society Conference on Family Provision, 25 July 2014) 18.</w:t>
      </w:r>
    </w:p>
  </w:footnote>
  <w:footnote w:id="26">
    <w:p w14:paraId="5E311D00" w14:textId="0D4984A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
        </w:rPr>
        <w:t>TFM Act</w:t>
      </w:r>
      <w:r w:rsidRPr="00675D56">
        <w:rPr>
          <w:rFonts w:asciiTheme="majorBidi" w:hAnsiTheme="majorBidi" w:cstheme="majorBidi"/>
        </w:rPr>
        <w:t xml:space="preserve"> (n </w:t>
      </w:r>
      <w:r w:rsidRPr="00675D56">
        <w:rPr>
          <w:rFonts w:asciiTheme="majorBidi" w:hAnsiTheme="majorBidi" w:cstheme="majorBidi"/>
        </w:rPr>
        <w:fldChar w:fldCharType="begin"/>
      </w:r>
      <w:r w:rsidRPr="00675D56">
        <w:rPr>
          <w:rFonts w:asciiTheme="majorBidi" w:hAnsiTheme="majorBidi" w:cstheme="majorBidi"/>
        </w:rPr>
        <w:instrText xml:space="preserve"> NOTEREF _Ref2242859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w:t>
      </w:r>
      <w:r w:rsidRPr="00675D56">
        <w:rPr>
          <w:rFonts w:asciiTheme="majorBidi" w:hAnsiTheme="majorBidi" w:cstheme="majorBidi"/>
        </w:rPr>
        <w:fldChar w:fldCharType="end"/>
      </w:r>
      <w:r w:rsidRPr="00675D56">
        <w:rPr>
          <w:rFonts w:asciiTheme="majorBidi" w:hAnsiTheme="majorBidi" w:cstheme="majorBidi"/>
        </w:rPr>
        <w:t>).</w:t>
      </w:r>
    </w:p>
  </w:footnote>
  <w:footnote w:id="27">
    <w:p w14:paraId="307BE068"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Ibid s 2(1) definition of ‘spouse’.</w:t>
      </w:r>
    </w:p>
  </w:footnote>
  <w:footnote w:id="28">
    <w:p w14:paraId="1B5CC176" w14:textId="1B6560C8"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Defined to mean a child of the parent’s spouse, and a child whose natural parent was the spouse of that person at the time of the natural parent’s death: ibid, s 2(1) definition of ‘stepchild’.</w:t>
      </w:r>
    </w:p>
  </w:footnote>
  <w:footnote w:id="29">
    <w:p w14:paraId="507690E0"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Ibid definition of ‘child’.</w:t>
      </w:r>
    </w:p>
  </w:footnote>
  <w:footnote w:id="30">
    <w:p w14:paraId="6FA0C660"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Ibid s 3A.</w:t>
      </w:r>
    </w:p>
  </w:footnote>
  <w:footnote w:id="31">
    <w:p w14:paraId="05E74B63" w14:textId="46AE0D24"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r>
      <w:r w:rsidRPr="00675D56">
        <w:rPr>
          <w:rFonts w:asciiTheme="majorBidi" w:hAnsiTheme="majorBidi" w:cstheme="majorBidi"/>
          <w:i/>
        </w:rPr>
        <w:t>Succession Act 2006</w:t>
      </w:r>
      <w:r w:rsidRPr="00675D56">
        <w:rPr>
          <w:rFonts w:asciiTheme="majorBidi" w:hAnsiTheme="majorBidi" w:cstheme="majorBidi"/>
        </w:rPr>
        <w:t xml:space="preserve"> (NSW) s 57(1)(e); </w:t>
      </w:r>
      <w:r w:rsidRPr="00675D56">
        <w:rPr>
          <w:rFonts w:asciiTheme="majorBidi" w:hAnsiTheme="majorBidi" w:cstheme="majorBidi"/>
          <w:i/>
        </w:rPr>
        <w:t>Administration and Probate Act 1958</w:t>
      </w:r>
      <w:r w:rsidRPr="00675D56">
        <w:rPr>
          <w:rFonts w:asciiTheme="majorBidi" w:hAnsiTheme="majorBidi" w:cstheme="majorBidi"/>
        </w:rPr>
        <w:t xml:space="preserve"> (Vic) s</w:t>
      </w:r>
      <w:r>
        <w:rPr>
          <w:rFonts w:asciiTheme="majorBidi" w:hAnsiTheme="majorBidi" w:cstheme="majorBidi"/>
        </w:rPr>
        <w:t> </w:t>
      </w:r>
      <w:r w:rsidRPr="00675D56">
        <w:rPr>
          <w:rFonts w:asciiTheme="majorBidi" w:hAnsiTheme="majorBidi" w:cstheme="majorBidi"/>
        </w:rPr>
        <w:t xml:space="preserve">90, definition of ‘eligible person’, s 91(2)(b); </w:t>
      </w:r>
      <w:r w:rsidRPr="00675D56">
        <w:rPr>
          <w:rFonts w:asciiTheme="majorBidi" w:hAnsiTheme="majorBidi" w:cstheme="majorBidi"/>
          <w:i/>
        </w:rPr>
        <w:t>Succession Act 1981</w:t>
      </w:r>
      <w:r w:rsidRPr="00675D56">
        <w:rPr>
          <w:rFonts w:asciiTheme="majorBidi" w:hAnsiTheme="majorBidi" w:cstheme="majorBidi"/>
        </w:rPr>
        <w:t xml:space="preserve"> (Qld) ss 41(1), 40 (definition of ‘dependant’).</w:t>
      </w:r>
    </w:p>
  </w:footnote>
  <w:footnote w:id="32">
    <w:p w14:paraId="1543C7D8"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 xml:space="preserve">Defined to mean a close personal relationship (other than a marriage or a de facto relationship) between two adult persons, whether or not related by family, who are living together, one or each of whom provides the other with domestic support and personal care: </w:t>
      </w:r>
      <w:r w:rsidRPr="00675D56">
        <w:rPr>
          <w:rFonts w:asciiTheme="majorBidi" w:hAnsiTheme="majorBidi" w:cstheme="majorBidi"/>
          <w:i/>
        </w:rPr>
        <w:t>Succession Act 2006</w:t>
      </w:r>
      <w:r w:rsidRPr="00675D56">
        <w:rPr>
          <w:rFonts w:asciiTheme="majorBidi" w:hAnsiTheme="majorBidi" w:cstheme="majorBidi"/>
        </w:rPr>
        <w:t xml:space="preserve"> (NSW) s 3(3).</w:t>
      </w:r>
    </w:p>
  </w:footnote>
  <w:footnote w:id="33">
    <w:p w14:paraId="645669C1"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Ibid s 57(1)(f).</w:t>
      </w:r>
    </w:p>
  </w:footnote>
  <w:footnote w:id="34">
    <w:p w14:paraId="62240B78"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rPr>
        <w:t>Administration and Probate Act 1958</w:t>
      </w:r>
      <w:r w:rsidRPr="00675D56">
        <w:rPr>
          <w:rFonts w:asciiTheme="majorBidi" w:hAnsiTheme="majorBidi" w:cstheme="majorBidi"/>
        </w:rPr>
        <w:t xml:space="preserve"> (Vic) s 90, definition of ‘eligible person’; </w:t>
      </w:r>
      <w:r w:rsidRPr="00675D56">
        <w:rPr>
          <w:rFonts w:asciiTheme="majorBidi" w:hAnsiTheme="majorBidi" w:cstheme="majorBidi"/>
          <w:i/>
          <w:iCs/>
        </w:rPr>
        <w:t>Family Provision Act 1969</w:t>
      </w:r>
      <w:r w:rsidRPr="00675D56">
        <w:rPr>
          <w:rFonts w:asciiTheme="majorBidi" w:hAnsiTheme="majorBidi" w:cstheme="majorBidi"/>
        </w:rPr>
        <w:t xml:space="preserve"> (ACT) ss 7(1)(e), 7(3); </w:t>
      </w:r>
      <w:r w:rsidRPr="00675D56">
        <w:rPr>
          <w:rFonts w:asciiTheme="majorBidi" w:hAnsiTheme="majorBidi" w:cstheme="majorBidi"/>
          <w:i/>
          <w:iCs/>
        </w:rPr>
        <w:t>Family Provision Act 1972</w:t>
      </w:r>
      <w:r w:rsidRPr="00675D56">
        <w:rPr>
          <w:rFonts w:asciiTheme="majorBidi" w:hAnsiTheme="majorBidi" w:cstheme="majorBidi"/>
        </w:rPr>
        <w:t xml:space="preserve"> (WA) s 7(1)(d); </w:t>
      </w:r>
      <w:r w:rsidRPr="00675D56">
        <w:rPr>
          <w:rFonts w:asciiTheme="majorBidi" w:hAnsiTheme="majorBidi" w:cstheme="majorBidi"/>
          <w:i/>
          <w:iCs/>
        </w:rPr>
        <w:t>Inheritance (Family Provision) Act 1972</w:t>
      </w:r>
      <w:r w:rsidRPr="00675D56">
        <w:rPr>
          <w:rFonts w:asciiTheme="majorBidi" w:hAnsiTheme="majorBidi" w:cstheme="majorBidi"/>
        </w:rPr>
        <w:t xml:space="preserve"> (SA) s 6(h); </w:t>
      </w:r>
      <w:r w:rsidRPr="00675D56">
        <w:rPr>
          <w:rFonts w:asciiTheme="majorBidi" w:hAnsiTheme="majorBidi" w:cstheme="majorBidi"/>
          <w:i/>
          <w:iCs/>
        </w:rPr>
        <w:t>Family Provision Act 1970</w:t>
      </w:r>
      <w:r w:rsidRPr="00675D56">
        <w:rPr>
          <w:rFonts w:asciiTheme="majorBidi" w:hAnsiTheme="majorBidi" w:cstheme="majorBidi"/>
        </w:rPr>
        <w:t xml:space="preserve"> (NT) ss 7(1)(e), 7(3).</w:t>
      </w:r>
    </w:p>
  </w:footnote>
  <w:footnote w:id="35">
    <w:p w14:paraId="1BD8EC30"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rPr>
        <w:t>Inheritance (Family Provision) Act 1972</w:t>
      </w:r>
      <w:r w:rsidRPr="00675D56">
        <w:rPr>
          <w:rFonts w:asciiTheme="majorBidi" w:hAnsiTheme="majorBidi" w:cstheme="majorBidi"/>
        </w:rPr>
        <w:t xml:space="preserve"> (SA) s 6(j).</w:t>
      </w:r>
    </w:p>
  </w:footnote>
  <w:footnote w:id="36">
    <w:p w14:paraId="3F7430BD" w14:textId="379688A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11.</w:t>
      </w:r>
    </w:p>
  </w:footnote>
  <w:footnote w:id="37">
    <w:p w14:paraId="433073BA" w14:textId="62F65EF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s 3(1).</w:t>
      </w:r>
    </w:p>
  </w:footnote>
  <w:footnote w:id="38">
    <w:p w14:paraId="4E718D52" w14:textId="59BD3359"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 xml:space="preserve">This is the so-called ‘twin tasks’ approach. See </w:t>
      </w:r>
      <w:r w:rsidRPr="00675D56">
        <w:rPr>
          <w:rFonts w:asciiTheme="majorBidi" w:hAnsiTheme="majorBidi" w:cstheme="majorBidi"/>
          <w:i/>
        </w:rPr>
        <w:t>Singer v Berghouse</w:t>
      </w:r>
      <w:r w:rsidRPr="00675D56">
        <w:rPr>
          <w:rFonts w:asciiTheme="majorBidi" w:hAnsiTheme="majorBidi" w:cstheme="majorBidi"/>
        </w:rPr>
        <w:t xml:space="preserve"> (1994) 181 CLR 201, 15 (Mason CJ, Deane and McHugh JJ).</w:t>
      </w:r>
    </w:p>
  </w:footnote>
  <w:footnote w:id="39">
    <w:p w14:paraId="754774AD" w14:textId="54510B44"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rPr>
        <w:t>Bosch v Perpetual Trustee Co Ltd</w:t>
      </w:r>
      <w:r w:rsidRPr="00675D56">
        <w:rPr>
          <w:rFonts w:asciiTheme="majorBidi" w:hAnsiTheme="majorBidi" w:cstheme="majorBidi"/>
        </w:rPr>
        <w:t xml:space="preserve"> (1938) AC 463.</w:t>
      </w:r>
    </w:p>
  </w:footnote>
  <w:footnote w:id="40">
    <w:p w14:paraId="24C23DB2" w14:textId="23867892"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r>
      <w:r w:rsidRPr="00675D56">
        <w:rPr>
          <w:rFonts w:asciiTheme="majorBidi" w:hAnsiTheme="majorBidi" w:cstheme="majorBidi"/>
          <w:i/>
        </w:rPr>
        <w:t xml:space="preserve">TFM Act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_Ref2242859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w:t>
      </w:r>
      <w:r w:rsidRPr="00675D56">
        <w:rPr>
          <w:rFonts w:asciiTheme="majorBidi" w:hAnsiTheme="majorBidi" w:cstheme="majorBidi"/>
        </w:rPr>
        <w:fldChar w:fldCharType="end"/>
      </w:r>
      <w:r w:rsidRPr="00675D56">
        <w:rPr>
          <w:rFonts w:asciiTheme="majorBidi" w:hAnsiTheme="majorBidi" w:cstheme="majorBidi"/>
        </w:rPr>
        <w:t>) s 7.</w:t>
      </w:r>
    </w:p>
  </w:footnote>
  <w:footnote w:id="41">
    <w:p w14:paraId="029CFAD9" w14:textId="52018E44"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Ibid.</w:t>
      </w:r>
    </w:p>
  </w:footnote>
  <w:footnote w:id="42">
    <w:p w14:paraId="28B0901B" w14:textId="20BB9741"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Ibid s 8A.</w:t>
      </w:r>
    </w:p>
  </w:footnote>
  <w:footnote w:id="43">
    <w:p w14:paraId="40FF3E98" w14:textId="57A65634"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New Roman" w:hAnsiTheme="majorBidi" w:cstheme="majorBidi"/>
          <w:szCs w:val="20"/>
        </w:rPr>
        <w:footnoteRef/>
      </w:r>
      <w:r w:rsidRPr="00675D56">
        <w:rPr>
          <w:rFonts w:asciiTheme="majorBidi" w:hAnsiTheme="majorBidi" w:cstheme="majorBidi"/>
        </w:rPr>
        <w:tab/>
        <w:t>Ibid s 8.</w:t>
      </w:r>
    </w:p>
  </w:footnote>
  <w:footnote w:id="44">
    <w:p w14:paraId="20A0A2CF" w14:textId="510499E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Dal Pont and Mackie (n </w:t>
      </w:r>
      <w:r w:rsidRPr="00675D56">
        <w:rPr>
          <w:rFonts w:asciiTheme="majorBidi" w:hAnsiTheme="majorBidi" w:cstheme="majorBidi"/>
        </w:rPr>
        <w:fldChar w:fldCharType="begin"/>
      </w:r>
      <w:r w:rsidRPr="00675D56">
        <w:rPr>
          <w:rFonts w:asciiTheme="majorBidi" w:hAnsiTheme="majorBidi" w:cstheme="majorBidi"/>
        </w:rPr>
        <w:instrText xml:space="preserve"> NOTEREF _Ref1668849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16</w:t>
      </w:r>
      <w:r w:rsidRPr="00675D56">
        <w:rPr>
          <w:rFonts w:asciiTheme="majorBidi" w:hAnsiTheme="majorBidi" w:cstheme="majorBidi"/>
        </w:rPr>
        <w:fldChar w:fldCharType="end"/>
      </w:r>
      <w:r w:rsidRPr="00675D56">
        <w:rPr>
          <w:rFonts w:asciiTheme="majorBidi" w:hAnsiTheme="majorBidi" w:cstheme="majorBidi"/>
        </w:rPr>
        <w:t xml:space="preserve">) [20.3]. See also </w:t>
      </w:r>
      <w:r w:rsidRPr="00675D56">
        <w:rPr>
          <w:rFonts w:asciiTheme="majorBidi" w:hAnsiTheme="majorBidi" w:cstheme="majorBidi"/>
          <w:i/>
          <w:iCs/>
        </w:rPr>
        <w:t>Barns v Barns</w:t>
      </w:r>
      <w:r w:rsidRPr="00675D56">
        <w:rPr>
          <w:rFonts w:asciiTheme="majorBidi" w:hAnsiTheme="majorBidi" w:cstheme="majorBidi"/>
        </w:rPr>
        <w:t xml:space="preserve"> (2003) 214 CLR 169, 174</w:t>
      </w:r>
      <w:r w:rsidRPr="00675D56" w:rsidDel="001C7F44">
        <w:rPr>
          <w:rFonts w:asciiTheme="majorBidi" w:hAnsiTheme="majorBidi" w:cstheme="majorBidi"/>
          <w:i/>
          <w:iCs/>
        </w:rPr>
        <w:t xml:space="preserve"> </w:t>
      </w:r>
      <w:r w:rsidRPr="00675D56">
        <w:rPr>
          <w:rFonts w:asciiTheme="majorBidi" w:hAnsiTheme="majorBidi" w:cstheme="majorBidi"/>
        </w:rPr>
        <w:t>[7].</w:t>
      </w:r>
    </w:p>
  </w:footnote>
  <w:footnote w:id="45">
    <w:p w14:paraId="5FE4391A" w14:textId="3D88B78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Easterbrook v Young</w:t>
      </w:r>
      <w:r w:rsidRPr="00675D56">
        <w:rPr>
          <w:rFonts w:asciiTheme="majorBidi" w:hAnsiTheme="majorBidi" w:cstheme="majorBidi"/>
        </w:rPr>
        <w:t xml:space="preserve"> (1977) 136 CLR 308, 318.</w:t>
      </w:r>
    </w:p>
  </w:footnote>
  <w:footnote w:id="46">
    <w:p w14:paraId="117FB18F" w14:textId="0FDEF45D"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Barns v Barns</w:t>
      </w:r>
      <w:r w:rsidRPr="00675D56">
        <w:rPr>
          <w:rFonts w:asciiTheme="majorBidi" w:hAnsiTheme="majorBidi" w:cstheme="majorBidi"/>
        </w:rPr>
        <w:t xml:space="preserve"> (2003) 214 CLR 169.</w:t>
      </w:r>
    </w:p>
  </w:footnote>
  <w:footnote w:id="47">
    <w:p w14:paraId="70BF84A9" w14:textId="0975F7D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 xml:space="preserve">TFM Act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_Ref2242859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w:t>
      </w:r>
      <w:r w:rsidRPr="00675D56">
        <w:rPr>
          <w:rFonts w:asciiTheme="majorBidi" w:hAnsiTheme="majorBidi" w:cstheme="majorBidi"/>
        </w:rPr>
        <w:fldChar w:fldCharType="end"/>
      </w:r>
      <w:r w:rsidRPr="00675D56">
        <w:rPr>
          <w:rFonts w:asciiTheme="majorBidi" w:hAnsiTheme="majorBidi" w:cstheme="majorBidi"/>
        </w:rPr>
        <w:t>) s 3(2).</w:t>
      </w:r>
    </w:p>
  </w:footnote>
  <w:footnote w:id="48">
    <w:p w14:paraId="33CBE66A" w14:textId="24C8066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Undue influence is described as ‘an ascendancy by the stronger party over the weaker party such that the relevant transaction is not the free, voluntary and independent act of the weaker party. In other words, it is the actual or presumed impairment of the judgment of the weaker party that is the critical element in the grant of relief on the ground of undue influence’: Sir Anthony Mason, ‘The Impact of Equitable Doctrine on the Law of Contract’ (1998) 27 </w:t>
      </w:r>
      <w:r w:rsidRPr="00675D56">
        <w:rPr>
          <w:rFonts w:asciiTheme="majorBidi" w:hAnsiTheme="majorBidi" w:cstheme="majorBidi"/>
          <w:i/>
          <w:iCs/>
        </w:rPr>
        <w:t>Anglo-American Law Review</w:t>
      </w:r>
      <w:r w:rsidRPr="00675D56">
        <w:rPr>
          <w:rFonts w:asciiTheme="majorBidi" w:hAnsiTheme="majorBidi" w:cstheme="majorBidi"/>
        </w:rPr>
        <w:t xml:space="preserve"> 1, 6–8, cited in </w:t>
      </w:r>
      <w:r w:rsidRPr="00675D56">
        <w:rPr>
          <w:rFonts w:asciiTheme="majorBidi" w:hAnsiTheme="majorBidi" w:cstheme="majorBidi"/>
          <w:i/>
          <w:iCs/>
          <w:spacing w:val="-8"/>
        </w:rPr>
        <w:t>Bridgewater v Leahy</w:t>
      </w:r>
      <w:r w:rsidRPr="00675D56">
        <w:rPr>
          <w:rFonts w:asciiTheme="majorBidi" w:hAnsiTheme="majorBidi" w:cstheme="majorBidi"/>
          <w:spacing w:val="-8"/>
        </w:rPr>
        <w:t xml:space="preserve"> (1998) 194 CLR 457, 478 [75].</w:t>
      </w:r>
    </w:p>
  </w:footnote>
  <w:footnote w:id="49">
    <w:p w14:paraId="2C04AC77" w14:textId="1156D9F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Unconscionability, as distinct from undue influence, has been described as follows: ‘Unconscionable conduct, as the term suggests, focuses more on the unconscientious conduct of the defendant. As a ground of relief in England unconscionable conduct has been confined largely to “catching bargains” with expectant heirs and others in particular categories of disadvantage eg those who are illiterate. ... In Australia, it has been recognized that unconscionable conduct is a ground of relief which will be available “whenever one party by reason of some condition or circumstance is placed at a special disadvantage </w:t>
      </w:r>
      <w:r w:rsidRPr="00675D56">
        <w:rPr>
          <w:rFonts w:asciiTheme="majorBidi" w:hAnsiTheme="majorBidi" w:cstheme="majorBidi"/>
          <w:i/>
          <w:iCs/>
        </w:rPr>
        <w:t>vis-à-vis</w:t>
      </w:r>
      <w:r w:rsidRPr="00675D56">
        <w:rPr>
          <w:rFonts w:asciiTheme="majorBidi" w:hAnsiTheme="majorBidi" w:cstheme="majorBidi"/>
        </w:rPr>
        <w:t xml:space="preserve"> another and unfair or unconscientious advantage is taken of the opportunity thereby created’”: Mason, (n </w:t>
      </w:r>
      <w:r w:rsidRPr="00675D56">
        <w:rPr>
          <w:rFonts w:asciiTheme="majorBidi" w:hAnsiTheme="majorBidi" w:cstheme="majorBidi"/>
        </w:rPr>
        <w:fldChar w:fldCharType="begin"/>
      </w:r>
      <w:r w:rsidRPr="00675D56">
        <w:rPr>
          <w:rFonts w:asciiTheme="majorBidi" w:hAnsiTheme="majorBidi" w:cstheme="majorBidi"/>
        </w:rPr>
        <w:instrText xml:space="preserve"> NOTEREF _Ref12882767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47</w:t>
      </w:r>
      <w:r w:rsidRPr="00675D56">
        <w:rPr>
          <w:rFonts w:asciiTheme="majorBidi" w:hAnsiTheme="majorBidi" w:cstheme="majorBidi"/>
        </w:rPr>
        <w:fldChar w:fldCharType="end"/>
      </w:r>
      <w:r w:rsidRPr="00675D56">
        <w:rPr>
          <w:rFonts w:asciiTheme="majorBidi" w:hAnsiTheme="majorBidi" w:cstheme="majorBidi"/>
        </w:rPr>
        <w:t xml:space="preserve">) 6–8, cited in </w:t>
      </w:r>
      <w:r w:rsidRPr="00675D56">
        <w:rPr>
          <w:rFonts w:asciiTheme="majorBidi" w:hAnsiTheme="majorBidi" w:cstheme="majorBidi"/>
          <w:i/>
          <w:iCs/>
        </w:rPr>
        <w:t>Bridgewater v Leahy</w:t>
      </w:r>
      <w:r w:rsidRPr="00675D56">
        <w:rPr>
          <w:rFonts w:asciiTheme="majorBidi" w:hAnsiTheme="majorBidi" w:cstheme="majorBidi"/>
        </w:rPr>
        <w:t xml:space="preserve"> (1998) 194 CLR 457, 478 [75].</w:t>
      </w:r>
    </w:p>
  </w:footnote>
  <w:footnote w:id="50">
    <w:p w14:paraId="4D92A2DC" w14:textId="7A45A4E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(1998) 194 CLR 457.</w:t>
      </w:r>
    </w:p>
  </w:footnote>
  <w:footnote w:id="51">
    <w:p w14:paraId="1F841863" w14:textId="73DB5F9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Refer to [1.4.15]-[1.4.17] in relation to when gifts may be ineffective.</w:t>
      </w:r>
    </w:p>
  </w:footnote>
  <w:footnote w:id="52">
    <w:p w14:paraId="186DAE0E" w14:textId="2E3D255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[5.6.11] for discussion of family law contexts and [5.5.59] for a summary of the application of equitable doctrines. </w:t>
      </w:r>
    </w:p>
  </w:footnote>
  <w:footnote w:id="53">
    <w:p w14:paraId="1C34042E"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There are many authorities but see </w:t>
      </w:r>
      <w:r w:rsidRPr="00675D56">
        <w:rPr>
          <w:rFonts w:asciiTheme="majorBidi" w:hAnsiTheme="majorBidi" w:cstheme="majorBidi"/>
          <w:i/>
        </w:rPr>
        <w:t>Re Richardson</w:t>
      </w:r>
      <w:r w:rsidRPr="00675D56">
        <w:rPr>
          <w:rFonts w:asciiTheme="majorBidi" w:hAnsiTheme="majorBidi" w:cstheme="majorBidi"/>
        </w:rPr>
        <w:t xml:space="preserve"> (1920) SALR 24, 40.</w:t>
      </w:r>
    </w:p>
  </w:footnote>
  <w:footnote w:id="54">
    <w:p w14:paraId="25179FDF" w14:textId="5B5F667B"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rPr>
        <w:footnoteRef/>
      </w:r>
      <w:r w:rsidRPr="00675D56">
        <w:rPr>
          <w:rFonts w:asciiTheme="majorBidi" w:hAnsiTheme="majorBidi" w:cstheme="majorBidi"/>
        </w:rPr>
        <w:tab/>
        <w:t xml:space="preserve">See </w:t>
      </w:r>
      <w:r w:rsidRPr="00675D56">
        <w:rPr>
          <w:rFonts w:asciiTheme="majorBidi" w:hAnsiTheme="majorBidi" w:cstheme="majorBidi"/>
          <w:i/>
          <w:iCs/>
        </w:rPr>
        <w:t>Badenach v Calvert</w:t>
      </w:r>
      <w:r w:rsidRPr="00675D56">
        <w:rPr>
          <w:rFonts w:asciiTheme="majorBidi" w:hAnsiTheme="majorBidi" w:cstheme="majorBidi"/>
        </w:rPr>
        <w:t xml:space="preserve"> (2016) 257 CLR 440.</w:t>
      </w:r>
    </w:p>
  </w:footnote>
  <w:footnote w:id="55">
    <w:p w14:paraId="702640EB" w14:textId="5A8B24C1"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rPr>
        <w:footnoteRef/>
      </w:r>
      <w:r w:rsidRPr="00675D56">
        <w:rPr>
          <w:rFonts w:asciiTheme="majorBidi" w:hAnsiTheme="majorBidi" w:cstheme="majorBidi"/>
        </w:rPr>
        <w:tab/>
        <w:t xml:space="preserve">This was the amount that the deceased’s daughter was ultimately awarded following making a family provision claim: see </w:t>
      </w:r>
      <w:r w:rsidRPr="00675D56">
        <w:rPr>
          <w:rFonts w:asciiTheme="majorBidi" w:hAnsiTheme="majorBidi" w:cstheme="majorBidi"/>
          <w:i/>
        </w:rPr>
        <w:t xml:space="preserve">Doddridge v Badenach </w:t>
      </w:r>
      <w:r w:rsidRPr="00675D56">
        <w:rPr>
          <w:rFonts w:asciiTheme="majorBidi" w:hAnsiTheme="majorBidi" w:cstheme="majorBidi"/>
        </w:rPr>
        <w:t>[2011] TASSC 34.</w:t>
      </w:r>
    </w:p>
  </w:footnote>
  <w:footnote w:id="56">
    <w:p w14:paraId="57036019" w14:textId="1BA4191A"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color w:val="333333"/>
        </w:rPr>
        <w:t>Calvert v Baden</w:t>
      </w:r>
      <w:r w:rsidRPr="00675D56">
        <w:rPr>
          <w:rFonts w:asciiTheme="majorBidi" w:hAnsiTheme="majorBidi" w:cstheme="majorBidi"/>
          <w:i/>
          <w:iCs/>
        </w:rPr>
        <w:t xml:space="preserve">ach </w:t>
      </w:r>
      <w:r w:rsidRPr="00675D56">
        <w:rPr>
          <w:rFonts w:asciiTheme="majorBidi" w:hAnsiTheme="majorBidi" w:cstheme="majorBidi"/>
        </w:rPr>
        <w:t>[2014] TASSC 61, [3]–[4] (Blow CJ).</w:t>
      </w:r>
    </w:p>
  </w:footnote>
  <w:footnote w:id="57">
    <w:p w14:paraId="1F772069" w14:textId="1934F90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Doddridge v Badenach</w:t>
      </w:r>
      <w:r w:rsidRPr="00675D56">
        <w:rPr>
          <w:rFonts w:asciiTheme="majorBidi" w:hAnsiTheme="majorBidi" w:cstheme="majorBidi"/>
        </w:rPr>
        <w:t xml:space="preserve"> [2011] TASSC 34.</w:t>
      </w:r>
    </w:p>
  </w:footnote>
  <w:footnote w:id="58">
    <w:p w14:paraId="1987E218" w14:textId="4FFF4E7D"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APRA, </w:t>
      </w:r>
      <w:r w:rsidRPr="00675D56">
        <w:rPr>
          <w:rFonts w:asciiTheme="majorBidi" w:hAnsiTheme="majorBidi" w:cstheme="majorBidi"/>
          <w:i/>
        </w:rPr>
        <w:t xml:space="preserve">Statistics: Annual Superannuation Bulletin </w:t>
      </w:r>
      <w:r w:rsidRPr="00675D56">
        <w:rPr>
          <w:rFonts w:asciiTheme="majorBidi" w:hAnsiTheme="majorBidi" w:cstheme="majorBidi"/>
        </w:rPr>
        <w:t xml:space="preserve">(June 2018, Reissued 22 January 2019) 6. </w:t>
      </w:r>
    </w:p>
  </w:footnote>
  <w:footnote w:id="59">
    <w:p w14:paraId="6ECBC8ED" w14:textId="432D842D"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Ibid 8.</w:t>
      </w:r>
    </w:p>
  </w:footnote>
  <w:footnote w:id="60">
    <w:p w14:paraId="40C26268" w14:textId="7583F83A"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Metlife Insurance Limited, </w:t>
      </w:r>
      <w:r w:rsidRPr="00675D56">
        <w:rPr>
          <w:rFonts w:asciiTheme="majorBidi" w:hAnsiTheme="majorBidi" w:cstheme="majorBidi"/>
          <w:i/>
          <w:iCs/>
        </w:rPr>
        <w:t>Insurance Inside Super: A detailed report into members’ awareness, attitude and engagement with Insurance</w:t>
      </w:r>
      <w:r w:rsidRPr="00675D56">
        <w:rPr>
          <w:rFonts w:asciiTheme="majorBidi" w:hAnsiTheme="majorBidi" w:cstheme="majorBidi"/>
        </w:rPr>
        <w:t xml:space="preserve"> </w:t>
      </w:r>
      <w:r w:rsidRPr="00675D56">
        <w:rPr>
          <w:rFonts w:asciiTheme="majorBidi" w:hAnsiTheme="majorBidi" w:cstheme="majorBidi"/>
          <w:i/>
          <w:iCs/>
        </w:rPr>
        <w:t>Inside Super</w:t>
      </w:r>
      <w:r w:rsidRPr="00675D56">
        <w:rPr>
          <w:rFonts w:asciiTheme="majorBidi" w:hAnsiTheme="majorBidi" w:cstheme="majorBidi"/>
        </w:rPr>
        <w:t xml:space="preserve"> (2018).</w:t>
      </w:r>
    </w:p>
  </w:footnote>
  <w:footnote w:id="61">
    <w:p w14:paraId="5DDDCB2E" w14:textId="311A5992"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Michael Easson, ‘Super changes could leave thousands without enough superannuation’,</w:t>
      </w:r>
      <w:r w:rsidRPr="00675D56">
        <w:rPr>
          <w:rFonts w:asciiTheme="majorBidi" w:hAnsiTheme="majorBidi" w:cstheme="majorBidi"/>
          <w:i/>
        </w:rPr>
        <w:t xml:space="preserve"> Sydney Morning Herald </w:t>
      </w:r>
      <w:r w:rsidRPr="00675D56">
        <w:rPr>
          <w:rFonts w:asciiTheme="majorBidi" w:hAnsiTheme="majorBidi" w:cstheme="majorBidi"/>
        </w:rPr>
        <w:t>(Sydney, 2 September 2018).</w:t>
      </w:r>
    </w:p>
  </w:footnote>
  <w:footnote w:id="62">
    <w:p w14:paraId="3BC7FEA1" w14:textId="058C3717" w:rsidR="00C61533" w:rsidRPr="00675D56" w:rsidRDefault="00C61533" w:rsidP="00A621E0">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Where the nomination complies with the rules of the particular fund and superannuation legislation.</w:t>
      </w:r>
    </w:p>
  </w:footnote>
  <w:footnote w:id="63">
    <w:p w14:paraId="26483756" w14:textId="16F5500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The case of </w:t>
      </w:r>
      <w:r w:rsidRPr="00675D56">
        <w:rPr>
          <w:rFonts w:asciiTheme="majorBidi" w:hAnsiTheme="majorBidi" w:cstheme="majorBidi"/>
          <w:i/>
          <w:iCs/>
        </w:rPr>
        <w:t>Estate Grundy; La Valette v Chambers-Grundy</w:t>
      </w:r>
      <w:r w:rsidRPr="00675D56">
        <w:rPr>
          <w:rFonts w:asciiTheme="majorBidi" w:hAnsiTheme="majorBidi" w:cstheme="majorBidi"/>
        </w:rPr>
        <w:t xml:space="preserve"> [2018] NSWSC 104 provides an example of circumstances where trusts and companies owed debts to the deceased and which comprises assets of his estate and available for the family provision claimant to seek: see at [66].</w:t>
      </w:r>
    </w:p>
  </w:footnote>
  <w:footnote w:id="64">
    <w:p w14:paraId="76A35125" w14:textId="1990B932"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See discussion of Justice White in </w:t>
      </w:r>
      <w:r w:rsidRPr="00675D56">
        <w:rPr>
          <w:rFonts w:asciiTheme="majorBidi" w:hAnsiTheme="majorBidi" w:cstheme="majorBidi"/>
          <w:i/>
          <w:iCs/>
        </w:rPr>
        <w:t>Sam Wardy v Gordon Salier &amp; Anor; William Wardy v Gordon Salier &amp; Anor; Hassiba Wardy v Estate of late Edmond Wadih Wardy</w:t>
      </w:r>
      <w:r w:rsidRPr="00675D56">
        <w:rPr>
          <w:rFonts w:asciiTheme="majorBidi" w:hAnsiTheme="majorBidi" w:cstheme="majorBidi"/>
        </w:rPr>
        <w:t>,</w:t>
      </w:r>
      <w:r w:rsidRPr="00675D56">
        <w:rPr>
          <w:rFonts w:asciiTheme="majorBidi" w:hAnsiTheme="majorBidi" w:cstheme="majorBidi"/>
          <w:i/>
          <w:iCs/>
        </w:rPr>
        <w:t xml:space="preserve"> developer and Ch 3 of the Succession Act 2006 &amp; Anor</w:t>
      </w:r>
      <w:r w:rsidRPr="00675D56">
        <w:rPr>
          <w:rFonts w:asciiTheme="majorBidi" w:hAnsiTheme="majorBidi" w:cstheme="majorBidi"/>
        </w:rPr>
        <w:t xml:space="preserve"> [2014] NSWSC 473 (‘</w:t>
      </w:r>
      <w:r w:rsidRPr="00675D56">
        <w:rPr>
          <w:rFonts w:asciiTheme="majorBidi" w:hAnsiTheme="majorBidi" w:cstheme="majorBidi"/>
          <w:i/>
          <w:iCs/>
        </w:rPr>
        <w:t>Wardy</w:t>
      </w:r>
      <w:r w:rsidRPr="00675D56">
        <w:rPr>
          <w:rFonts w:asciiTheme="majorBidi" w:hAnsiTheme="majorBidi" w:cstheme="majorBidi"/>
        </w:rPr>
        <w:t>’) where it was held that the deceased’s omission to appoint the assets of a trust to himself during his life was covered by NSW notional estate provisions, enabling the assets of the trust to be considered as part of the deceased’s ‘notional estate’.</w:t>
      </w:r>
    </w:p>
  </w:footnote>
  <w:footnote w:id="65">
    <w:p w14:paraId="49A0756B" w14:textId="20B6A2B6"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r>
      <w:r w:rsidRPr="00675D56">
        <w:rPr>
          <w:rFonts w:asciiTheme="majorBidi" w:hAnsiTheme="majorBidi" w:cstheme="majorBidi"/>
          <w:i/>
        </w:rPr>
        <w:t xml:space="preserve">TFM Act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_Ref2242859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w:t>
      </w:r>
      <w:r w:rsidRPr="00675D56">
        <w:rPr>
          <w:rFonts w:asciiTheme="majorBidi" w:hAnsiTheme="majorBidi" w:cstheme="majorBidi"/>
        </w:rPr>
        <w:fldChar w:fldCharType="end"/>
      </w:r>
      <w:r w:rsidRPr="00675D56">
        <w:rPr>
          <w:rFonts w:asciiTheme="majorBidi" w:hAnsiTheme="majorBidi" w:cstheme="majorBidi"/>
        </w:rPr>
        <w:t>)</w:t>
      </w:r>
      <w:r w:rsidRPr="00675D56" w:rsidDel="00394CA2">
        <w:rPr>
          <w:rFonts w:asciiTheme="majorBidi" w:hAnsiTheme="majorBidi" w:cstheme="majorBidi"/>
          <w:i/>
        </w:rPr>
        <w:t xml:space="preserve"> </w:t>
      </w:r>
      <w:r w:rsidRPr="00675D56">
        <w:rPr>
          <w:rFonts w:asciiTheme="majorBidi" w:hAnsiTheme="majorBidi" w:cstheme="majorBidi"/>
        </w:rPr>
        <w:t>s 11(1).</w:t>
      </w:r>
    </w:p>
  </w:footnote>
  <w:footnote w:id="66">
    <w:p w14:paraId="4C133519" w14:textId="2AACFF1F"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Ibid s 11(4). See also </w:t>
      </w:r>
      <w:r w:rsidRPr="00675D56">
        <w:rPr>
          <w:rStyle w:val="FootnoteTextTLRIChar"/>
          <w:rFonts w:asciiTheme="majorBidi" w:hAnsiTheme="majorBidi" w:cstheme="majorBidi"/>
          <w:i/>
          <w:szCs w:val="20"/>
        </w:rPr>
        <w:t>Easterbrook v Young</w:t>
      </w:r>
      <w:r w:rsidRPr="00675D56">
        <w:rPr>
          <w:rStyle w:val="FootnoteTextTLRIChar"/>
          <w:rFonts w:asciiTheme="majorBidi" w:hAnsiTheme="majorBidi" w:cstheme="majorBidi"/>
          <w:szCs w:val="20"/>
        </w:rPr>
        <w:t xml:space="preserve"> (1977) 136 CLR 308.</w:t>
      </w:r>
    </w:p>
  </w:footnote>
  <w:footnote w:id="67">
    <w:p w14:paraId="7FDEB399" w14:textId="748523BC"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r>
      <w:r w:rsidRPr="00675D56">
        <w:rPr>
          <w:rFonts w:asciiTheme="majorBidi" w:hAnsiTheme="majorBidi" w:cstheme="majorBidi"/>
          <w:i/>
        </w:rPr>
        <w:t>Williams v Williams</w:t>
      </w:r>
      <w:r w:rsidRPr="00675D56">
        <w:rPr>
          <w:rFonts w:asciiTheme="majorBidi" w:hAnsiTheme="majorBidi" w:cstheme="majorBidi"/>
        </w:rPr>
        <w:t xml:space="preserve"> [2018] TASSC 19. See also </w:t>
      </w:r>
      <w:r w:rsidRPr="00675D56">
        <w:rPr>
          <w:rFonts w:asciiTheme="majorBidi" w:hAnsiTheme="majorBidi" w:cstheme="majorBidi"/>
          <w:i/>
        </w:rPr>
        <w:t>Williams v Williams (No 2)</w:t>
      </w:r>
      <w:r w:rsidRPr="00675D56">
        <w:rPr>
          <w:rFonts w:asciiTheme="majorBidi" w:hAnsiTheme="majorBidi" w:cstheme="majorBidi"/>
        </w:rPr>
        <w:t xml:space="preserve"> [2018] TASSC 61.</w:t>
      </w:r>
    </w:p>
  </w:footnote>
  <w:footnote w:id="68">
    <w:p w14:paraId="4F999FCC" w14:textId="7A3E9458"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r>
      <w:r w:rsidRPr="00675D56">
        <w:rPr>
          <w:rFonts w:asciiTheme="majorBidi" w:hAnsiTheme="majorBidi" w:cstheme="majorBidi"/>
          <w:i/>
        </w:rPr>
        <w:t>Williams v Williams</w:t>
      </w:r>
      <w:r w:rsidRPr="00675D56">
        <w:rPr>
          <w:rFonts w:asciiTheme="majorBidi" w:hAnsiTheme="majorBidi" w:cstheme="majorBidi"/>
        </w:rPr>
        <w:t xml:space="preserve"> [2018] TASSC 19.</w:t>
      </w:r>
    </w:p>
  </w:footnote>
  <w:footnote w:id="69">
    <w:p w14:paraId="49F400C5" w14:textId="1B6AF31C"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See </w:t>
      </w:r>
      <w:r w:rsidRPr="00675D56">
        <w:rPr>
          <w:rFonts w:asciiTheme="majorBidi" w:hAnsiTheme="majorBidi" w:cstheme="majorBidi"/>
          <w:i/>
        </w:rPr>
        <w:t>Williams v Williams (No 2)</w:t>
      </w:r>
      <w:r w:rsidRPr="00675D56">
        <w:rPr>
          <w:rFonts w:asciiTheme="majorBidi" w:hAnsiTheme="majorBidi" w:cstheme="majorBidi"/>
        </w:rPr>
        <w:t xml:space="preserve"> [2018] TASSC 61, [5].</w:t>
      </w:r>
    </w:p>
  </w:footnote>
  <w:footnote w:id="70">
    <w:p w14:paraId="1F7B5932" w14:textId="51000C5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[2018] NSWSC 302 (14 March 2018).</w:t>
      </w:r>
    </w:p>
  </w:footnote>
  <w:footnote w:id="71">
    <w:p w14:paraId="0CF911F4" w14:textId="198CDA0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bookmarkStart w:id="50" w:name="_Hlk8204790"/>
      <w:r w:rsidRPr="00675D56">
        <w:rPr>
          <w:rFonts w:asciiTheme="majorBidi" w:hAnsiTheme="majorBidi" w:cstheme="majorBidi"/>
        </w:rPr>
        <w:tab/>
      </w:r>
      <w:r w:rsidRPr="00675D56">
        <w:rPr>
          <w:rFonts w:asciiTheme="majorBidi" w:hAnsiTheme="majorBidi" w:cstheme="majorBidi"/>
          <w:i/>
          <w:iCs/>
        </w:rPr>
        <w:t>Soens v Rathborne</w:t>
      </w:r>
      <w:r w:rsidRPr="00675D56">
        <w:rPr>
          <w:rFonts w:asciiTheme="majorBidi" w:hAnsiTheme="majorBidi" w:cstheme="majorBidi"/>
        </w:rPr>
        <w:t xml:space="preserve"> [2018] NSWSC 302, [47] (Hallen J</w:t>
      </w:r>
      <w:bookmarkEnd w:id="50"/>
      <w:r w:rsidRPr="00675D56">
        <w:rPr>
          <w:rFonts w:asciiTheme="majorBidi" w:hAnsiTheme="majorBidi" w:cstheme="majorBidi"/>
        </w:rPr>
        <w:t xml:space="preserve">), citing </w:t>
      </w:r>
      <w:r w:rsidRPr="00675D56">
        <w:rPr>
          <w:rFonts w:asciiTheme="majorBidi" w:hAnsiTheme="majorBidi" w:cstheme="majorBidi"/>
          <w:i/>
          <w:iCs/>
        </w:rPr>
        <w:t>Ernst v Mowbray</w:t>
      </w:r>
      <w:r w:rsidRPr="00675D56">
        <w:rPr>
          <w:rFonts w:asciiTheme="majorBidi" w:hAnsiTheme="majorBidi" w:cstheme="majorBidi"/>
        </w:rPr>
        <w:t xml:space="preserve"> </w:t>
      </w:r>
      <w:hyperlink r:id="rId1" w:tooltip="View Case" w:history="1">
        <w:r w:rsidRPr="00675D56">
          <w:rPr>
            <w:rFonts w:asciiTheme="majorBidi" w:hAnsiTheme="majorBidi" w:cstheme="majorBidi"/>
          </w:rPr>
          <w:t>[2004] NSWSC 1140</w:t>
        </w:r>
      </w:hyperlink>
      <w:r w:rsidRPr="00675D56">
        <w:rPr>
          <w:rFonts w:asciiTheme="majorBidi" w:hAnsiTheme="majorBidi" w:cstheme="majorBidi"/>
        </w:rPr>
        <w:t>, [65].</w:t>
      </w:r>
    </w:p>
  </w:footnote>
  <w:footnote w:id="72">
    <w:p w14:paraId="51E14AFF" w14:textId="0ADC9035"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See description of the Queensland Law Reform Commission (‘QLRC’), </w:t>
      </w:r>
      <w:r w:rsidRPr="00675D56">
        <w:rPr>
          <w:rFonts w:asciiTheme="majorBidi" w:hAnsiTheme="majorBidi" w:cstheme="majorBidi"/>
          <w:i/>
        </w:rPr>
        <w:t>Report to the Standing Committee of Attorneys General on Family Provision</w:t>
      </w:r>
      <w:r w:rsidRPr="00675D56">
        <w:rPr>
          <w:rFonts w:asciiTheme="majorBidi" w:hAnsiTheme="majorBidi" w:cstheme="majorBidi"/>
        </w:rPr>
        <w:t xml:space="preserve"> (Miscellaneous Paper 28, December 1997) ch 6.</w:t>
      </w:r>
    </w:p>
  </w:footnote>
  <w:footnote w:id="73">
    <w:p w14:paraId="669BECD9" w14:textId="4A94E88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61" w:name="_Hlk11404298"/>
      <w:r w:rsidRPr="00675D56">
        <w:rPr>
          <w:rFonts w:asciiTheme="majorBidi" w:hAnsiTheme="majorBidi" w:cstheme="majorBidi"/>
        </w:rPr>
        <w:t xml:space="preserve">Law Commission (England &amp; Wales), </w:t>
      </w:r>
      <w:r w:rsidRPr="00675D56">
        <w:rPr>
          <w:rFonts w:asciiTheme="majorBidi" w:hAnsiTheme="majorBidi" w:cstheme="majorBidi"/>
          <w:i/>
          <w:iCs/>
        </w:rPr>
        <w:t>Family Law Second Report on Family Property: Family Provision on Death</w:t>
      </w:r>
      <w:r w:rsidRPr="00675D56">
        <w:rPr>
          <w:rFonts w:asciiTheme="majorBidi" w:hAnsiTheme="majorBidi" w:cstheme="majorBidi"/>
        </w:rPr>
        <w:t xml:space="preserve"> (Law Com No 61, July 1974)</w:t>
      </w:r>
      <w:bookmarkEnd w:id="61"/>
      <w:r w:rsidRPr="00675D56">
        <w:rPr>
          <w:rFonts w:asciiTheme="majorBidi" w:hAnsiTheme="majorBidi" w:cstheme="majorBidi"/>
        </w:rPr>
        <w:t>.</w:t>
      </w:r>
    </w:p>
  </w:footnote>
  <w:footnote w:id="74">
    <w:p w14:paraId="49E08C54" w14:textId="4797D4C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Part V.</w:t>
      </w:r>
    </w:p>
  </w:footnote>
  <w:footnote w:id="75">
    <w:p w14:paraId="10B645A3" w14:textId="63D843D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[191].</w:t>
      </w:r>
    </w:p>
  </w:footnote>
  <w:footnote w:id="76">
    <w:p w14:paraId="218513B6" w14:textId="08E27E4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[192].</w:t>
      </w:r>
    </w:p>
  </w:footnote>
  <w:footnote w:id="77">
    <w:p w14:paraId="4FBBC3A6" w14:textId="680BFBF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62" w:name="_Hlk11404427"/>
      <w:r w:rsidRPr="00675D56">
        <w:rPr>
          <w:rFonts w:asciiTheme="majorBidi" w:hAnsiTheme="majorBidi" w:cstheme="majorBidi"/>
        </w:rPr>
        <w:t>Ibid [191]</w:t>
      </w:r>
      <w:bookmarkEnd w:id="62"/>
      <w:r w:rsidRPr="00675D56">
        <w:rPr>
          <w:rFonts w:asciiTheme="majorBidi" w:hAnsiTheme="majorBidi" w:cstheme="majorBidi"/>
        </w:rPr>
        <w:t>.</w:t>
      </w:r>
    </w:p>
  </w:footnote>
  <w:footnote w:id="78">
    <w:p w14:paraId="76505D48" w14:textId="5146BCA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[211].</w:t>
      </w:r>
    </w:p>
  </w:footnote>
  <w:footnote w:id="79">
    <w:p w14:paraId="43C758ED" w14:textId="711ADB7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[198].</w:t>
      </w:r>
    </w:p>
  </w:footnote>
  <w:footnote w:id="80">
    <w:p w14:paraId="4DCE01E0" w14:textId="6D3CB1E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[141].</w:t>
      </w:r>
    </w:p>
  </w:footnote>
  <w:footnote w:id="81">
    <w:p w14:paraId="268B337C" w14:textId="51DEAE0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82">
    <w:p w14:paraId="5D2818A3" w14:textId="3AA7FFA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[205].</w:t>
      </w:r>
    </w:p>
  </w:footnote>
  <w:footnote w:id="83">
    <w:p w14:paraId="6A373995" w14:textId="315D935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Ibid [206]. The Alberta Law Reform Institute (‘ALRI’) has made similar observations but reached the opposite conclusion: ALRI, </w:t>
      </w:r>
      <w:r w:rsidRPr="00675D56">
        <w:rPr>
          <w:rFonts w:asciiTheme="majorBidi" w:hAnsiTheme="majorBidi" w:cstheme="majorBidi"/>
          <w:i/>
          <w:iCs/>
        </w:rPr>
        <w:t>Division of Matrimonial Property on Death</w:t>
      </w:r>
      <w:r w:rsidRPr="00675D56">
        <w:rPr>
          <w:rFonts w:asciiTheme="majorBidi" w:hAnsiTheme="majorBidi" w:cstheme="majorBidi"/>
        </w:rPr>
        <w:t xml:space="preserve"> (Final Report No 83, May 2000) [434]–[436].</w:t>
      </w:r>
    </w:p>
  </w:footnote>
  <w:footnote w:id="84">
    <w:p w14:paraId="3EDB3270" w14:textId="3FAD79D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The 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_Ref12897342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72</w:t>
      </w:r>
      <w:r w:rsidRPr="00675D56">
        <w:rPr>
          <w:rFonts w:asciiTheme="majorBidi" w:hAnsiTheme="majorBidi" w:cstheme="majorBidi"/>
        </w:rPr>
        <w:fldChar w:fldCharType="end"/>
      </w:r>
      <w:r w:rsidRPr="00675D56">
        <w:rPr>
          <w:rFonts w:asciiTheme="majorBidi" w:hAnsiTheme="majorBidi" w:cstheme="majorBidi"/>
        </w:rPr>
        <w:t>) [213].</w:t>
      </w:r>
    </w:p>
  </w:footnote>
  <w:footnote w:id="85">
    <w:p w14:paraId="26EEA624" w14:textId="4943743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65" w:name="_Hlk7526929"/>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w:t>
      </w:r>
      <w:bookmarkEnd w:id="65"/>
      <w:r w:rsidRPr="00675D56">
        <w:rPr>
          <w:rFonts w:asciiTheme="majorBidi" w:hAnsiTheme="majorBidi" w:cstheme="majorBidi"/>
        </w:rPr>
        <w:t>s 8(1).</w:t>
      </w:r>
    </w:p>
  </w:footnote>
  <w:footnote w:id="86">
    <w:p w14:paraId="0CFD78C6" w14:textId="25ADC49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8(2).</w:t>
      </w:r>
    </w:p>
  </w:footnote>
  <w:footnote w:id="87">
    <w:p w14:paraId="4CF23816" w14:textId="5146C11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9.</w:t>
      </w:r>
    </w:p>
  </w:footnote>
  <w:footnote w:id="88">
    <w:p w14:paraId="18438AB0" w14:textId="27864AC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10, with these provisions being broadly consistent with the recommendations of the Law Commission of England.</w:t>
      </w:r>
    </w:p>
  </w:footnote>
  <w:footnote w:id="89">
    <w:p w14:paraId="53468A89" w14:textId="107C15A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Defined as follows: ‘Clawback is intended to stop the possibility of individuals evading the forced inheritance rules by giving away their property during their lifetime’: EUC, </w:t>
      </w:r>
      <w:r w:rsidRPr="00675D56">
        <w:rPr>
          <w:rFonts w:asciiTheme="majorBidi" w:hAnsiTheme="majorBidi" w:cstheme="majorBidi"/>
          <w:i/>
          <w:iCs/>
        </w:rPr>
        <w:t>The EU’s Regulation on Succession: Report with Evidence</w:t>
      </w:r>
      <w:r w:rsidRPr="00675D56">
        <w:rPr>
          <w:rFonts w:asciiTheme="majorBidi" w:hAnsiTheme="majorBidi" w:cstheme="majorBidi"/>
        </w:rPr>
        <w:t xml:space="preserve"> (House of Lords Paper No 75, Session 2009–10E) [86].</w:t>
      </w:r>
    </w:p>
  </w:footnote>
  <w:footnote w:id="90">
    <w:p w14:paraId="543D858E" w14:textId="4E427F7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91">
    <w:p w14:paraId="0FE1F2E0"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[86].</w:t>
      </w:r>
    </w:p>
  </w:footnote>
  <w:footnote w:id="92">
    <w:p w14:paraId="1A188F7A" w14:textId="27DE74B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5.</w:t>
      </w:r>
    </w:p>
  </w:footnote>
  <w:footnote w:id="93">
    <w:p w14:paraId="311DB979" w14:textId="5216DA5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[86].</w:t>
      </w:r>
    </w:p>
  </w:footnote>
  <w:footnote w:id="94">
    <w:p w14:paraId="573985FB" w14:textId="677CAA7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[89].</w:t>
      </w:r>
    </w:p>
  </w:footnote>
  <w:footnote w:id="95">
    <w:p w14:paraId="34B242C0" w14:textId="603099C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60.</w:t>
      </w:r>
    </w:p>
  </w:footnote>
  <w:footnote w:id="96">
    <w:p w14:paraId="54D5CF84" w14:textId="34A3F05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[94].</w:t>
      </w:r>
    </w:p>
  </w:footnote>
  <w:footnote w:id="97">
    <w:p w14:paraId="2986D2EC" w14:textId="5270ABF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98">
    <w:p w14:paraId="2B327C85" w14:textId="1C8BACE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[92].</w:t>
      </w:r>
    </w:p>
  </w:footnote>
  <w:footnote w:id="99">
    <w:p w14:paraId="345664A7" w14:textId="6391262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Law Commission (England &amp; Wales), </w:t>
      </w:r>
      <w:r w:rsidRPr="00675D56">
        <w:rPr>
          <w:rFonts w:asciiTheme="majorBidi" w:hAnsiTheme="majorBidi" w:cstheme="majorBidi"/>
          <w:i/>
          <w:iCs/>
        </w:rPr>
        <w:t>Intestacy and Family Provision Claims on Death</w:t>
      </w:r>
      <w:r w:rsidRPr="00675D56">
        <w:rPr>
          <w:rFonts w:asciiTheme="majorBidi" w:hAnsiTheme="majorBidi" w:cstheme="majorBidi"/>
        </w:rPr>
        <w:t xml:space="preserve"> (Law Com No 331, December 2011).</w:t>
      </w:r>
    </w:p>
  </w:footnote>
  <w:footnote w:id="100">
    <w:p w14:paraId="716027FE" w14:textId="46AB10E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Also known as ‘</w:t>
      </w:r>
      <w:r w:rsidRPr="00675D56">
        <w:rPr>
          <w:rFonts w:asciiTheme="majorBidi" w:hAnsiTheme="majorBidi" w:cstheme="majorBidi"/>
          <w:i/>
          <w:iCs/>
        </w:rPr>
        <w:t>donatio mortis causa</w:t>
      </w:r>
      <w:r w:rsidRPr="00675D56">
        <w:rPr>
          <w:rFonts w:asciiTheme="majorBidi" w:hAnsiTheme="majorBidi" w:cstheme="majorBidi"/>
        </w:rPr>
        <w:t>’.</w:t>
      </w:r>
    </w:p>
  </w:footnote>
  <w:footnote w:id="101">
    <w:p w14:paraId="3A269D9B" w14:textId="5E778F8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_Ref12986634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98</w:t>
      </w:r>
      <w:r w:rsidRPr="00675D56">
        <w:rPr>
          <w:rFonts w:asciiTheme="majorBidi" w:hAnsiTheme="majorBidi" w:cstheme="majorBidi"/>
        </w:rPr>
        <w:fldChar w:fldCharType="end"/>
      </w:r>
      <w:r w:rsidRPr="00675D56">
        <w:rPr>
          <w:rFonts w:asciiTheme="majorBidi" w:hAnsiTheme="majorBidi" w:cstheme="majorBidi"/>
        </w:rPr>
        <w:t>) [7.41].</w:t>
      </w:r>
    </w:p>
  </w:footnote>
  <w:footnote w:id="102">
    <w:p w14:paraId="2830AD48" w14:textId="1CAE374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[7.74].</w:t>
      </w:r>
    </w:p>
  </w:footnote>
  <w:footnote w:id="103">
    <w:p w14:paraId="067610A7" w14:textId="7D729F3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_Ref12986764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3.2.4</w:t>
      </w:r>
      <w:r w:rsidRPr="00675D56">
        <w:rPr>
          <w:rFonts w:asciiTheme="majorBidi" w:hAnsiTheme="majorBidi" w:cstheme="majorBidi"/>
        </w:rPr>
        <w:fldChar w:fldCharType="end"/>
      </w:r>
      <w:r w:rsidRPr="00675D56">
        <w:rPr>
          <w:rFonts w:asciiTheme="majorBidi" w:hAnsiTheme="majorBidi" w:cstheme="majorBidi"/>
        </w:rPr>
        <w:t>].</w:t>
      </w:r>
    </w:p>
  </w:footnote>
  <w:footnote w:id="104">
    <w:p w14:paraId="6E746025" w14:textId="7C7D99E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_Ref12986634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98</w:t>
      </w:r>
      <w:r w:rsidRPr="00675D56">
        <w:rPr>
          <w:rFonts w:asciiTheme="majorBidi" w:hAnsiTheme="majorBidi" w:cstheme="majorBidi"/>
        </w:rPr>
        <w:fldChar w:fldCharType="end"/>
      </w:r>
      <w:r w:rsidRPr="00675D56">
        <w:rPr>
          <w:rFonts w:asciiTheme="majorBidi" w:hAnsiTheme="majorBidi" w:cstheme="majorBidi"/>
        </w:rPr>
        <w:t>) [7.77].</w:t>
      </w:r>
    </w:p>
  </w:footnote>
  <w:footnote w:id="105">
    <w:p w14:paraId="0199661A" w14:textId="334CAFE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106">
    <w:p w14:paraId="74EEB441" w14:textId="1B43F89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[7.83].</w:t>
      </w:r>
    </w:p>
  </w:footnote>
  <w:footnote w:id="107">
    <w:p w14:paraId="04862664" w14:textId="636A48A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[7.85].</w:t>
      </w:r>
    </w:p>
  </w:footnote>
  <w:footnote w:id="108">
    <w:p w14:paraId="76F51894" w14:textId="33D4830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Inheritance and Trustees’ Powers Act 2014</w:t>
      </w:r>
      <w:r w:rsidRPr="00675D56">
        <w:rPr>
          <w:rFonts w:asciiTheme="majorBidi" w:hAnsiTheme="majorBidi" w:cstheme="majorBidi"/>
        </w:rPr>
        <w:t xml:space="preserve"> (UK) cl 6 sch 2, s 7(2).</w:t>
      </w:r>
    </w:p>
  </w:footnote>
  <w:footnote w:id="109">
    <w:p w14:paraId="297B8440" w14:textId="306BEFA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_Ref12986634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98</w:t>
      </w:r>
      <w:r w:rsidRPr="00675D56">
        <w:rPr>
          <w:rFonts w:asciiTheme="majorBidi" w:hAnsiTheme="majorBidi" w:cstheme="majorBidi"/>
        </w:rPr>
        <w:fldChar w:fldCharType="end"/>
      </w:r>
      <w:r w:rsidRPr="00675D56">
        <w:rPr>
          <w:rFonts w:asciiTheme="majorBidi" w:hAnsiTheme="majorBidi" w:cstheme="majorBidi"/>
        </w:rPr>
        <w:t>) [7.103].</w:t>
      </w:r>
    </w:p>
  </w:footnote>
  <w:footnote w:id="110">
    <w:p w14:paraId="028D4E64" w14:textId="798270A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Including the Chancery Bar Association and the Family Law Bar Association, the Law Society and the Society of Trust and Estate Practitioners.</w:t>
      </w:r>
    </w:p>
  </w:footnote>
  <w:footnote w:id="111">
    <w:p w14:paraId="0204FC38" w14:textId="20DD9FA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_Ref12986634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98</w:t>
      </w:r>
      <w:r w:rsidRPr="00675D56">
        <w:rPr>
          <w:rFonts w:asciiTheme="majorBidi" w:hAnsiTheme="majorBidi" w:cstheme="majorBidi"/>
        </w:rPr>
        <w:fldChar w:fldCharType="end"/>
      </w:r>
      <w:r w:rsidRPr="00675D56">
        <w:rPr>
          <w:rFonts w:asciiTheme="majorBidi" w:hAnsiTheme="majorBidi" w:cstheme="majorBidi"/>
        </w:rPr>
        <w:t>) [7.105].</w:t>
      </w:r>
    </w:p>
  </w:footnote>
  <w:footnote w:id="112">
    <w:p w14:paraId="144C9211" w14:textId="2A1E35C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[7.107].</w:t>
      </w:r>
    </w:p>
  </w:footnote>
  <w:footnote w:id="113">
    <w:p w14:paraId="588C569C" w14:textId="6401688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114">
    <w:p w14:paraId="1AE378FB" w14:textId="695E1D8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[7.108].</w:t>
      </w:r>
    </w:p>
  </w:footnote>
  <w:footnote w:id="115">
    <w:p w14:paraId="23A50270" w14:textId="19C3BF5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[7.109].</w:t>
      </w:r>
    </w:p>
  </w:footnote>
  <w:footnote w:id="116">
    <w:p w14:paraId="0C5B4095" w14:textId="652B7DE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[7.112].</w:t>
      </w:r>
    </w:p>
  </w:footnote>
  <w:footnote w:id="117">
    <w:p w14:paraId="23C948F5" w14:textId="508A981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118">
    <w:p w14:paraId="7C0094A6" w14:textId="56539EE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[7.120].</w:t>
      </w:r>
    </w:p>
  </w:footnote>
  <w:footnote w:id="119">
    <w:p w14:paraId="6C56254F" w14:textId="68D0558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Pr>
          <w:rFonts w:asciiTheme="majorBidi" w:hAnsiTheme="majorBidi" w:cstheme="majorBidi"/>
        </w:rPr>
        <w:tab/>
      </w:r>
      <w:r w:rsidRPr="00675D56">
        <w:rPr>
          <w:rFonts w:asciiTheme="majorBidi" w:hAnsiTheme="majorBidi" w:cstheme="majorBidi"/>
        </w:rPr>
        <w:t xml:space="preserve">See Scottish Law Commission, </w:t>
      </w:r>
      <w:r w:rsidRPr="00675D56">
        <w:rPr>
          <w:rFonts w:asciiTheme="majorBidi" w:hAnsiTheme="majorBidi" w:cstheme="majorBidi"/>
          <w:i/>
          <w:iCs/>
        </w:rPr>
        <w:t>Discussion Paper on Succession</w:t>
      </w:r>
      <w:r w:rsidRPr="00675D56">
        <w:rPr>
          <w:rFonts w:asciiTheme="majorBidi" w:hAnsiTheme="majorBidi" w:cstheme="majorBidi"/>
        </w:rPr>
        <w:t xml:space="preserve"> (Discussion Paper No 136, August 2007); Scottish Law Commission, </w:t>
      </w:r>
      <w:r w:rsidRPr="00675D56">
        <w:rPr>
          <w:rFonts w:asciiTheme="majorBidi" w:hAnsiTheme="majorBidi" w:cstheme="majorBidi"/>
          <w:i/>
          <w:iCs/>
        </w:rPr>
        <w:t>Report on Succession</w:t>
      </w:r>
      <w:r w:rsidRPr="00675D56">
        <w:rPr>
          <w:rFonts w:asciiTheme="majorBidi" w:hAnsiTheme="majorBidi" w:cstheme="majorBidi"/>
        </w:rPr>
        <w:t>, Scot Law Com No 215</w:t>
      </w:r>
      <w:r w:rsidRPr="00675D56">
        <w:rPr>
          <w:rFonts w:asciiTheme="majorBidi" w:hAnsiTheme="majorBidi" w:cstheme="majorBidi"/>
          <w:i/>
          <w:iCs/>
        </w:rPr>
        <w:t xml:space="preserve"> </w:t>
      </w:r>
      <w:r w:rsidRPr="00675D56">
        <w:rPr>
          <w:rFonts w:asciiTheme="majorBidi" w:hAnsiTheme="majorBidi" w:cstheme="majorBidi"/>
        </w:rPr>
        <w:t>(April 2009).</w:t>
      </w:r>
    </w:p>
  </w:footnote>
  <w:footnote w:id="120">
    <w:p w14:paraId="116E245E" w14:textId="3B875E4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 xml:space="preserve">Family Law (Scotland) Act </w:t>
      </w:r>
      <w:r w:rsidRPr="00675D56">
        <w:rPr>
          <w:rFonts w:asciiTheme="majorBidi" w:hAnsiTheme="majorBidi" w:cstheme="majorBidi"/>
        </w:rPr>
        <w:t>1985 (Scotland) s 18.</w:t>
      </w:r>
    </w:p>
  </w:footnote>
  <w:footnote w:id="121">
    <w:p w14:paraId="4E6633DE" w14:textId="222BDF0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72" w:name="_Hlk11404645"/>
      <w:r w:rsidRPr="00675D56">
        <w:rPr>
          <w:rFonts w:asciiTheme="majorBidi" w:hAnsiTheme="majorBidi" w:cstheme="majorBidi"/>
        </w:rPr>
        <w:t xml:space="preserve">Scottish Law Commission (2009) (n </w:t>
      </w:r>
      <w:r w:rsidRPr="00675D56">
        <w:rPr>
          <w:rFonts w:asciiTheme="majorBidi" w:hAnsiTheme="majorBidi" w:cstheme="majorBidi"/>
        </w:rPr>
        <w:fldChar w:fldCharType="begin"/>
      </w:r>
      <w:r w:rsidRPr="00675D56">
        <w:rPr>
          <w:rFonts w:asciiTheme="majorBidi" w:hAnsiTheme="majorBidi" w:cstheme="majorBidi"/>
        </w:rPr>
        <w:instrText xml:space="preserve"> NOTEREF _Ref13063421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118</w:t>
      </w:r>
      <w:r w:rsidRPr="00675D56">
        <w:rPr>
          <w:rFonts w:asciiTheme="majorBidi" w:hAnsiTheme="majorBidi" w:cstheme="majorBidi"/>
        </w:rPr>
        <w:fldChar w:fldCharType="end"/>
      </w:r>
      <w:r w:rsidRPr="00675D56">
        <w:rPr>
          <w:rFonts w:asciiTheme="majorBidi" w:hAnsiTheme="majorBidi" w:cstheme="majorBidi"/>
        </w:rPr>
        <w:t>) [1.20].</w:t>
      </w:r>
      <w:bookmarkEnd w:id="72"/>
    </w:p>
  </w:footnote>
  <w:footnote w:id="122">
    <w:p w14:paraId="08E66039" w14:textId="75779E4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123">
    <w:p w14:paraId="2DC936C9" w14:textId="57930EE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Uniform Dependants’ Relief Act 1974</w:t>
      </w:r>
      <w:r w:rsidRPr="00675D56">
        <w:rPr>
          <w:rFonts w:asciiTheme="majorBidi" w:hAnsiTheme="majorBidi" w:cstheme="majorBidi"/>
        </w:rPr>
        <w:t xml:space="preserve"> (Canada).</w:t>
      </w:r>
    </w:p>
  </w:footnote>
  <w:footnote w:id="124">
    <w:p w14:paraId="2D590AEF" w14:textId="75AE434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Details included in Appendix 2.</w:t>
      </w:r>
    </w:p>
  </w:footnote>
  <w:footnote w:id="125">
    <w:p w14:paraId="2D333A6D" w14:textId="61041C3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Uniform Dependants’ Relief Act 1974</w:t>
      </w:r>
      <w:r w:rsidRPr="00675D56">
        <w:rPr>
          <w:rFonts w:asciiTheme="majorBidi" w:hAnsiTheme="majorBidi" w:cstheme="majorBidi"/>
        </w:rPr>
        <w:t xml:space="preserve"> (Canada) s 21(1)(a).</w:t>
      </w:r>
    </w:p>
  </w:footnote>
  <w:footnote w:id="126">
    <w:p w14:paraId="5A688FCA" w14:textId="5BB8DD0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21(1)(b).</w:t>
      </w:r>
    </w:p>
  </w:footnote>
  <w:footnote w:id="127">
    <w:p w14:paraId="1F276D53" w14:textId="3957A68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21(2).</w:t>
      </w:r>
    </w:p>
  </w:footnote>
  <w:footnote w:id="128">
    <w:p w14:paraId="15A0F395" w14:textId="729D4C0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Some provinces, however, include similar provisions within family law legislation, as explained at [3.4.5].</w:t>
      </w:r>
    </w:p>
  </w:footnote>
  <w:footnote w:id="129">
    <w:p w14:paraId="269681DB" w14:textId="79F12E1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This had been recommended for British Columbia but has not been enacted: British Columbia Law Institute, </w:t>
      </w:r>
      <w:r w:rsidRPr="00675D56">
        <w:rPr>
          <w:rFonts w:asciiTheme="majorBidi" w:hAnsiTheme="majorBidi" w:cstheme="majorBidi"/>
          <w:i/>
          <w:iCs/>
        </w:rPr>
        <w:t>Wills, Estates and Succession: A Modern Legal Framework</w:t>
      </w:r>
      <w:r w:rsidRPr="00675D56">
        <w:rPr>
          <w:rFonts w:asciiTheme="majorBidi" w:hAnsiTheme="majorBidi" w:cstheme="majorBidi"/>
        </w:rPr>
        <w:t xml:space="preserve"> (BCLI Report No 45, June 2006) 202.</w:t>
      </w:r>
    </w:p>
  </w:footnote>
  <w:footnote w:id="130">
    <w:p w14:paraId="3463C374" w14:textId="71CBB25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Barns v Barns</w:t>
      </w:r>
      <w:r w:rsidRPr="00675D56">
        <w:rPr>
          <w:rFonts w:asciiTheme="majorBidi" w:hAnsiTheme="majorBidi" w:cstheme="majorBidi"/>
        </w:rPr>
        <w:t xml:space="preserve"> (2003) 214 CLR 169. See discussion at [1.4.14].</w:t>
      </w:r>
    </w:p>
  </w:footnote>
  <w:footnote w:id="131">
    <w:p w14:paraId="3DE461DE" w14:textId="2E84F09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The Family Property Act</w:t>
      </w:r>
      <w:r w:rsidRPr="00675D56">
        <w:rPr>
          <w:rFonts w:asciiTheme="majorBidi" w:hAnsiTheme="majorBidi" w:cstheme="majorBidi"/>
        </w:rPr>
        <w:t>, SS 1997, F-6.3, Part VI (Saskatchewan) (‘</w:t>
      </w:r>
      <w:r w:rsidRPr="00675D56">
        <w:rPr>
          <w:rFonts w:asciiTheme="majorBidi" w:hAnsiTheme="majorBidi" w:cstheme="majorBidi"/>
          <w:i/>
          <w:iCs/>
        </w:rPr>
        <w:t>The Family Property Act</w:t>
      </w:r>
      <w:r w:rsidRPr="00675D56">
        <w:rPr>
          <w:rFonts w:asciiTheme="majorBidi" w:hAnsiTheme="majorBidi" w:cstheme="majorBidi"/>
        </w:rPr>
        <w:t xml:space="preserve"> (Sask)’); </w:t>
      </w:r>
      <w:r w:rsidRPr="00675D56">
        <w:rPr>
          <w:rFonts w:asciiTheme="majorBidi" w:hAnsiTheme="majorBidi" w:cstheme="majorBidi"/>
          <w:i/>
          <w:iCs/>
        </w:rPr>
        <w:t>Family Property Act</w:t>
      </w:r>
      <w:r w:rsidRPr="00675D56">
        <w:rPr>
          <w:rFonts w:asciiTheme="majorBidi" w:hAnsiTheme="majorBidi" w:cstheme="majorBidi"/>
        </w:rPr>
        <w:t>, CCSM, c F25, Part IV (Manitoba) (‘</w:t>
      </w:r>
      <w:r w:rsidRPr="00675D56">
        <w:rPr>
          <w:rFonts w:asciiTheme="majorBidi" w:hAnsiTheme="majorBidi" w:cstheme="majorBidi"/>
          <w:i/>
          <w:iCs/>
        </w:rPr>
        <w:t>Family Property Act</w:t>
      </w:r>
      <w:r w:rsidRPr="00675D56">
        <w:rPr>
          <w:rFonts w:asciiTheme="majorBidi" w:hAnsiTheme="majorBidi" w:cstheme="majorBidi"/>
        </w:rPr>
        <w:t xml:space="preserve"> (Man)’); </w:t>
      </w:r>
      <w:r w:rsidRPr="00675D56">
        <w:rPr>
          <w:rFonts w:asciiTheme="majorBidi" w:hAnsiTheme="majorBidi" w:cstheme="majorBidi"/>
          <w:i/>
          <w:iCs/>
        </w:rPr>
        <w:t>Family Law Act</w:t>
      </w:r>
      <w:r w:rsidRPr="00675D56">
        <w:rPr>
          <w:rFonts w:asciiTheme="majorBidi" w:hAnsiTheme="majorBidi" w:cstheme="majorBidi"/>
        </w:rPr>
        <w:t>, RSO 1990, c F.3 (Ontario) (‘</w:t>
      </w:r>
      <w:r w:rsidRPr="00675D56">
        <w:rPr>
          <w:rFonts w:asciiTheme="majorBidi" w:hAnsiTheme="majorBidi" w:cstheme="majorBidi"/>
          <w:i/>
          <w:iCs/>
        </w:rPr>
        <w:t xml:space="preserve">Family Law Act </w:t>
      </w:r>
      <w:r w:rsidRPr="00675D56">
        <w:rPr>
          <w:rFonts w:asciiTheme="majorBidi" w:hAnsiTheme="majorBidi" w:cstheme="majorBidi"/>
        </w:rPr>
        <w:t xml:space="preserve">(Ont)’); and to a lesser degree, the </w:t>
      </w:r>
      <w:r w:rsidRPr="00675D56">
        <w:rPr>
          <w:rFonts w:asciiTheme="majorBidi" w:hAnsiTheme="majorBidi" w:cstheme="majorBidi"/>
          <w:i/>
          <w:iCs/>
        </w:rPr>
        <w:t>Matrimonial Property Act</w:t>
      </w:r>
      <w:r w:rsidRPr="00675D56">
        <w:rPr>
          <w:rFonts w:asciiTheme="majorBidi" w:hAnsiTheme="majorBidi" w:cstheme="majorBidi"/>
        </w:rPr>
        <w:t>, RSA 2000, c M-8 (Alberta) – see ss 5(1), 11(2) (‘</w:t>
      </w:r>
      <w:r w:rsidRPr="00675D56">
        <w:rPr>
          <w:rFonts w:asciiTheme="majorBidi" w:hAnsiTheme="majorBidi" w:cstheme="majorBidi"/>
          <w:i/>
          <w:iCs/>
        </w:rPr>
        <w:t xml:space="preserve">Matrimonial Property Act </w:t>
      </w:r>
      <w:r w:rsidRPr="00675D56">
        <w:rPr>
          <w:rFonts w:asciiTheme="majorBidi" w:hAnsiTheme="majorBidi" w:cstheme="majorBidi"/>
        </w:rPr>
        <w:t>(Alta)’).</w:t>
      </w:r>
    </w:p>
  </w:footnote>
  <w:footnote w:id="132">
    <w:p w14:paraId="077B2915" w14:textId="3500DB3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The Family Property Act</w:t>
      </w:r>
      <w:r w:rsidRPr="00675D56">
        <w:rPr>
          <w:rFonts w:asciiTheme="majorBidi" w:hAnsiTheme="majorBidi" w:cstheme="majorBidi"/>
        </w:rPr>
        <w:t xml:space="preserve"> (Sask) (n </w:t>
      </w:r>
      <w:r w:rsidRPr="00675D56">
        <w:rPr>
          <w:rFonts w:asciiTheme="majorBidi" w:hAnsiTheme="majorBidi" w:cstheme="majorBidi"/>
        </w:rPr>
        <w:fldChar w:fldCharType="begin"/>
      </w:r>
      <w:r w:rsidRPr="00675D56">
        <w:rPr>
          <w:rFonts w:asciiTheme="majorBidi" w:hAnsiTheme="majorBidi" w:cstheme="majorBidi"/>
        </w:rPr>
        <w:instrText xml:space="preserve"> NOTEREF _Ref13068334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130</w:t>
      </w:r>
      <w:r w:rsidRPr="00675D56">
        <w:rPr>
          <w:rFonts w:asciiTheme="majorBidi" w:hAnsiTheme="majorBidi" w:cstheme="majorBidi"/>
        </w:rPr>
        <w:fldChar w:fldCharType="end"/>
      </w:r>
      <w:r w:rsidRPr="00675D56">
        <w:rPr>
          <w:rFonts w:asciiTheme="majorBidi" w:hAnsiTheme="majorBidi" w:cstheme="majorBidi"/>
        </w:rPr>
        <w:t xml:space="preserve">) s 28. See also </w:t>
      </w:r>
      <w:r w:rsidRPr="00675D56">
        <w:rPr>
          <w:rFonts w:asciiTheme="majorBidi" w:hAnsiTheme="majorBidi" w:cstheme="majorBidi"/>
          <w:i/>
          <w:iCs/>
        </w:rPr>
        <w:t xml:space="preserve">Family Property Act </w:t>
      </w:r>
      <w:r w:rsidRPr="00675D56">
        <w:rPr>
          <w:rFonts w:asciiTheme="majorBidi" w:hAnsiTheme="majorBidi" w:cstheme="majorBidi"/>
        </w:rPr>
        <w:t>(Man) (n</w:t>
      </w:r>
      <w:r>
        <w:rPr>
          <w:rFonts w:asciiTheme="majorBidi" w:hAnsiTheme="majorBidi" w:cstheme="majorBidi"/>
        </w:rPr>
        <w:t> </w:t>
      </w:r>
      <w:r w:rsidRPr="00675D56">
        <w:rPr>
          <w:rFonts w:asciiTheme="majorBidi" w:hAnsiTheme="majorBidi" w:cstheme="majorBidi"/>
        </w:rPr>
        <w:fldChar w:fldCharType="begin"/>
      </w:r>
      <w:r w:rsidRPr="00675D56">
        <w:rPr>
          <w:rFonts w:asciiTheme="majorBidi" w:hAnsiTheme="majorBidi" w:cstheme="majorBidi"/>
        </w:rPr>
        <w:instrText xml:space="preserve"> NOTEREF _Ref13068334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130</w:t>
      </w:r>
      <w:r w:rsidRPr="00675D56">
        <w:rPr>
          <w:rFonts w:asciiTheme="majorBidi" w:hAnsiTheme="majorBidi" w:cstheme="majorBidi"/>
        </w:rPr>
        <w:fldChar w:fldCharType="end"/>
      </w:r>
      <w:r w:rsidRPr="00675D56">
        <w:rPr>
          <w:rFonts w:asciiTheme="majorBidi" w:hAnsiTheme="majorBidi" w:cstheme="majorBidi"/>
        </w:rPr>
        <w:t xml:space="preserve">) ss 6(9)–(11); </w:t>
      </w:r>
      <w:r w:rsidRPr="00675D56">
        <w:rPr>
          <w:rFonts w:asciiTheme="majorBidi" w:hAnsiTheme="majorBidi" w:cstheme="majorBidi"/>
          <w:i/>
          <w:iCs/>
        </w:rPr>
        <w:t>Matrimonial Property Act</w:t>
      </w:r>
      <w:r w:rsidRPr="00675D56">
        <w:rPr>
          <w:rFonts w:asciiTheme="majorBidi" w:hAnsiTheme="majorBidi" w:cstheme="majorBidi"/>
        </w:rPr>
        <w:t xml:space="preserve"> (Alta) (n </w:t>
      </w:r>
      <w:r w:rsidRPr="00675D56">
        <w:rPr>
          <w:rFonts w:asciiTheme="majorBidi" w:hAnsiTheme="majorBidi" w:cstheme="majorBidi"/>
        </w:rPr>
        <w:fldChar w:fldCharType="begin"/>
      </w:r>
      <w:r w:rsidRPr="00675D56">
        <w:rPr>
          <w:rFonts w:asciiTheme="majorBidi" w:hAnsiTheme="majorBidi" w:cstheme="majorBidi"/>
        </w:rPr>
        <w:instrText xml:space="preserve"> NOTEREF _Ref13068334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130</w:t>
      </w:r>
      <w:r w:rsidRPr="00675D56">
        <w:rPr>
          <w:rFonts w:asciiTheme="majorBidi" w:hAnsiTheme="majorBidi" w:cstheme="majorBidi"/>
        </w:rPr>
        <w:fldChar w:fldCharType="end"/>
      </w:r>
      <w:r w:rsidRPr="00675D56">
        <w:rPr>
          <w:rFonts w:asciiTheme="majorBidi" w:hAnsiTheme="majorBidi" w:cstheme="majorBidi"/>
        </w:rPr>
        <w:t>) s 10.</w:t>
      </w:r>
    </w:p>
  </w:footnote>
  <w:footnote w:id="133">
    <w:p w14:paraId="35E51AFF" w14:textId="3C8B5F0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The Family Property Act</w:t>
      </w:r>
      <w:r w:rsidRPr="00675D56">
        <w:rPr>
          <w:rFonts w:asciiTheme="majorBidi" w:hAnsiTheme="majorBidi" w:cstheme="majorBidi"/>
        </w:rPr>
        <w:t xml:space="preserve"> (Sask) (n </w:t>
      </w:r>
      <w:r w:rsidRPr="00675D56">
        <w:rPr>
          <w:rFonts w:asciiTheme="majorBidi" w:hAnsiTheme="majorBidi" w:cstheme="majorBidi"/>
        </w:rPr>
        <w:fldChar w:fldCharType="begin"/>
      </w:r>
      <w:r w:rsidRPr="00675D56">
        <w:rPr>
          <w:rFonts w:asciiTheme="majorBidi" w:hAnsiTheme="majorBidi" w:cstheme="majorBidi"/>
        </w:rPr>
        <w:instrText xml:space="preserve"> NOTEREF _Ref13068334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130</w:t>
      </w:r>
      <w:r w:rsidRPr="00675D56">
        <w:rPr>
          <w:rFonts w:asciiTheme="majorBidi" w:hAnsiTheme="majorBidi" w:cstheme="majorBidi"/>
        </w:rPr>
        <w:fldChar w:fldCharType="end"/>
      </w:r>
      <w:r w:rsidRPr="00675D56">
        <w:rPr>
          <w:rFonts w:asciiTheme="majorBidi" w:hAnsiTheme="majorBidi" w:cstheme="majorBidi"/>
        </w:rPr>
        <w:t>) s 31.</w:t>
      </w:r>
    </w:p>
  </w:footnote>
  <w:footnote w:id="134">
    <w:p w14:paraId="4A31AF31" w14:textId="0C7E3CB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Family Property Act</w:t>
      </w:r>
      <w:r w:rsidRPr="00675D56">
        <w:rPr>
          <w:rFonts w:asciiTheme="majorBidi" w:hAnsiTheme="majorBidi" w:cstheme="majorBidi"/>
        </w:rPr>
        <w:t xml:space="preserve"> (Man) (n </w:t>
      </w:r>
      <w:r w:rsidRPr="00675D56">
        <w:rPr>
          <w:rFonts w:asciiTheme="majorBidi" w:hAnsiTheme="majorBidi" w:cstheme="majorBidi"/>
        </w:rPr>
        <w:fldChar w:fldCharType="begin"/>
      </w:r>
      <w:r w:rsidRPr="00675D56">
        <w:rPr>
          <w:rFonts w:asciiTheme="majorBidi" w:hAnsiTheme="majorBidi" w:cstheme="majorBidi"/>
        </w:rPr>
        <w:instrText xml:space="preserve"> NOTEREF _Ref13068334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130</w:t>
      </w:r>
      <w:r w:rsidRPr="00675D56">
        <w:rPr>
          <w:rFonts w:asciiTheme="majorBidi" w:hAnsiTheme="majorBidi" w:cstheme="majorBidi"/>
        </w:rPr>
        <w:fldChar w:fldCharType="end"/>
      </w:r>
      <w:r w:rsidRPr="00675D56">
        <w:rPr>
          <w:rFonts w:asciiTheme="majorBidi" w:hAnsiTheme="majorBidi" w:cstheme="majorBidi"/>
        </w:rPr>
        <w:t xml:space="preserve">) s 35(3). This approach has been broadly endorsed by the ALRI: see ALRI (n </w:t>
      </w:r>
      <w:r w:rsidRPr="00675D56">
        <w:rPr>
          <w:rFonts w:asciiTheme="majorBidi" w:hAnsiTheme="majorBidi" w:cstheme="majorBidi"/>
        </w:rPr>
        <w:fldChar w:fldCharType="begin"/>
      </w:r>
      <w:r w:rsidRPr="00675D56">
        <w:rPr>
          <w:rFonts w:asciiTheme="majorBidi" w:hAnsiTheme="majorBidi" w:cstheme="majorBidi"/>
        </w:rPr>
        <w:instrText xml:space="preserve"> NOTEREF _Ref13069149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82</w:t>
      </w:r>
      <w:r w:rsidRPr="00675D56">
        <w:rPr>
          <w:rFonts w:asciiTheme="majorBidi" w:hAnsiTheme="majorBidi" w:cstheme="majorBidi"/>
        </w:rPr>
        <w:fldChar w:fldCharType="end"/>
      </w:r>
      <w:r w:rsidRPr="00675D56">
        <w:rPr>
          <w:rFonts w:asciiTheme="majorBidi" w:hAnsiTheme="majorBidi" w:cstheme="majorBidi"/>
        </w:rPr>
        <w:t>) [439].</w:t>
      </w:r>
    </w:p>
  </w:footnote>
  <w:footnote w:id="135">
    <w:p w14:paraId="7EAD1BF2" w14:textId="535AD08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The </w:t>
      </w:r>
      <w:r w:rsidRPr="00675D56">
        <w:rPr>
          <w:rFonts w:asciiTheme="majorBidi" w:hAnsiTheme="majorBidi" w:cstheme="majorBidi"/>
          <w:i/>
          <w:iCs/>
        </w:rPr>
        <w:t>Family Property Act</w:t>
      </w:r>
      <w:r w:rsidRPr="00675D56">
        <w:rPr>
          <w:rFonts w:asciiTheme="majorBidi" w:hAnsiTheme="majorBidi" w:cstheme="majorBidi"/>
        </w:rPr>
        <w:t xml:space="preserve"> (Man) (n </w:t>
      </w:r>
      <w:r w:rsidRPr="00675D56">
        <w:rPr>
          <w:rFonts w:asciiTheme="majorBidi" w:hAnsiTheme="majorBidi" w:cstheme="majorBidi"/>
        </w:rPr>
        <w:fldChar w:fldCharType="begin"/>
      </w:r>
      <w:r w:rsidRPr="00675D56">
        <w:rPr>
          <w:rFonts w:asciiTheme="majorBidi" w:hAnsiTheme="majorBidi" w:cstheme="majorBidi"/>
        </w:rPr>
        <w:instrText xml:space="preserve"> NOTEREF _Ref13068334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130</w:t>
      </w:r>
      <w:r w:rsidRPr="00675D56">
        <w:rPr>
          <w:rFonts w:asciiTheme="majorBidi" w:hAnsiTheme="majorBidi" w:cstheme="majorBidi"/>
        </w:rPr>
        <w:fldChar w:fldCharType="end"/>
      </w:r>
      <w:r w:rsidRPr="00675D56">
        <w:rPr>
          <w:rFonts w:asciiTheme="majorBidi" w:hAnsiTheme="majorBidi" w:cstheme="majorBidi"/>
        </w:rPr>
        <w:t>) s 35(1).</w:t>
      </w:r>
    </w:p>
  </w:footnote>
  <w:footnote w:id="136">
    <w:p w14:paraId="484D827F" w14:textId="66D81B9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for example </w:t>
      </w:r>
      <w:r w:rsidRPr="00675D56">
        <w:rPr>
          <w:rFonts w:asciiTheme="majorBidi" w:hAnsiTheme="majorBidi" w:cstheme="majorBidi"/>
          <w:i/>
          <w:iCs/>
        </w:rPr>
        <w:t>Family Law Act</w:t>
      </w:r>
      <w:r w:rsidRPr="00675D56">
        <w:rPr>
          <w:rFonts w:asciiTheme="majorBidi" w:hAnsiTheme="majorBidi" w:cstheme="majorBidi"/>
        </w:rPr>
        <w:t xml:space="preserve"> (Ont) (n </w:t>
      </w:r>
      <w:r w:rsidRPr="00675D56">
        <w:rPr>
          <w:rFonts w:asciiTheme="majorBidi" w:hAnsiTheme="majorBidi" w:cstheme="majorBidi"/>
        </w:rPr>
        <w:fldChar w:fldCharType="begin"/>
      </w:r>
      <w:r w:rsidRPr="00675D56">
        <w:rPr>
          <w:rFonts w:asciiTheme="majorBidi" w:hAnsiTheme="majorBidi" w:cstheme="majorBidi"/>
        </w:rPr>
        <w:instrText xml:space="preserve"> NOTEREF _Ref13068334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130</w:t>
      </w:r>
      <w:r w:rsidRPr="00675D56">
        <w:rPr>
          <w:rFonts w:asciiTheme="majorBidi" w:hAnsiTheme="majorBidi" w:cstheme="majorBidi"/>
        </w:rPr>
        <w:fldChar w:fldCharType="end"/>
      </w:r>
      <w:r w:rsidRPr="00675D56">
        <w:rPr>
          <w:rFonts w:asciiTheme="majorBidi" w:hAnsiTheme="majorBidi" w:cstheme="majorBidi"/>
        </w:rPr>
        <w:t>) s 4(1) definition of ‘valuation date’, s</w:t>
      </w:r>
      <w:r>
        <w:rPr>
          <w:rFonts w:asciiTheme="majorBidi" w:hAnsiTheme="majorBidi" w:cstheme="majorBidi"/>
        </w:rPr>
        <w:t> </w:t>
      </w:r>
      <w:r w:rsidRPr="00675D56">
        <w:rPr>
          <w:rFonts w:asciiTheme="majorBidi" w:hAnsiTheme="majorBidi" w:cstheme="majorBidi"/>
        </w:rPr>
        <w:t xml:space="preserve">26(1). Note however, that this jurisdiction includes provisions similar to the Uniform Act within the </w:t>
      </w:r>
      <w:r w:rsidRPr="00675D56">
        <w:rPr>
          <w:rFonts w:asciiTheme="majorBidi" w:hAnsiTheme="majorBidi" w:cstheme="majorBidi"/>
          <w:i/>
          <w:iCs/>
          <w:shd w:val="clear" w:color="auto" w:fill="FFFFFF"/>
        </w:rPr>
        <w:t>Succession Law Reform Act 1990</w:t>
      </w:r>
      <w:r w:rsidRPr="00675D56">
        <w:rPr>
          <w:rFonts w:asciiTheme="majorBidi" w:hAnsiTheme="majorBidi" w:cstheme="majorBidi"/>
          <w:shd w:val="clear" w:color="auto" w:fill="FFFFFF"/>
        </w:rPr>
        <w:t xml:space="preserve"> (Ontario) Part V (see Appendix 2) and the Ontario Law Reform Commission has recommended that the two Acts be made consistent: Ontario Law Reform Commission, </w:t>
      </w:r>
      <w:r w:rsidRPr="00675D56">
        <w:rPr>
          <w:rFonts w:asciiTheme="majorBidi" w:hAnsiTheme="majorBidi" w:cstheme="majorBidi"/>
          <w:i/>
          <w:iCs/>
          <w:shd w:val="clear" w:color="auto" w:fill="FFFFFF"/>
        </w:rPr>
        <w:t>Report on Family Property Law</w:t>
      </w:r>
      <w:r w:rsidRPr="00675D56">
        <w:rPr>
          <w:rFonts w:asciiTheme="majorBidi" w:hAnsiTheme="majorBidi" w:cstheme="majorBidi"/>
          <w:shd w:val="clear" w:color="auto" w:fill="FFFFFF"/>
        </w:rPr>
        <w:t xml:space="preserve"> (Report, 1993) 108–110.</w:t>
      </w:r>
    </w:p>
  </w:footnote>
  <w:footnote w:id="137">
    <w:p w14:paraId="21351003" w14:textId="4A67826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78" w:name="_Hlk11404721"/>
      <w:r w:rsidRPr="00675D56">
        <w:rPr>
          <w:rFonts w:asciiTheme="majorBidi" w:hAnsiTheme="majorBidi" w:cstheme="majorBidi"/>
        </w:rPr>
        <w:t xml:space="preserve">ALRI (n </w:t>
      </w:r>
      <w:r w:rsidRPr="00675D56">
        <w:rPr>
          <w:rFonts w:asciiTheme="majorBidi" w:hAnsiTheme="majorBidi" w:cstheme="majorBidi"/>
        </w:rPr>
        <w:fldChar w:fldCharType="begin"/>
      </w:r>
      <w:r w:rsidRPr="00675D56">
        <w:rPr>
          <w:rFonts w:asciiTheme="majorBidi" w:hAnsiTheme="majorBidi" w:cstheme="majorBidi"/>
        </w:rPr>
        <w:instrText xml:space="preserve"> NOTEREF _Ref13069149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82</w:t>
      </w:r>
      <w:r w:rsidRPr="00675D56">
        <w:rPr>
          <w:rFonts w:asciiTheme="majorBidi" w:hAnsiTheme="majorBidi" w:cstheme="majorBidi"/>
        </w:rPr>
        <w:fldChar w:fldCharType="end"/>
      </w:r>
      <w:r w:rsidRPr="00675D56">
        <w:rPr>
          <w:rFonts w:asciiTheme="majorBidi" w:hAnsiTheme="majorBidi" w:cstheme="majorBidi"/>
        </w:rPr>
        <w:t>) [421].</w:t>
      </w:r>
      <w:bookmarkEnd w:id="78"/>
    </w:p>
  </w:footnote>
  <w:footnote w:id="138">
    <w:p w14:paraId="72E9AEC1" w14:textId="0A137BF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[422].</w:t>
      </w:r>
    </w:p>
  </w:footnote>
  <w:footnote w:id="139">
    <w:p w14:paraId="0739FDE2" w14:textId="122492A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Rec 29, with the exemption of funds, such as life insurance proceeds, intended to be used to satisfy debts or liabilities or for business purposes: at Rec 30.</w:t>
      </w:r>
    </w:p>
  </w:footnote>
  <w:footnote w:id="140">
    <w:p w14:paraId="0E75E6BD" w14:textId="633AE40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With 10 expressing support, 10 expressing opposition and one commentator suggesting that assets only be able to be clawed-back where the third party was aware of the deceased’s purpose of defeating a claim: ibid [454].</w:t>
      </w:r>
    </w:p>
  </w:footnote>
  <w:footnote w:id="141">
    <w:p w14:paraId="2BEE0D08" w14:textId="238BF88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Recs 31–33.</w:t>
      </w:r>
    </w:p>
  </w:footnote>
  <w:footnote w:id="142">
    <w:p w14:paraId="0A5AB6B3" w14:textId="003DB56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Matrimonial Property Act</w:t>
      </w:r>
      <w:r w:rsidRPr="00675D56">
        <w:rPr>
          <w:rFonts w:asciiTheme="majorBidi" w:hAnsiTheme="majorBidi" w:cstheme="majorBidi"/>
        </w:rPr>
        <w:t xml:space="preserve"> (Alta) (n </w:t>
      </w:r>
      <w:r w:rsidRPr="00675D56">
        <w:rPr>
          <w:rFonts w:asciiTheme="majorBidi" w:hAnsiTheme="majorBidi" w:cstheme="majorBidi"/>
        </w:rPr>
        <w:fldChar w:fldCharType="begin"/>
      </w:r>
      <w:r w:rsidRPr="00675D56">
        <w:rPr>
          <w:rFonts w:asciiTheme="majorBidi" w:hAnsiTheme="majorBidi" w:cstheme="majorBidi"/>
        </w:rPr>
        <w:instrText xml:space="preserve"> NOTEREF _Ref13068334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130</w:t>
      </w:r>
      <w:r w:rsidRPr="00675D56">
        <w:rPr>
          <w:rFonts w:asciiTheme="majorBidi" w:hAnsiTheme="majorBidi" w:cstheme="majorBidi"/>
        </w:rPr>
        <w:fldChar w:fldCharType="end"/>
      </w:r>
      <w:r w:rsidRPr="00675D56">
        <w:rPr>
          <w:rFonts w:asciiTheme="majorBidi" w:hAnsiTheme="majorBidi" w:cstheme="majorBidi"/>
        </w:rPr>
        <w:t>).</w:t>
      </w:r>
    </w:p>
  </w:footnote>
  <w:footnote w:id="143">
    <w:p w14:paraId="290E9BD7" w14:textId="1475304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79" w:name="_Hlk11404795"/>
      <w:r w:rsidRPr="00675D56">
        <w:rPr>
          <w:rFonts w:asciiTheme="majorBidi" w:hAnsiTheme="majorBidi" w:cstheme="majorBidi"/>
        </w:rPr>
        <w:t xml:space="preserve">BCLI (n </w:t>
      </w:r>
      <w:r w:rsidRPr="00675D56">
        <w:rPr>
          <w:rFonts w:asciiTheme="majorBidi" w:hAnsiTheme="majorBidi" w:cstheme="majorBidi"/>
        </w:rPr>
        <w:fldChar w:fldCharType="begin"/>
      </w:r>
      <w:r w:rsidRPr="00675D56">
        <w:rPr>
          <w:rFonts w:asciiTheme="majorBidi" w:hAnsiTheme="majorBidi" w:cstheme="majorBidi"/>
        </w:rPr>
        <w:instrText xml:space="preserve"> NOTEREF _Ref13078127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128</w:t>
      </w:r>
      <w:r w:rsidRPr="00675D56">
        <w:rPr>
          <w:rFonts w:asciiTheme="majorBidi" w:hAnsiTheme="majorBidi" w:cstheme="majorBidi"/>
        </w:rPr>
        <w:fldChar w:fldCharType="end"/>
      </w:r>
      <w:r w:rsidRPr="00675D56">
        <w:rPr>
          <w:rFonts w:asciiTheme="majorBidi" w:hAnsiTheme="majorBidi" w:cstheme="majorBidi"/>
        </w:rPr>
        <w:t>) 205.</w:t>
      </w:r>
      <w:bookmarkEnd w:id="79"/>
    </w:p>
  </w:footnote>
  <w:footnote w:id="144">
    <w:p w14:paraId="40F2F06E" w14:textId="7F4E338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Law Reform Commission of British Columbia (‘LRCBC’), </w:t>
      </w:r>
      <w:r w:rsidRPr="00675D56">
        <w:rPr>
          <w:rFonts w:asciiTheme="majorBidi" w:hAnsiTheme="majorBidi" w:cstheme="majorBidi"/>
          <w:i/>
          <w:iCs/>
        </w:rPr>
        <w:t>Report on Statutory Succession Rights</w:t>
      </w:r>
      <w:r w:rsidRPr="00675D56">
        <w:rPr>
          <w:rFonts w:asciiTheme="majorBidi" w:hAnsiTheme="majorBidi" w:cstheme="majorBidi"/>
        </w:rPr>
        <w:t xml:space="preserve"> (LRC 70, 1983) 95–97.</w:t>
      </w:r>
    </w:p>
  </w:footnote>
  <w:footnote w:id="145">
    <w:p w14:paraId="62C9CF70" w14:textId="2995F46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Including transfers of property to joint tenancy, deposits into joint bank accounts, transfers of property for nominal or no consideration, or designations or changes of beneficiaries of a life insurance policy or pension fund.</w:t>
      </w:r>
    </w:p>
  </w:footnote>
  <w:footnote w:id="146">
    <w:p w14:paraId="569ECF94" w14:textId="7D31336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BCLI (n </w:t>
      </w:r>
      <w:r w:rsidRPr="00675D56">
        <w:rPr>
          <w:rFonts w:asciiTheme="majorBidi" w:hAnsiTheme="majorBidi" w:cstheme="majorBidi"/>
        </w:rPr>
        <w:fldChar w:fldCharType="begin"/>
      </w:r>
      <w:r w:rsidRPr="00675D56">
        <w:rPr>
          <w:rFonts w:asciiTheme="majorBidi" w:hAnsiTheme="majorBidi" w:cstheme="majorBidi"/>
        </w:rPr>
        <w:instrText xml:space="preserve"> NOTEREF _Ref13078127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128</w:t>
      </w:r>
      <w:r w:rsidRPr="00675D56">
        <w:rPr>
          <w:rFonts w:asciiTheme="majorBidi" w:hAnsiTheme="majorBidi" w:cstheme="majorBidi"/>
        </w:rPr>
        <w:fldChar w:fldCharType="end"/>
      </w:r>
      <w:r w:rsidRPr="00675D56">
        <w:rPr>
          <w:rFonts w:asciiTheme="majorBidi" w:hAnsiTheme="majorBidi" w:cstheme="majorBidi"/>
        </w:rPr>
        <w:t>) 202–203.</w:t>
      </w:r>
    </w:p>
  </w:footnote>
  <w:footnote w:id="147">
    <w:p w14:paraId="5598BB07" w14:textId="4A63F20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148">
    <w:p w14:paraId="1E239AC7" w14:textId="2886A6C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203.</w:t>
      </w:r>
    </w:p>
  </w:footnote>
  <w:footnote w:id="149">
    <w:p w14:paraId="5E44CC77" w14:textId="50B87B5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205.</w:t>
      </w:r>
    </w:p>
  </w:footnote>
  <w:footnote w:id="150">
    <w:p w14:paraId="45B43156" w14:textId="71A6422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Appendix 2.</w:t>
      </w:r>
    </w:p>
  </w:footnote>
  <w:footnote w:id="151">
    <w:p w14:paraId="33AE863D" w14:textId="03E27EA5"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NZLC, </w:t>
      </w:r>
      <w:r w:rsidRPr="00675D56">
        <w:rPr>
          <w:rFonts w:asciiTheme="majorBidi" w:hAnsiTheme="majorBidi" w:cstheme="majorBidi"/>
          <w:i/>
        </w:rPr>
        <w:t>Succession Law: A Succession (Adjustment) Act</w:t>
      </w:r>
      <w:r w:rsidRPr="00675D56">
        <w:rPr>
          <w:rFonts w:asciiTheme="majorBidi" w:hAnsiTheme="majorBidi" w:cstheme="majorBidi"/>
        </w:rPr>
        <w:t xml:space="preserve"> (Report 39, August 1997). See for example at 127–135, C176–C191. </w:t>
      </w:r>
    </w:p>
  </w:footnote>
  <w:footnote w:id="152">
    <w:p w14:paraId="16667B15" w14:textId="349B65F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[3.7.1]–[3.7.2].</w:t>
      </w:r>
    </w:p>
  </w:footnote>
  <w:footnote w:id="153">
    <w:p w14:paraId="4960A362" w14:textId="469528D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NZLC, </w:t>
      </w:r>
      <w:r w:rsidRPr="00675D56">
        <w:rPr>
          <w:rFonts w:asciiTheme="majorBidi" w:hAnsiTheme="majorBidi" w:cstheme="majorBidi"/>
          <w:i/>
          <w:iCs/>
        </w:rPr>
        <w:t>Succession Law Testamentary Claims: A Discussion Paper</w:t>
      </w:r>
      <w:r w:rsidRPr="00675D56">
        <w:rPr>
          <w:rFonts w:asciiTheme="majorBidi" w:hAnsiTheme="majorBidi" w:cstheme="majorBidi"/>
        </w:rPr>
        <w:t xml:space="preserve"> (Preliminary Paper 24, August 1996) [25].</w:t>
      </w:r>
    </w:p>
  </w:footnote>
  <w:footnote w:id="154">
    <w:p w14:paraId="1B68BC8C" w14:textId="4788373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[26].</w:t>
      </w:r>
    </w:p>
  </w:footnote>
  <w:footnote w:id="155">
    <w:p w14:paraId="1C160773" w14:textId="078DCC6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Draft Testamentary Claims Act s 48, C156–160.</w:t>
      </w:r>
    </w:p>
  </w:footnote>
  <w:footnote w:id="156">
    <w:p w14:paraId="14289049" w14:textId="1B9479E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49, C163.</w:t>
      </w:r>
    </w:p>
  </w:footnote>
  <w:footnote w:id="157">
    <w:p w14:paraId="7333FB43" w14:textId="2A159FD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50, C166.</w:t>
      </w:r>
    </w:p>
  </w:footnote>
  <w:footnote w:id="158">
    <w:p w14:paraId="2C3B22C4" w14:textId="57608D5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84" w:name="_Hlk11404874"/>
      <w:r w:rsidRPr="00675D56">
        <w:rPr>
          <w:rFonts w:asciiTheme="majorBidi" w:hAnsiTheme="majorBidi" w:cstheme="majorBidi"/>
        </w:rPr>
        <w:t xml:space="preserve">NZLC (n </w:t>
      </w:r>
      <w:r w:rsidRPr="00675D56">
        <w:rPr>
          <w:rFonts w:asciiTheme="majorBidi" w:hAnsiTheme="majorBidi" w:cstheme="majorBidi"/>
        </w:rPr>
        <w:fldChar w:fldCharType="begin"/>
      </w:r>
      <w:r w:rsidRPr="00675D56">
        <w:rPr>
          <w:rFonts w:asciiTheme="majorBidi" w:hAnsiTheme="majorBidi" w:cstheme="majorBidi"/>
        </w:rPr>
        <w:instrText xml:space="preserve"> NOTEREF _Ref13079633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150</w:t>
      </w:r>
      <w:r w:rsidRPr="00675D56">
        <w:rPr>
          <w:rFonts w:asciiTheme="majorBidi" w:hAnsiTheme="majorBidi" w:cstheme="majorBidi"/>
        </w:rPr>
        <w:fldChar w:fldCharType="end"/>
      </w:r>
      <w:r w:rsidRPr="00675D56">
        <w:rPr>
          <w:rFonts w:asciiTheme="majorBidi" w:hAnsiTheme="majorBidi" w:cstheme="majorBidi"/>
        </w:rPr>
        <w:t xml:space="preserve">) </w:t>
      </w:r>
      <w:bookmarkEnd w:id="84"/>
      <w:r w:rsidRPr="00675D56">
        <w:rPr>
          <w:rFonts w:asciiTheme="majorBidi" w:hAnsiTheme="majorBidi" w:cstheme="majorBidi"/>
        </w:rPr>
        <w:t>Draft Succession (Adjustment) Act ss 52, 53.</w:t>
      </w:r>
    </w:p>
  </w:footnote>
  <w:footnote w:id="159">
    <w:p w14:paraId="73B1828E" w14:textId="72A3555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[C179].</w:t>
      </w:r>
    </w:p>
  </w:footnote>
  <w:footnote w:id="160">
    <w:p w14:paraId="7BEA7B1E" w14:textId="372AA7A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Draft Succession (Adjustment) Act s 52(2).</w:t>
      </w:r>
    </w:p>
  </w:footnote>
  <w:footnote w:id="161">
    <w:p w14:paraId="6D821FB6" w14:textId="262C046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54(1)(b).</w:t>
      </w:r>
    </w:p>
  </w:footnote>
  <w:footnote w:id="162">
    <w:p w14:paraId="34078606" w14:textId="14C9089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54(1)(c).</w:t>
      </w:r>
    </w:p>
  </w:footnote>
  <w:footnote w:id="163">
    <w:p w14:paraId="1FAD663A" w14:textId="6B094A4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s 55.</w:t>
      </w:r>
    </w:p>
  </w:footnote>
  <w:footnote w:id="164">
    <w:p w14:paraId="5A3794F0" w14:textId="6C51E8B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Family Protection Act 1955</w:t>
      </w:r>
      <w:r w:rsidRPr="00675D56">
        <w:rPr>
          <w:rFonts w:asciiTheme="majorBidi" w:hAnsiTheme="majorBidi" w:cstheme="majorBidi"/>
        </w:rPr>
        <w:t xml:space="preserve"> (NZ).</w:t>
      </w:r>
    </w:p>
  </w:footnote>
  <w:footnote w:id="165">
    <w:p w14:paraId="5F04420D" w14:textId="22F9984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Succession (Homicide) Act 2007</w:t>
      </w:r>
      <w:r w:rsidRPr="00675D56">
        <w:rPr>
          <w:rFonts w:asciiTheme="majorBidi" w:hAnsiTheme="majorBidi" w:cstheme="majorBidi"/>
        </w:rPr>
        <w:t xml:space="preserve"> (NZ).</w:t>
      </w:r>
    </w:p>
  </w:footnote>
  <w:footnote w:id="166">
    <w:p w14:paraId="55681D0F" w14:textId="52C2FC7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Property (Relationships) Amendment Act 2001</w:t>
      </w:r>
      <w:r w:rsidRPr="00675D56">
        <w:rPr>
          <w:rFonts w:asciiTheme="majorBidi" w:hAnsiTheme="majorBidi" w:cstheme="majorBidi"/>
        </w:rPr>
        <w:t xml:space="preserve"> (NZ).</w:t>
      </w:r>
    </w:p>
  </w:footnote>
  <w:footnote w:id="167">
    <w:p w14:paraId="24319FCF" w14:textId="3D66797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Wills Act 2007</w:t>
      </w:r>
      <w:r w:rsidRPr="00675D56">
        <w:rPr>
          <w:rFonts w:asciiTheme="majorBidi" w:hAnsiTheme="majorBidi" w:cstheme="majorBidi"/>
        </w:rPr>
        <w:t xml:space="preserve"> (NZ).</w:t>
      </w:r>
    </w:p>
  </w:footnote>
  <w:footnote w:id="168">
    <w:p w14:paraId="6A878BE1" w14:textId="3A7DB5A8" w:rsidR="00C61533" w:rsidRPr="00675D56" w:rsidRDefault="00C61533" w:rsidP="005E4B89">
      <w:pPr>
        <w:pStyle w:val="FootnoteTextTLRI"/>
        <w:rPr>
          <w:rFonts w:asciiTheme="majorBidi" w:hAnsiTheme="majorBidi" w:cstheme="majorBidi"/>
          <w:i/>
          <w:iCs/>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For a critique of this situation, see Nicola Peart, ‘New Zealand’s Succession Law: Subverting Reasonable Expectations’ (2008) 37(4) </w:t>
      </w:r>
      <w:r w:rsidRPr="00675D56">
        <w:rPr>
          <w:rFonts w:asciiTheme="majorBidi" w:hAnsiTheme="majorBidi" w:cstheme="majorBidi"/>
          <w:i/>
          <w:iCs/>
        </w:rPr>
        <w:t>Common Law World Review</w:t>
      </w:r>
      <w:r w:rsidRPr="00675D56">
        <w:rPr>
          <w:rFonts w:asciiTheme="majorBidi" w:hAnsiTheme="majorBidi" w:cstheme="majorBidi"/>
        </w:rPr>
        <w:t xml:space="preserve"> 356.</w:t>
      </w:r>
    </w:p>
  </w:footnote>
  <w:footnote w:id="169">
    <w:p w14:paraId="4188F556" w14:textId="5D4ADF2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Refer to discussion at [</w:t>
      </w:r>
      <w:r w:rsidRPr="00675D56">
        <w:rPr>
          <w:rFonts w:asciiTheme="majorBidi" w:hAnsiTheme="majorBidi" w:cstheme="majorBidi"/>
        </w:rPr>
        <w:fldChar w:fldCharType="begin"/>
      </w:r>
      <w:r w:rsidRPr="00675D56">
        <w:rPr>
          <w:rFonts w:asciiTheme="majorBidi" w:hAnsiTheme="majorBidi" w:cstheme="majorBidi"/>
        </w:rPr>
        <w:instrText xml:space="preserve"> REF _Ref13080134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5.6.7</w:t>
      </w:r>
      <w:r w:rsidRPr="00675D56">
        <w:rPr>
          <w:rFonts w:asciiTheme="majorBidi" w:hAnsiTheme="majorBidi" w:cstheme="majorBidi"/>
        </w:rPr>
        <w:fldChar w:fldCharType="end"/>
      </w:r>
      <w:r w:rsidRPr="00675D56">
        <w:rPr>
          <w:rFonts w:asciiTheme="majorBidi" w:hAnsiTheme="majorBidi" w:cstheme="majorBidi"/>
        </w:rPr>
        <w:t>].</w:t>
      </w:r>
    </w:p>
  </w:footnote>
  <w:footnote w:id="170">
    <w:p w14:paraId="5C1D8779" w14:textId="59BE1FB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Property (Relationships) Act 1976</w:t>
      </w:r>
      <w:r w:rsidRPr="00675D56">
        <w:rPr>
          <w:rFonts w:asciiTheme="majorBidi" w:hAnsiTheme="majorBidi" w:cstheme="majorBidi"/>
        </w:rPr>
        <w:t xml:space="preserve"> (NZ) ss 1M(c), 4D, 10B(1), pt 8. Application for family provision still remains possible in addition to parties’ rights under this Act: s 57.</w:t>
      </w:r>
    </w:p>
  </w:footnote>
  <w:footnote w:id="171">
    <w:p w14:paraId="2AE8386F" w14:textId="03AEB70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s 44(1).</w:t>
      </w:r>
    </w:p>
  </w:footnote>
  <w:footnote w:id="172">
    <w:p w14:paraId="0D9DEC8E" w14:textId="6CD5D4B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s 44(2).</w:t>
      </w:r>
    </w:p>
  </w:footnote>
  <w:footnote w:id="173">
    <w:p w14:paraId="2DEAB89D" w14:textId="4E07250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s 44(4).</w:t>
      </w:r>
    </w:p>
  </w:footnote>
  <w:footnote w:id="174">
    <w:p w14:paraId="5E38DBBB" w14:textId="7472EAB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ss 8(1)(g), (i).</w:t>
      </w:r>
    </w:p>
  </w:footnote>
  <w:footnote w:id="175">
    <w:p w14:paraId="7F1E734B" w14:textId="503D04A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_Ref13080479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3.4.5</w:t>
      </w:r>
      <w:r w:rsidRPr="00675D56">
        <w:rPr>
          <w:rFonts w:asciiTheme="majorBidi" w:hAnsiTheme="majorBidi" w:cstheme="majorBidi"/>
        </w:rPr>
        <w:fldChar w:fldCharType="end"/>
      </w:r>
      <w:r w:rsidRPr="00675D56">
        <w:rPr>
          <w:rFonts w:asciiTheme="majorBidi" w:hAnsiTheme="majorBidi" w:cstheme="majorBidi"/>
        </w:rPr>
        <w:t>].</w:t>
      </w:r>
    </w:p>
  </w:footnote>
  <w:footnote w:id="176">
    <w:p w14:paraId="19F8FC37" w14:textId="4870D124" w:rsidR="00C61533" w:rsidRPr="00675D56" w:rsidRDefault="00C61533" w:rsidP="002B415C">
      <w:pPr>
        <w:pStyle w:val="FootnoteTextTLRI"/>
        <w:jc w:val="left"/>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rPr>
        <w:t>Uniform Probate Code</w:t>
      </w:r>
      <w:r w:rsidRPr="00675D56">
        <w:rPr>
          <w:rFonts w:asciiTheme="majorBidi" w:hAnsiTheme="majorBidi" w:cstheme="majorBidi"/>
        </w:rPr>
        <w:t xml:space="preserve"> (US) §§ 2-202–2-209. The Uniform Code has been adopted by 22 states: see Uniform Law Commission (Web Page) &lt;https://www.uniformlaws.org/committees/community-home?CommunityKey=a539920d-c477-44b8-84fe-b0d7b1a4cca8&gt; (viewed 16 June 2019).</w:t>
      </w:r>
    </w:p>
  </w:footnote>
  <w:footnote w:id="177">
    <w:p w14:paraId="0E959F4D" w14:textId="67D4670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ibid §§ 2-209.</w:t>
      </w:r>
    </w:p>
  </w:footnote>
  <w:footnote w:id="178">
    <w:p w14:paraId="2F1A95FD" w14:textId="4B76705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 2-205.</w:t>
      </w:r>
    </w:p>
  </w:footnote>
  <w:footnote w:id="179">
    <w:p w14:paraId="0ECB6EE4" w14:textId="4C9DE372"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QLRC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_Ref13405638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71</w:t>
      </w:r>
      <w:r w:rsidRPr="00675D56">
        <w:rPr>
          <w:rFonts w:asciiTheme="majorBidi" w:hAnsiTheme="majorBidi" w:cstheme="majorBidi"/>
        </w:rPr>
        <w:fldChar w:fldCharType="end"/>
      </w:r>
      <w:r w:rsidRPr="00675D56">
        <w:rPr>
          <w:rFonts w:asciiTheme="majorBidi" w:hAnsiTheme="majorBidi" w:cstheme="majorBidi"/>
        </w:rPr>
        <w:t>) 93.</w:t>
      </w:r>
    </w:p>
  </w:footnote>
  <w:footnote w:id="180">
    <w:p w14:paraId="71746165" w14:textId="26CABB3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bookmarkStart w:id="90" w:name="_Hlk11404938"/>
      <w:r w:rsidRPr="00675D56">
        <w:rPr>
          <w:rFonts w:asciiTheme="majorBidi" w:hAnsiTheme="majorBidi" w:cstheme="majorBidi"/>
        </w:rPr>
        <w:tab/>
        <w:t xml:space="preserve">R Croucher, ‘Towards Uniform Succession in Australia’ (2009) 83 </w:t>
      </w:r>
      <w:r w:rsidRPr="00675D56">
        <w:rPr>
          <w:rFonts w:asciiTheme="majorBidi" w:hAnsiTheme="majorBidi" w:cstheme="majorBidi"/>
          <w:i/>
          <w:iCs/>
        </w:rPr>
        <w:t>Australian Law Journal</w:t>
      </w:r>
      <w:r w:rsidRPr="00675D56">
        <w:rPr>
          <w:rFonts w:asciiTheme="majorBidi" w:hAnsiTheme="majorBidi" w:cstheme="majorBidi"/>
        </w:rPr>
        <w:t xml:space="preserve"> 728, 740</w:t>
      </w:r>
      <w:bookmarkEnd w:id="90"/>
      <w:r w:rsidRPr="00675D56">
        <w:rPr>
          <w:rFonts w:asciiTheme="majorBidi" w:hAnsiTheme="majorBidi" w:cstheme="majorBidi"/>
        </w:rPr>
        <w:t xml:space="preserve">. </w:t>
      </w:r>
    </w:p>
  </w:footnote>
  <w:footnote w:id="181">
    <w:p w14:paraId="5097EE0C" w14:textId="7174A246"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QLRC, </w:t>
      </w:r>
      <w:r w:rsidRPr="00675D56">
        <w:rPr>
          <w:rFonts w:asciiTheme="majorBidi" w:hAnsiTheme="majorBidi" w:cstheme="majorBidi"/>
          <w:i/>
          <w:iCs/>
        </w:rPr>
        <w:t>Family Provision Supplementary Report to the Standing Committee of Attorneys General</w:t>
      </w:r>
      <w:r w:rsidRPr="00675D56">
        <w:rPr>
          <w:rFonts w:asciiTheme="majorBidi" w:hAnsiTheme="majorBidi" w:cstheme="majorBidi"/>
        </w:rPr>
        <w:t xml:space="preserve"> (Report No 58, July 2004).</w:t>
      </w:r>
    </w:p>
  </w:footnote>
  <w:footnote w:id="182">
    <w:p w14:paraId="18C39BB1" w14:textId="16E16416"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Ibid Appendix 2.</w:t>
      </w:r>
    </w:p>
  </w:footnote>
  <w:footnote w:id="183">
    <w:p w14:paraId="465A01AD" w14:textId="154B3CD5"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NSWLRC, </w:t>
      </w:r>
      <w:r w:rsidRPr="00675D56">
        <w:rPr>
          <w:rFonts w:asciiTheme="majorBidi" w:hAnsiTheme="majorBidi" w:cstheme="majorBidi"/>
          <w:i/>
          <w:iCs/>
        </w:rPr>
        <w:t>Uniform Succession Laws: Family Provision</w:t>
      </w:r>
      <w:r w:rsidRPr="00675D56">
        <w:rPr>
          <w:rFonts w:asciiTheme="majorBidi" w:hAnsiTheme="majorBidi" w:cstheme="majorBidi"/>
        </w:rPr>
        <w:t xml:space="preserve"> (Report No 110, 2005) 37.</w:t>
      </w:r>
    </w:p>
  </w:footnote>
  <w:footnote w:id="184">
    <w:p w14:paraId="5DB4C111" w14:textId="364392C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NTLRC, </w:t>
      </w:r>
      <w:r w:rsidRPr="00675D56">
        <w:rPr>
          <w:rFonts w:asciiTheme="majorBidi" w:hAnsiTheme="majorBidi" w:cstheme="majorBidi"/>
          <w:i/>
          <w:iCs/>
        </w:rPr>
        <w:t>Report on Uniform Succession Laws: A Review of the Recommendations of the National Committee for Uniform Succession Laws and draft Bills on Intestacy and Family Provision</w:t>
      </w:r>
      <w:r w:rsidRPr="00675D56">
        <w:rPr>
          <w:rFonts w:asciiTheme="majorBidi" w:hAnsiTheme="majorBidi" w:cstheme="majorBidi"/>
        </w:rPr>
        <w:t xml:space="preserve"> (Report No 31, September 2007).</w:t>
      </w:r>
    </w:p>
  </w:footnote>
  <w:footnote w:id="185">
    <w:p w14:paraId="49CA57BE" w14:textId="6E4215D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56.</w:t>
      </w:r>
    </w:p>
  </w:footnote>
  <w:footnote w:id="186">
    <w:p w14:paraId="122324BA" w14:textId="40272F8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Lindsay Ellison SC, ‘“Through a Glass, Darkly”: The Long Arm of the Notional Estate Rules: Why Lawyers in All States Need to Understand them’ (Conference Paper, Wills and Estates Conference, 22 February 2019) [1]. </w:t>
      </w:r>
    </w:p>
  </w:footnote>
  <w:footnote w:id="187">
    <w:p w14:paraId="4E3CBBF5" w14:textId="6BAE860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WALRC, </w:t>
      </w:r>
      <w:r w:rsidRPr="00675D56">
        <w:rPr>
          <w:rFonts w:asciiTheme="majorBidi" w:hAnsiTheme="majorBidi" w:cstheme="majorBidi"/>
          <w:i/>
          <w:iCs/>
        </w:rPr>
        <w:t>Joint Tenancy and Tenancy in Common</w:t>
      </w:r>
      <w:r w:rsidRPr="00675D56">
        <w:rPr>
          <w:rFonts w:asciiTheme="majorBidi" w:hAnsiTheme="majorBidi" w:cstheme="majorBidi"/>
        </w:rPr>
        <w:t xml:space="preserve"> (Project No 78, Report, November 1994).</w:t>
      </w:r>
    </w:p>
  </w:footnote>
  <w:footnote w:id="188">
    <w:p w14:paraId="5F7EFFA6" w14:textId="7F0F59F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The Commission endorsed provisions then operating in the United Kingdom preventing the use of joint tenancy property to fund claims where these claims were made out of time: Ibid [4.28]. A similar view has been expressed by the NTLRC when evaluating the draft Model Bill which would enable notional estate orders to be made where claims were made out of time ‘questions would arise as to the fairness of allowing notional estate orders to be made particularly where many years have already passed.’: NTLRC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_Ref13082189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183</w:t>
      </w:r>
      <w:r w:rsidRPr="00675D56">
        <w:rPr>
          <w:rFonts w:asciiTheme="majorBidi" w:hAnsiTheme="majorBidi" w:cstheme="majorBidi"/>
        </w:rPr>
        <w:fldChar w:fldCharType="end"/>
      </w:r>
      <w:r w:rsidRPr="00675D56">
        <w:rPr>
          <w:rFonts w:asciiTheme="majorBidi" w:hAnsiTheme="majorBidi" w:cstheme="majorBidi"/>
        </w:rPr>
        <w:t>) 56.</w:t>
      </w:r>
    </w:p>
  </w:footnote>
  <w:footnote w:id="189">
    <w:p w14:paraId="3C514DBE" w14:textId="76DD8A5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 [4.23]–[4.31].</w:t>
      </w:r>
    </w:p>
  </w:footnote>
  <w:footnote w:id="190">
    <w:p w14:paraId="6A691F48" w14:textId="29F9217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Rec 10.</w:t>
      </w:r>
    </w:p>
  </w:footnote>
  <w:footnote w:id="191">
    <w:p w14:paraId="799B23BF" w14:textId="189828F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192">
    <w:p w14:paraId="23E75778" w14:textId="032226C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WALRC, </w:t>
      </w:r>
      <w:r w:rsidRPr="00675D56">
        <w:rPr>
          <w:rFonts w:asciiTheme="majorBidi" w:hAnsiTheme="majorBidi" w:cstheme="majorBidi"/>
          <w:i/>
          <w:iCs/>
        </w:rPr>
        <w:t>Project 78 – Joint tenancy and tenancy in common</w:t>
      </w:r>
      <w:r w:rsidRPr="00675D56">
        <w:rPr>
          <w:rFonts w:asciiTheme="majorBidi" w:hAnsiTheme="majorBidi" w:cstheme="majorBidi"/>
        </w:rPr>
        <w:t xml:space="preserve"> (Web Page, 31 January 2017) &lt;https://www.lrc.justice.wa.gov.au/P/project_78.aspx&gt;.</w:t>
      </w:r>
    </w:p>
  </w:footnote>
  <w:footnote w:id="193">
    <w:p w14:paraId="56618411" w14:textId="27E606EB"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VLRC, </w:t>
      </w:r>
      <w:r w:rsidRPr="00675D56">
        <w:rPr>
          <w:rFonts w:asciiTheme="majorBidi" w:hAnsiTheme="majorBidi" w:cstheme="majorBidi"/>
          <w:i/>
        </w:rPr>
        <w:t>Succession Laws: Family Provision</w:t>
      </w:r>
      <w:r w:rsidRPr="00675D56">
        <w:rPr>
          <w:rFonts w:asciiTheme="majorBidi" w:hAnsiTheme="majorBidi" w:cstheme="majorBidi"/>
        </w:rPr>
        <w:t xml:space="preserve"> (Consultation Paper No 12, 2012).</w:t>
      </w:r>
    </w:p>
  </w:footnote>
  <w:footnote w:id="194">
    <w:p w14:paraId="0532E41D" w14:textId="57698892"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Ibid [2.69]–[2.93]. For the National Committee’s recommendations see [</w:t>
      </w:r>
      <w:r w:rsidRPr="00675D56">
        <w:rPr>
          <w:rFonts w:asciiTheme="majorBidi" w:hAnsiTheme="majorBidi" w:cstheme="majorBidi"/>
        </w:rPr>
        <w:fldChar w:fldCharType="begin"/>
      </w:r>
      <w:r w:rsidRPr="00675D56">
        <w:rPr>
          <w:rFonts w:asciiTheme="majorBidi" w:hAnsiTheme="majorBidi" w:cstheme="majorBidi"/>
        </w:rPr>
        <w:instrText xml:space="preserve"> REF _Ref13083315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3.7.2</w:t>
      </w:r>
      <w:r w:rsidRPr="00675D56">
        <w:rPr>
          <w:rFonts w:asciiTheme="majorBidi" w:hAnsiTheme="majorBidi" w:cstheme="majorBidi"/>
        </w:rPr>
        <w:fldChar w:fldCharType="end"/>
      </w:r>
      <w:r w:rsidRPr="00675D56">
        <w:rPr>
          <w:rFonts w:asciiTheme="majorBidi" w:hAnsiTheme="majorBidi" w:cstheme="majorBidi"/>
        </w:rPr>
        <w:t>] above.</w:t>
      </w:r>
    </w:p>
  </w:footnote>
  <w:footnote w:id="195">
    <w:p w14:paraId="48A587D3" w14:textId="79333D8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VLRC, </w:t>
      </w:r>
      <w:r w:rsidRPr="00675D56">
        <w:rPr>
          <w:rFonts w:asciiTheme="majorBidi" w:hAnsiTheme="majorBidi" w:cstheme="majorBidi"/>
          <w:i/>
        </w:rPr>
        <w:t>Succession Laws</w:t>
      </w:r>
      <w:r w:rsidRPr="00675D56">
        <w:rPr>
          <w:rFonts w:asciiTheme="majorBidi" w:hAnsiTheme="majorBidi" w:cstheme="majorBidi"/>
        </w:rPr>
        <w:t xml:space="preserve"> (Final Report, 2013) [6.180].</w:t>
      </w:r>
    </w:p>
  </w:footnote>
  <w:footnote w:id="196">
    <w:p w14:paraId="215A1EDE" w14:textId="685232D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[6.181].</w:t>
      </w:r>
    </w:p>
  </w:footnote>
  <w:footnote w:id="197">
    <w:p w14:paraId="72C5D414" w14:textId="637B8D32"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[6.183].</w:t>
      </w:r>
    </w:p>
  </w:footnote>
  <w:footnote w:id="198">
    <w:p w14:paraId="1EB30368" w14:textId="023A810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[6.185].</w:t>
      </w:r>
    </w:p>
  </w:footnote>
  <w:footnote w:id="199">
    <w:p w14:paraId="7D57803A" w14:textId="18419A15"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[6.175].</w:t>
      </w:r>
    </w:p>
  </w:footnote>
  <w:footnote w:id="200">
    <w:p w14:paraId="20DF3672" w14:textId="21138A44"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 xml:space="preserve">Ibid [6.175] citing 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_Ref13083698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179</w:t>
      </w:r>
      <w:r w:rsidRPr="00675D56">
        <w:rPr>
          <w:rFonts w:asciiTheme="majorBidi" w:hAnsiTheme="majorBidi" w:cstheme="majorBidi"/>
        </w:rPr>
        <w:fldChar w:fldCharType="end"/>
      </w:r>
      <w:r w:rsidRPr="00675D56">
        <w:rPr>
          <w:rFonts w:asciiTheme="majorBidi" w:hAnsiTheme="majorBidi" w:cstheme="majorBidi"/>
        </w:rPr>
        <w:t>) 740.</w:t>
      </w:r>
    </w:p>
  </w:footnote>
  <w:footnote w:id="201">
    <w:p w14:paraId="3AA68A4C" w14:textId="37611740"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 xml:space="preserve">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_Ref1905366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194</w:t>
      </w:r>
      <w:r w:rsidRPr="00675D56">
        <w:rPr>
          <w:rFonts w:asciiTheme="majorBidi" w:hAnsiTheme="majorBidi" w:cstheme="majorBidi"/>
        </w:rPr>
        <w:fldChar w:fldCharType="end"/>
      </w:r>
      <w:r w:rsidRPr="00675D56">
        <w:rPr>
          <w:rFonts w:asciiTheme="majorBidi" w:hAnsiTheme="majorBidi" w:cstheme="majorBidi"/>
        </w:rPr>
        <w:t>) [6.186].</w:t>
      </w:r>
    </w:p>
  </w:footnote>
  <w:footnote w:id="202">
    <w:p w14:paraId="49CD7EA0" w14:textId="6AB4A62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Victoria, </w:t>
      </w:r>
      <w:r w:rsidRPr="00675D56">
        <w:rPr>
          <w:rFonts w:asciiTheme="majorBidi" w:hAnsiTheme="majorBidi" w:cstheme="majorBidi"/>
          <w:i/>
          <w:iCs/>
        </w:rPr>
        <w:t>Parliamentary Debates</w:t>
      </w:r>
      <w:r w:rsidRPr="00675D56">
        <w:rPr>
          <w:rFonts w:asciiTheme="majorBidi" w:hAnsiTheme="majorBidi" w:cstheme="majorBidi"/>
        </w:rPr>
        <w:t>, Legislative Council, 20 August 2014, 2617 (Edward John O’Donohue).</w:t>
      </w:r>
    </w:p>
  </w:footnote>
  <w:footnote w:id="203">
    <w:p w14:paraId="7C006D7D" w14:textId="27917FDC"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 xml:space="preserve">SALRI, </w:t>
      </w:r>
      <w:r w:rsidRPr="00675D56">
        <w:rPr>
          <w:rFonts w:asciiTheme="majorBidi" w:hAnsiTheme="majorBidi" w:cstheme="majorBidi"/>
          <w:i/>
          <w:iCs/>
        </w:rPr>
        <w:t>Distinguishing Between the Deserving and the Undeserving: Family Provision Laws in South Australia</w:t>
      </w:r>
      <w:r w:rsidRPr="00675D56">
        <w:rPr>
          <w:rFonts w:asciiTheme="majorBidi" w:hAnsiTheme="majorBidi" w:cstheme="majorBidi"/>
        </w:rPr>
        <w:t xml:space="preserve"> (Report No 9, December 2017) Part 8.</w:t>
      </w:r>
    </w:p>
  </w:footnote>
  <w:footnote w:id="204">
    <w:p w14:paraId="44FFAF2F" w14:textId="5273CC75"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 xml:space="preserve">SALRI, </w:t>
      </w:r>
      <w:r w:rsidRPr="00675D56">
        <w:rPr>
          <w:rFonts w:asciiTheme="majorBidi" w:hAnsiTheme="majorBidi" w:cstheme="majorBidi"/>
          <w:i/>
          <w:iCs/>
        </w:rPr>
        <w:t>Looking After One Another: Family Provision Laws in South Australia</w:t>
      </w:r>
      <w:r w:rsidRPr="00675D56">
        <w:rPr>
          <w:rFonts w:asciiTheme="majorBidi" w:hAnsiTheme="majorBidi" w:cstheme="majorBidi"/>
        </w:rPr>
        <w:t xml:space="preserve"> (Background Paper, February 2017). See also SALRI, </w:t>
      </w:r>
      <w:r w:rsidRPr="00675D56">
        <w:rPr>
          <w:rFonts w:asciiTheme="majorBidi" w:hAnsiTheme="majorBidi" w:cstheme="majorBidi"/>
          <w:i/>
          <w:iCs/>
        </w:rPr>
        <w:t>Review of the Inheritance (Family Provision) Act 1972 (SA)</w:t>
      </w:r>
      <w:r w:rsidRPr="00675D56">
        <w:rPr>
          <w:rFonts w:asciiTheme="majorBidi" w:hAnsiTheme="majorBidi" w:cstheme="majorBidi"/>
        </w:rPr>
        <w:t>, Factsheet 7 – Notional Estate and Clawback Provisions (2 February 2017).</w:t>
      </w:r>
    </w:p>
  </w:footnote>
  <w:footnote w:id="205">
    <w:p w14:paraId="25F93C26" w14:textId="1650A144"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 xml:space="preserve">SALRI (n </w:t>
      </w:r>
      <w:r w:rsidRPr="00675D56">
        <w:rPr>
          <w:rFonts w:asciiTheme="majorBidi" w:hAnsiTheme="majorBidi" w:cstheme="majorBidi"/>
        </w:rPr>
        <w:fldChar w:fldCharType="begin"/>
      </w:r>
      <w:r w:rsidRPr="00675D56">
        <w:rPr>
          <w:rFonts w:asciiTheme="majorBidi" w:hAnsiTheme="majorBidi" w:cstheme="majorBidi"/>
        </w:rPr>
        <w:instrText xml:space="preserve"> NOTEREF _Ref2255831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202</w:t>
      </w:r>
      <w:r w:rsidRPr="00675D56">
        <w:rPr>
          <w:rFonts w:asciiTheme="majorBidi" w:hAnsiTheme="majorBidi" w:cstheme="majorBidi"/>
        </w:rPr>
        <w:fldChar w:fldCharType="end"/>
      </w:r>
      <w:r w:rsidRPr="00675D56">
        <w:rPr>
          <w:rFonts w:asciiTheme="majorBidi" w:hAnsiTheme="majorBidi" w:cstheme="majorBidi"/>
        </w:rPr>
        <w:t>) [8.3.16]–[8.3.17].</w:t>
      </w:r>
    </w:p>
  </w:footnote>
  <w:footnote w:id="206">
    <w:p w14:paraId="6585464C" w14:textId="00CF7372"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[8.4.1].</w:t>
      </w:r>
    </w:p>
  </w:footnote>
  <w:footnote w:id="207">
    <w:p w14:paraId="44E6B48D" w14:textId="0213655D"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[8.4.2] Recommendation 27.</w:t>
      </w:r>
    </w:p>
  </w:footnote>
  <w:footnote w:id="208">
    <w:p w14:paraId="251CDF28"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t xml:space="preserve">NSWLRC, </w:t>
      </w:r>
      <w:r w:rsidRPr="00675D56">
        <w:rPr>
          <w:rFonts w:asciiTheme="majorBidi" w:hAnsiTheme="majorBidi" w:cstheme="majorBidi"/>
          <w:i/>
          <w:iCs/>
        </w:rPr>
        <w:t>Testator’s Family Maintenance and Guardianship of Infants Act 1916</w:t>
      </w:r>
      <w:r w:rsidRPr="00675D56">
        <w:rPr>
          <w:rFonts w:asciiTheme="majorBidi" w:hAnsiTheme="majorBidi" w:cstheme="majorBidi"/>
        </w:rPr>
        <w:t xml:space="preserve"> (Report No 28, 1977).</w:t>
      </w:r>
    </w:p>
  </w:footnote>
  <w:footnote w:id="209">
    <w:p w14:paraId="5FA9C351"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[2.22.3].</w:t>
      </w:r>
    </w:p>
  </w:footnote>
  <w:footnote w:id="210">
    <w:p w14:paraId="19BD2690" w14:textId="06D4ABF1" w:rsidR="00C61533" w:rsidRPr="00675D56" w:rsidRDefault="00C61533" w:rsidP="00E271A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Ibid [2.22.2]. Similar comments about the need for family provision laws to be effective had previously been made by the Law Commission (England &amp; Wales), see (n </w:t>
      </w:r>
      <w:r w:rsidRPr="00675D56">
        <w:rPr>
          <w:rFonts w:asciiTheme="majorBidi" w:hAnsiTheme="majorBidi" w:cstheme="majorBidi"/>
        </w:rPr>
        <w:fldChar w:fldCharType="begin"/>
      </w:r>
      <w:r w:rsidRPr="00675D56">
        <w:rPr>
          <w:rFonts w:asciiTheme="majorBidi" w:hAnsiTheme="majorBidi" w:cstheme="majorBidi"/>
        </w:rPr>
        <w:instrText xml:space="preserve"> NOTEREF _Ref12897342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72</w:t>
      </w:r>
      <w:r w:rsidRPr="00675D56">
        <w:rPr>
          <w:rFonts w:asciiTheme="majorBidi" w:hAnsiTheme="majorBidi" w:cstheme="majorBidi"/>
        </w:rPr>
        <w:fldChar w:fldCharType="end"/>
      </w:r>
      <w:r w:rsidRPr="00675D56">
        <w:rPr>
          <w:rFonts w:asciiTheme="majorBidi" w:hAnsiTheme="majorBidi" w:cstheme="majorBidi"/>
        </w:rPr>
        <w:t xml:space="preserve">) [191]. Croucher has criticised the NSWLRC’s comments that there was little objection to introduction of notional estate legislation in NSW conveyed in submissions it received, commenting: ‘The Commission expressed surprise that the notional estate proposals “evoked little opposition” from the commentators, hence the conclusion in the Report that “…the proposals were widely accepted as being right in principle”. “Little opposition” is not, however, an accurate reflection of the opposition actually received before the production of the Report. Although the negative arguments were fewer in number, such arguments, when put, were expressed in strong terms: “little” in volume, perhaps; but not “little” in terms of degree.’: R Croucher, ‘Law Reform as Personalities, Politics and Pragmatics – </w:t>
      </w:r>
      <w:r w:rsidRPr="00675D56">
        <w:rPr>
          <w:rFonts w:asciiTheme="majorBidi" w:hAnsiTheme="majorBidi" w:cstheme="majorBidi"/>
          <w:i/>
          <w:iCs/>
        </w:rPr>
        <w:t>The Family Provision Act 1982</w:t>
      </w:r>
      <w:r w:rsidRPr="00675D56">
        <w:rPr>
          <w:rFonts w:asciiTheme="majorBidi" w:hAnsiTheme="majorBidi" w:cstheme="majorBidi"/>
        </w:rPr>
        <w:t xml:space="preserve"> (NSW): A Case Study’ (2007) 11(1) </w:t>
      </w:r>
      <w:r w:rsidRPr="00675D56">
        <w:rPr>
          <w:rFonts w:asciiTheme="majorBidi" w:hAnsiTheme="majorBidi" w:cstheme="majorBidi"/>
          <w:i/>
          <w:iCs/>
        </w:rPr>
        <w:t>Legal History</w:t>
      </w:r>
      <w:r w:rsidRPr="00675D56">
        <w:rPr>
          <w:rFonts w:asciiTheme="majorBidi" w:hAnsiTheme="majorBidi" w:cstheme="majorBidi"/>
        </w:rPr>
        <w:t xml:space="preserve"> 1, 21.</w:t>
      </w:r>
    </w:p>
  </w:footnote>
  <w:footnote w:id="211">
    <w:p w14:paraId="087D2B5F" w14:textId="30539F5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NSWLRC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_Ref1938999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207</w:t>
      </w:r>
      <w:r w:rsidRPr="00675D56">
        <w:rPr>
          <w:rFonts w:asciiTheme="majorBidi" w:hAnsiTheme="majorBidi" w:cstheme="majorBidi"/>
        </w:rPr>
        <w:fldChar w:fldCharType="end"/>
      </w:r>
      <w:r w:rsidRPr="00675D56">
        <w:rPr>
          <w:rFonts w:asciiTheme="majorBidi" w:hAnsiTheme="majorBidi" w:cstheme="majorBidi"/>
        </w:rPr>
        <w:t>) [1.7], [2.22.14].</w:t>
      </w:r>
    </w:p>
  </w:footnote>
  <w:footnote w:id="212">
    <w:p w14:paraId="44F592CF"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[2.22.1].</w:t>
      </w:r>
    </w:p>
  </w:footnote>
  <w:footnote w:id="213">
    <w:p w14:paraId="1C0DEAFD"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[2.23.2], Draft Bill s 23.</w:t>
      </w:r>
    </w:p>
  </w:footnote>
  <w:footnote w:id="214">
    <w:p w14:paraId="557F95F8" w14:textId="1DE86B0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_Ref13151169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209</w:t>
      </w:r>
      <w:r w:rsidRPr="00675D56">
        <w:rPr>
          <w:rFonts w:asciiTheme="majorBidi" w:hAnsiTheme="majorBidi" w:cstheme="majorBidi"/>
        </w:rPr>
        <w:fldChar w:fldCharType="end"/>
      </w:r>
      <w:r w:rsidRPr="00675D56">
        <w:rPr>
          <w:rFonts w:asciiTheme="majorBidi" w:hAnsiTheme="majorBidi" w:cstheme="majorBidi"/>
        </w:rPr>
        <w:t>) 7.</w:t>
      </w:r>
    </w:p>
  </w:footnote>
  <w:footnote w:id="215">
    <w:p w14:paraId="5ED3A58C" w14:textId="6AD2927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Including Professor Woodham of Sydney University and Justice Hutley of the New South Wales Supreme Court: ibid 6, 21–23.</w:t>
      </w:r>
    </w:p>
  </w:footnote>
  <w:footnote w:id="216">
    <w:p w14:paraId="0776C106"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r>
      <w:r w:rsidRPr="00675D56">
        <w:rPr>
          <w:rFonts w:asciiTheme="majorBidi" w:hAnsiTheme="majorBidi" w:cstheme="majorBidi"/>
          <w:i/>
          <w:iCs/>
        </w:rPr>
        <w:t>Succession Act 2006</w:t>
      </w:r>
      <w:r w:rsidRPr="00675D56">
        <w:rPr>
          <w:rFonts w:asciiTheme="majorBidi" w:hAnsiTheme="majorBidi" w:cstheme="majorBidi"/>
        </w:rPr>
        <w:t xml:space="preserve"> (NSW) s 63(5). </w:t>
      </w:r>
    </w:p>
  </w:footnote>
  <w:footnote w:id="217">
    <w:p w14:paraId="71D7A6EB" w14:textId="6651645C"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val="x-none"/>
        </w:rPr>
        <w:footnoteRef/>
      </w:r>
      <w:r w:rsidRPr="00675D56">
        <w:rPr>
          <w:rFonts w:asciiTheme="majorBidi" w:hAnsiTheme="majorBidi" w:cstheme="majorBidi"/>
        </w:rPr>
        <w:tab/>
      </w:r>
      <w:r w:rsidRPr="00675D56">
        <w:rPr>
          <w:rFonts w:asciiTheme="majorBidi" w:hAnsiTheme="majorBidi" w:cstheme="majorBidi"/>
          <w:iCs/>
        </w:rPr>
        <w:t>Ibid</w:t>
      </w:r>
      <w:r w:rsidRPr="00675D56">
        <w:rPr>
          <w:rFonts w:asciiTheme="majorBidi" w:hAnsiTheme="majorBidi" w:cstheme="majorBidi"/>
        </w:rPr>
        <w:t xml:space="preserve"> Part 3.3 – Notional estate orders, Notes.</w:t>
      </w:r>
    </w:p>
  </w:footnote>
  <w:footnote w:id="218">
    <w:p w14:paraId="792170F0" w14:textId="0433C9CE"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r>
      <w:r w:rsidRPr="00675D56">
        <w:rPr>
          <w:rFonts w:asciiTheme="majorBidi" w:hAnsiTheme="majorBidi" w:cstheme="majorBidi"/>
          <w:iCs/>
        </w:rPr>
        <w:t>Ibid</w:t>
      </w:r>
      <w:r w:rsidRPr="00675D56">
        <w:rPr>
          <w:rFonts w:asciiTheme="majorBidi" w:hAnsiTheme="majorBidi" w:cstheme="majorBidi"/>
          <w:i/>
        </w:rPr>
        <w:t xml:space="preserve"> </w:t>
      </w:r>
      <w:r w:rsidRPr="00675D56">
        <w:rPr>
          <w:rFonts w:asciiTheme="majorBidi" w:hAnsiTheme="majorBidi" w:cstheme="majorBidi"/>
        </w:rPr>
        <w:t>s 79.</w:t>
      </w:r>
    </w:p>
  </w:footnote>
  <w:footnote w:id="219">
    <w:p w14:paraId="12F6939D"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s 80.</w:t>
      </w:r>
    </w:p>
  </w:footnote>
  <w:footnote w:id="220">
    <w:p w14:paraId="18899B38"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s 81.</w:t>
      </w:r>
    </w:p>
  </w:footnote>
  <w:footnote w:id="221">
    <w:p w14:paraId="262761F1" w14:textId="1AC45288"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s 75.</w:t>
      </w:r>
    </w:p>
  </w:footnote>
  <w:footnote w:id="222">
    <w:p w14:paraId="6B612881" w14:textId="7B6F3C1B"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s 76(2).</w:t>
      </w:r>
    </w:p>
  </w:footnote>
  <w:footnote w:id="223">
    <w:p w14:paraId="014985E3" w14:textId="4384342E"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s 76(3).</w:t>
      </w:r>
    </w:p>
  </w:footnote>
  <w:footnote w:id="224">
    <w:p w14:paraId="7EA02DD8" w14:textId="0F755DB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 xml:space="preserve">Wardy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_Ref13152597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63</w:t>
      </w:r>
      <w:r w:rsidRPr="00675D56">
        <w:rPr>
          <w:rFonts w:asciiTheme="majorBidi" w:hAnsiTheme="majorBidi" w:cstheme="majorBidi"/>
        </w:rPr>
        <w:fldChar w:fldCharType="end"/>
      </w:r>
      <w:r w:rsidRPr="00675D56">
        <w:rPr>
          <w:rFonts w:asciiTheme="majorBidi" w:hAnsiTheme="majorBidi" w:cstheme="majorBidi"/>
        </w:rPr>
        <w:t>).</w:t>
      </w:r>
    </w:p>
  </w:footnote>
  <w:footnote w:id="225">
    <w:p w14:paraId="5E1B546E" w14:textId="27EF1F0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See </w:t>
      </w:r>
      <w:r w:rsidRPr="00675D56">
        <w:rPr>
          <w:rFonts w:asciiTheme="majorBidi" w:hAnsiTheme="majorBidi" w:cstheme="majorBidi"/>
          <w:i/>
          <w:iCs/>
        </w:rPr>
        <w:t>Succession Act 2006</w:t>
      </w:r>
      <w:r w:rsidRPr="00675D56">
        <w:rPr>
          <w:rFonts w:asciiTheme="majorBidi" w:hAnsiTheme="majorBidi" w:cstheme="majorBidi"/>
        </w:rPr>
        <w:t xml:space="preserve"> (NSW) s 80(2)(a).</w:t>
      </w:r>
    </w:p>
  </w:footnote>
  <w:footnote w:id="226">
    <w:p w14:paraId="620BB47B" w14:textId="2F07950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 xml:space="preserve">Wardy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_Ref13152597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63</w:t>
      </w:r>
      <w:r w:rsidRPr="00675D56">
        <w:rPr>
          <w:rFonts w:asciiTheme="majorBidi" w:hAnsiTheme="majorBidi" w:cstheme="majorBidi"/>
        </w:rPr>
        <w:fldChar w:fldCharType="end"/>
      </w:r>
      <w:r w:rsidRPr="00675D56">
        <w:rPr>
          <w:rFonts w:asciiTheme="majorBidi" w:hAnsiTheme="majorBidi" w:cstheme="majorBidi"/>
        </w:rPr>
        <w:t>) [95].</w:t>
      </w:r>
    </w:p>
  </w:footnote>
  <w:footnote w:id="227">
    <w:p w14:paraId="7617BAC2" w14:textId="6FCAC0C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[96].</w:t>
      </w:r>
    </w:p>
  </w:footnote>
  <w:footnote w:id="228">
    <w:p w14:paraId="076489C9" w14:textId="7192C65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[141].</w:t>
      </w:r>
    </w:p>
  </w:footnote>
  <w:footnote w:id="229">
    <w:p w14:paraId="37068750" w14:textId="4039CAD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230">
    <w:p w14:paraId="1081D0BF" w14:textId="0426B01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Ibid [234].</w:t>
      </w:r>
    </w:p>
  </w:footnote>
  <w:footnote w:id="231">
    <w:p w14:paraId="46B7C8B5" w14:textId="7A20783B"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r>
      <w:r w:rsidRPr="00675D56">
        <w:rPr>
          <w:rFonts w:asciiTheme="majorBidi" w:hAnsiTheme="majorBidi" w:cstheme="majorBidi"/>
          <w:i/>
          <w:iCs/>
        </w:rPr>
        <w:t>Succession Act 2006</w:t>
      </w:r>
      <w:r w:rsidRPr="00675D56">
        <w:rPr>
          <w:rFonts w:asciiTheme="majorBidi" w:hAnsiTheme="majorBidi" w:cstheme="majorBidi"/>
        </w:rPr>
        <w:t xml:space="preserve"> (NSW) s 80.</w:t>
      </w:r>
    </w:p>
  </w:footnote>
  <w:footnote w:id="232">
    <w:p w14:paraId="30EDCA3C" w14:textId="3078210C"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s 81.</w:t>
      </w:r>
    </w:p>
  </w:footnote>
  <w:footnote w:id="233">
    <w:p w14:paraId="55A9D357" w14:textId="378A58F0"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Ibid s 82.</w:t>
      </w:r>
    </w:p>
  </w:footnote>
  <w:footnote w:id="234">
    <w:p w14:paraId="2C13F685" w14:textId="09C8EC76"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t>Including alone, or jointly or severally.</w:t>
      </w:r>
    </w:p>
  </w:footnote>
  <w:footnote w:id="235">
    <w:p w14:paraId="73CE80FE" w14:textId="60DD0557" w:rsidR="00C61533" w:rsidRPr="00675D56" w:rsidRDefault="00C61533" w:rsidP="005E4B89">
      <w:pPr>
        <w:pStyle w:val="FootnoteTextTLRI"/>
        <w:rPr>
          <w:rFonts w:asciiTheme="majorBidi" w:hAnsiTheme="majorBidi" w:cstheme="majorBidi"/>
        </w:rPr>
      </w:pPr>
      <w:r w:rsidRPr="00675D56">
        <w:rPr>
          <w:rStyle w:val="FootnoteReference"/>
          <w:rFonts w:asciiTheme="majorBidi" w:eastAsia="Times" w:hAnsiTheme="majorBidi" w:cstheme="majorBidi"/>
          <w:szCs w:val="20"/>
          <w:lang w:eastAsia="ja-JP"/>
        </w:rPr>
        <w:footnoteRef/>
      </w:r>
      <w:r w:rsidRPr="00675D56">
        <w:rPr>
          <w:rFonts w:asciiTheme="majorBidi" w:hAnsiTheme="majorBidi" w:cstheme="majorBidi"/>
        </w:rPr>
        <w:tab/>
      </w:r>
      <w:r w:rsidRPr="00675D56">
        <w:rPr>
          <w:rFonts w:asciiTheme="majorBidi" w:hAnsiTheme="majorBidi" w:cstheme="majorBidi"/>
          <w:i/>
          <w:iCs/>
        </w:rPr>
        <w:t>Succession Act 2006</w:t>
      </w:r>
      <w:r w:rsidRPr="00675D56">
        <w:rPr>
          <w:rFonts w:asciiTheme="majorBidi" w:hAnsiTheme="majorBidi" w:cstheme="majorBidi"/>
        </w:rPr>
        <w:t xml:space="preserve"> (NSW) s 83(1).</w:t>
      </w:r>
    </w:p>
  </w:footnote>
  <w:footnote w:id="236">
    <w:p w14:paraId="4BA5191E" w14:textId="767846F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div 3.</w:t>
      </w:r>
    </w:p>
  </w:footnote>
  <w:footnote w:id="237">
    <w:p w14:paraId="7A9DA547" w14:textId="4D0B9D4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s 88.</w:t>
      </w:r>
    </w:p>
  </w:footnote>
  <w:footnote w:id="238">
    <w:p w14:paraId="03D5E90C" w14:textId="42303D2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s 79.</w:t>
      </w:r>
    </w:p>
  </w:footnote>
  <w:footnote w:id="239">
    <w:p w14:paraId="71113217" w14:textId="29EEAA9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s 87.</w:t>
      </w:r>
    </w:p>
  </w:footnote>
  <w:footnote w:id="240">
    <w:p w14:paraId="30D99D54" w14:textId="48A35CB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Soens v Rathborne</w:t>
      </w:r>
      <w:r w:rsidRPr="00675D56">
        <w:rPr>
          <w:rFonts w:asciiTheme="majorBidi" w:hAnsiTheme="majorBidi" w:cstheme="majorBidi"/>
        </w:rPr>
        <w:t xml:space="preserve"> [2018] NSWSC 302, [227] (Hallen J) citing </w:t>
      </w:r>
      <w:r w:rsidRPr="00675D56">
        <w:rPr>
          <w:rFonts w:asciiTheme="majorBidi" w:hAnsiTheme="majorBidi" w:cstheme="majorBidi"/>
          <w:i/>
          <w:iCs/>
        </w:rPr>
        <w:t xml:space="preserve">John v John </w:t>
      </w:r>
      <w:r w:rsidRPr="00675D56">
        <w:rPr>
          <w:rFonts w:asciiTheme="majorBidi" w:hAnsiTheme="majorBidi" w:cstheme="majorBidi"/>
        </w:rPr>
        <w:t>[2010] NSWSC 937 (Ward J) (as her Honour then was) [118]–[120].</w:t>
      </w:r>
    </w:p>
  </w:footnote>
  <w:footnote w:id="241">
    <w:p w14:paraId="759EB38D" w14:textId="5D21DAC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rPr>
        <w:t>Succession Act 2006</w:t>
      </w:r>
      <w:r w:rsidRPr="00675D56">
        <w:rPr>
          <w:rFonts w:asciiTheme="majorBidi" w:hAnsiTheme="majorBidi" w:cstheme="majorBidi"/>
        </w:rPr>
        <w:t xml:space="preserve"> (NSW) s 89(1).</w:t>
      </w:r>
    </w:p>
  </w:footnote>
  <w:footnote w:id="242">
    <w:p w14:paraId="72BC4394" w14:textId="52BE0DA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s 89(2).</w:t>
      </w:r>
    </w:p>
  </w:footnote>
  <w:footnote w:id="243">
    <w:p w14:paraId="0714FE74" w14:textId="112E80F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s 89(3).</w:t>
      </w:r>
    </w:p>
  </w:footnote>
  <w:footnote w:id="244">
    <w:p w14:paraId="1F3CE140" w14:textId="45A1A99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s 92.</w:t>
      </w:r>
    </w:p>
  </w:footnote>
  <w:footnote w:id="245">
    <w:p w14:paraId="65934269" w14:textId="51D8246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Cs/>
        </w:rPr>
        <w:t>Ibid</w:t>
      </w:r>
      <w:r w:rsidRPr="00675D56">
        <w:rPr>
          <w:rFonts w:asciiTheme="majorBidi" w:hAnsiTheme="majorBidi" w:cstheme="majorBidi"/>
          <w:i/>
        </w:rPr>
        <w:t xml:space="preserve"> </w:t>
      </w:r>
      <w:r w:rsidRPr="00675D56">
        <w:rPr>
          <w:rFonts w:asciiTheme="majorBidi" w:hAnsiTheme="majorBidi" w:cstheme="majorBidi"/>
        </w:rPr>
        <w:t>s 84.</w:t>
      </w:r>
    </w:p>
  </w:footnote>
  <w:footnote w:id="246">
    <w:p w14:paraId="2092D14C" w14:textId="1331DAF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_Ref13159574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w:t>
      </w:r>
      <w:r w:rsidRPr="00675D56">
        <w:rPr>
          <w:rFonts w:asciiTheme="majorBidi" w:hAnsiTheme="majorBidi" w:cstheme="majorBidi"/>
        </w:rPr>
        <w:fldChar w:fldCharType="end"/>
      </w:r>
      <w:r w:rsidRPr="00675D56">
        <w:rPr>
          <w:rFonts w:asciiTheme="majorBidi" w:hAnsiTheme="majorBidi" w:cstheme="majorBidi"/>
        </w:rPr>
        <w:t>].</w:t>
      </w:r>
    </w:p>
  </w:footnote>
  <w:footnote w:id="247">
    <w:p w14:paraId="5012AA05" w14:textId="50683D3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In both </w:t>
      </w:r>
      <w:r w:rsidRPr="00675D56">
        <w:rPr>
          <w:rFonts w:asciiTheme="majorBidi" w:hAnsiTheme="majorBidi" w:cstheme="majorBidi"/>
          <w:i/>
          <w:iCs/>
        </w:rPr>
        <w:t>Contencin v Tasmanian Perpetual Trustees Ltd</w:t>
      </w:r>
      <w:r w:rsidRPr="00675D56">
        <w:rPr>
          <w:rFonts w:asciiTheme="majorBidi" w:hAnsiTheme="majorBidi" w:cstheme="majorBidi"/>
        </w:rPr>
        <w:t xml:space="preserve"> [2010] TASSC 3 (‘</w:t>
      </w:r>
      <w:r w:rsidRPr="00675D56">
        <w:rPr>
          <w:rFonts w:asciiTheme="majorBidi" w:hAnsiTheme="majorBidi" w:cstheme="majorBidi"/>
          <w:i/>
          <w:iCs/>
        </w:rPr>
        <w:t>Contencin</w:t>
      </w:r>
      <w:r w:rsidRPr="00675D56">
        <w:rPr>
          <w:rFonts w:asciiTheme="majorBidi" w:hAnsiTheme="majorBidi" w:cstheme="majorBidi"/>
        </w:rPr>
        <w:t xml:space="preserve">’) and </w:t>
      </w:r>
      <w:r w:rsidRPr="00675D56">
        <w:rPr>
          <w:rFonts w:asciiTheme="majorBidi" w:hAnsiTheme="majorBidi" w:cstheme="majorBidi"/>
          <w:i/>
          <w:iCs/>
        </w:rPr>
        <w:t xml:space="preserve">Nicholas v Tubb </w:t>
      </w:r>
      <w:r w:rsidRPr="00675D56">
        <w:rPr>
          <w:rFonts w:asciiTheme="majorBidi" w:hAnsiTheme="majorBidi" w:cstheme="majorBidi"/>
        </w:rPr>
        <w:t xml:space="preserve">[2016] TASSC 53 there were multiple applicants: </w:t>
      </w:r>
      <w:r w:rsidRPr="00675D56">
        <w:rPr>
          <w:rFonts w:asciiTheme="majorBidi" w:hAnsiTheme="majorBidi" w:cstheme="majorBidi"/>
          <w:i/>
          <w:iCs/>
        </w:rPr>
        <w:t>Contencin</w:t>
      </w:r>
      <w:r w:rsidRPr="00675D56">
        <w:rPr>
          <w:rFonts w:asciiTheme="majorBidi" w:hAnsiTheme="majorBidi" w:cstheme="majorBidi"/>
        </w:rPr>
        <w:t xml:space="preserve"> with two applicants and </w:t>
      </w:r>
      <w:r w:rsidRPr="00675D56">
        <w:rPr>
          <w:rFonts w:asciiTheme="majorBidi" w:hAnsiTheme="majorBidi" w:cstheme="majorBidi"/>
          <w:i/>
          <w:iCs/>
        </w:rPr>
        <w:t>Nicholas v Tubb</w:t>
      </w:r>
      <w:r w:rsidRPr="00675D56">
        <w:rPr>
          <w:rFonts w:asciiTheme="majorBidi" w:hAnsiTheme="majorBidi" w:cstheme="majorBidi"/>
        </w:rPr>
        <w:t xml:space="preserve"> with four. </w:t>
      </w:r>
    </w:p>
  </w:footnote>
  <w:footnote w:id="248">
    <w:p w14:paraId="4B7B8016" w14:textId="1680B78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Australian Bureau of Statistics, </w:t>
      </w:r>
      <w:r w:rsidRPr="00675D56">
        <w:rPr>
          <w:rFonts w:asciiTheme="majorBidi" w:hAnsiTheme="majorBidi" w:cstheme="majorBidi"/>
          <w:i/>
          <w:iCs/>
        </w:rPr>
        <w:t>Deaths, Australia, 2017</w:t>
      </w:r>
      <w:r w:rsidRPr="00675D56">
        <w:rPr>
          <w:rFonts w:asciiTheme="majorBidi" w:hAnsiTheme="majorBidi" w:cstheme="majorBidi"/>
        </w:rPr>
        <w:t xml:space="preserve"> (Catalogue Number 3302.0, 26 September 2018).</w:t>
      </w:r>
    </w:p>
  </w:footnote>
  <w:footnote w:id="249">
    <w:p w14:paraId="3EB1719F" w14:textId="568A03C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Cheryl Tilse et al, </w:t>
      </w:r>
      <w:r w:rsidRPr="00675D56">
        <w:rPr>
          <w:rFonts w:asciiTheme="majorBidi" w:hAnsiTheme="majorBidi" w:cstheme="majorBidi"/>
          <w:i/>
          <w:iCs/>
        </w:rPr>
        <w:t xml:space="preserve">Having the Last Word? Will Making and Contestation in Australia </w:t>
      </w:r>
      <w:r w:rsidRPr="00675D56">
        <w:rPr>
          <w:rFonts w:asciiTheme="majorBidi" w:hAnsiTheme="majorBidi" w:cstheme="majorBidi"/>
        </w:rPr>
        <w:t>(Report, University of Queensland, 2015) 17.</w:t>
      </w:r>
    </w:p>
  </w:footnote>
  <w:footnote w:id="250">
    <w:p w14:paraId="1FE602CE" w14:textId="0889F56E" w:rsidR="00C61533" w:rsidRPr="00675D56" w:rsidRDefault="00C61533" w:rsidP="00840E14">
      <w:pPr>
        <w:pStyle w:val="FootnoteTextTLRI"/>
        <w:jc w:val="left"/>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Data extracted from the Supreme Court of Tasmania Annual Reports, available at &lt;https://www.supremecourt.tas.gov.au/publications/annual-reports/&gt;</w:t>
      </w:r>
      <w:r>
        <w:rPr>
          <w:rFonts w:asciiTheme="majorBidi" w:hAnsiTheme="majorBidi" w:cstheme="majorBidi"/>
        </w:rPr>
        <w:t>.</w:t>
      </w:r>
    </w:p>
  </w:footnote>
  <w:footnote w:id="251">
    <w:p w14:paraId="78BBB13B" w14:textId="6EDE23C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This question was based upon a question originally formulated by the VLRC. See 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_Ref1938910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192</w:t>
      </w:r>
      <w:r w:rsidRPr="00675D56">
        <w:rPr>
          <w:rFonts w:asciiTheme="majorBidi" w:hAnsiTheme="majorBidi" w:cstheme="majorBidi"/>
        </w:rPr>
        <w:fldChar w:fldCharType="end"/>
      </w:r>
      <w:r w:rsidRPr="00675D56">
        <w:rPr>
          <w:rFonts w:asciiTheme="majorBidi" w:hAnsiTheme="majorBidi" w:cstheme="majorBidi"/>
        </w:rPr>
        <w:t>) 34 Question FP7.</w:t>
      </w:r>
    </w:p>
  </w:footnote>
  <w:footnote w:id="252">
    <w:p w14:paraId="7F049166" w14:textId="6B61891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Susan Baldock, Dorothy Lowe and siblings, Tony Gray, Essen Bradbury, Heather Dunn, Barry Claridge, Ann Hamilton, Submission #2I, Phillipa Alexander, Submission #17, Justin McMullen, Alice Grubb, Geoffrey Nash, Steven Bishop, Nina Hendy, Elder Law Committee, joint submission of Christine Schokman, Dexter Marcenko and Michael Flanagan.</w:t>
      </w:r>
    </w:p>
  </w:footnote>
  <w:footnote w:id="253">
    <w:p w14:paraId="654787C9" w14:textId="6499106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Susan Baldock, Dorothy Lowe and siblings, Tony Gray, Essen Bradbury, Heather Dunn, Barry Claridge, Ann Hamilton, Submission #2I, Submission #17, Justin McMullen, Steven Bishop, Nina Hendy, Elder Law Committee, joint submission of Christine Schokman, Dexter Marcenko and Michael Flanagan.</w:t>
      </w:r>
    </w:p>
  </w:footnote>
  <w:footnote w:id="254">
    <w:p w14:paraId="3C0A93D7" w14:textId="6DF2437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Essen Bradbury, Submission #2I, Justin McMullen, view of the majority of the Elder Law Committee, noting that one member of that Committee abstained from participating in the submission and another Committee member expressed a dissenting opinion as explained in this report. </w:t>
      </w:r>
    </w:p>
    <w:p w14:paraId="0E5C1A64" w14:textId="6109B3F3" w:rsidR="00C61533" w:rsidRPr="00675D56" w:rsidRDefault="00C61533" w:rsidP="002A53F7">
      <w:pPr>
        <w:pStyle w:val="FootnoteTextTLRI"/>
        <w:ind w:firstLine="0"/>
        <w:rPr>
          <w:rFonts w:asciiTheme="majorBidi" w:hAnsiTheme="majorBidi" w:cstheme="majorBidi"/>
        </w:rPr>
      </w:pPr>
      <w:r w:rsidRPr="00675D56">
        <w:rPr>
          <w:rFonts w:asciiTheme="majorBidi" w:hAnsiTheme="majorBidi" w:cstheme="majorBidi"/>
        </w:rPr>
        <w:t xml:space="preserve">Justin McMullen suggested this may occur in approximately +/- 2% of clients, with a Hobart law firm (2I) indicating somewhere in the range of approximately 5%–10%. </w:t>
      </w:r>
    </w:p>
  </w:footnote>
  <w:footnote w:id="255">
    <w:p w14:paraId="575565B2" w14:textId="45404B4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Justin McMullen, Alice Grubb, Ann Hamilton, Elder Law Committee.</w:t>
      </w:r>
    </w:p>
  </w:footnote>
  <w:footnote w:id="256">
    <w:p w14:paraId="23566DA6" w14:textId="3D63891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Justin McMullen, Essen Bradbury, Ann Hamilton.</w:t>
      </w:r>
    </w:p>
  </w:footnote>
  <w:footnote w:id="257">
    <w:p w14:paraId="1989785B" w14:textId="7FC2D6F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Essen Bradbury, Submission #17, Alice Grubb, Tony Gray.</w:t>
      </w:r>
    </w:p>
  </w:footnote>
  <w:footnote w:id="258">
    <w:p w14:paraId="3FAF2E4A" w14:textId="2E51550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Alice Grubb.</w:t>
      </w:r>
    </w:p>
  </w:footnote>
  <w:footnote w:id="259">
    <w:p w14:paraId="64A74832" w14:textId="0EC81AE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Submission #1, Susan Baldock, Dorothy Lowe and siblings, Barry Claridge, Steven Bishop, Heather Dunn, Nina Hendy, joint submission of Christine Schokman, Dexter Marcenko and Michael Flanagan. </w:t>
      </w:r>
    </w:p>
  </w:footnote>
  <w:footnote w:id="260">
    <w:p w14:paraId="7757F4AC" w14:textId="2DBD02E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Christine Schokman, Dexter Marcenko and Michael Flanagan.</w:t>
      </w:r>
    </w:p>
  </w:footnote>
  <w:footnote w:id="261">
    <w:p w14:paraId="6C5496B3" w14:textId="1F8CD88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_Ref13302837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5.5.19</w:t>
      </w:r>
      <w:r w:rsidRPr="00675D56">
        <w:rPr>
          <w:rFonts w:asciiTheme="majorBidi" w:hAnsiTheme="majorBidi" w:cstheme="majorBidi"/>
        </w:rPr>
        <w:fldChar w:fldCharType="end"/>
      </w:r>
      <w:r w:rsidRPr="00675D56">
        <w:rPr>
          <w:rFonts w:asciiTheme="majorBidi" w:hAnsiTheme="majorBidi" w:cstheme="majorBidi"/>
        </w:rPr>
        <w:t>], [</w:t>
      </w:r>
      <w:r w:rsidRPr="00675D56">
        <w:rPr>
          <w:rFonts w:asciiTheme="majorBidi" w:hAnsiTheme="majorBidi" w:cstheme="majorBidi"/>
        </w:rPr>
        <w:fldChar w:fldCharType="begin"/>
      </w:r>
      <w:r w:rsidRPr="00675D56">
        <w:rPr>
          <w:rFonts w:asciiTheme="majorBidi" w:hAnsiTheme="majorBidi" w:cstheme="majorBidi"/>
        </w:rPr>
        <w:instrText xml:space="preserve"> REF _Ref13302869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5.6.27</w:t>
      </w:r>
      <w:r w:rsidRPr="00675D56">
        <w:rPr>
          <w:rFonts w:asciiTheme="majorBidi" w:hAnsiTheme="majorBidi" w:cstheme="majorBidi"/>
        </w:rPr>
        <w:fldChar w:fldCharType="end"/>
      </w:r>
      <w:r w:rsidRPr="00675D56">
        <w:rPr>
          <w:rFonts w:asciiTheme="majorBidi" w:hAnsiTheme="majorBidi" w:cstheme="majorBidi"/>
        </w:rPr>
        <w:t>], [</w:t>
      </w:r>
      <w:r w:rsidRPr="00675D56">
        <w:rPr>
          <w:rFonts w:asciiTheme="majorBidi" w:hAnsiTheme="majorBidi" w:cstheme="majorBidi"/>
        </w:rPr>
        <w:fldChar w:fldCharType="begin"/>
      </w:r>
      <w:r w:rsidRPr="00675D56">
        <w:rPr>
          <w:rFonts w:asciiTheme="majorBidi" w:hAnsiTheme="majorBidi" w:cstheme="majorBidi"/>
        </w:rPr>
        <w:instrText xml:space="preserve"> REF _Ref13302887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5.6.31</w:t>
      </w:r>
      <w:r w:rsidRPr="00675D56">
        <w:rPr>
          <w:rFonts w:asciiTheme="majorBidi" w:hAnsiTheme="majorBidi" w:cstheme="majorBidi"/>
        </w:rPr>
        <w:fldChar w:fldCharType="end"/>
      </w:r>
      <w:r w:rsidRPr="00675D56">
        <w:rPr>
          <w:rFonts w:asciiTheme="majorBidi" w:hAnsiTheme="majorBidi" w:cstheme="majorBidi"/>
        </w:rPr>
        <w:t>].</w:t>
      </w:r>
    </w:p>
  </w:footnote>
  <w:footnote w:id="262">
    <w:p w14:paraId="60754CE3" w14:textId="6A85652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#3.</w:t>
      </w:r>
    </w:p>
  </w:footnote>
  <w:footnote w:id="263">
    <w:p w14:paraId="6D197C6E" w14:textId="5BF4AD5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#3, Submission #11.</w:t>
      </w:r>
    </w:p>
  </w:footnote>
  <w:footnote w:id="264">
    <w:p w14:paraId="4013C930" w14:textId="5225997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This question was originally formulated by the VLRC. See 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_Ref1938910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192</w:t>
      </w:r>
      <w:r w:rsidRPr="00675D56">
        <w:rPr>
          <w:rFonts w:asciiTheme="majorBidi" w:hAnsiTheme="majorBidi" w:cstheme="majorBidi"/>
        </w:rPr>
        <w:fldChar w:fldCharType="end"/>
      </w:r>
      <w:r w:rsidRPr="00675D56">
        <w:rPr>
          <w:rFonts w:asciiTheme="majorBidi" w:hAnsiTheme="majorBidi" w:cstheme="majorBidi"/>
        </w:rPr>
        <w:t>) 34 Question FP8.</w:t>
      </w:r>
    </w:p>
  </w:footnote>
  <w:footnote w:id="265">
    <w:p w14:paraId="4AB55AD8" w14:textId="0103460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Submission #1, joint submission of Christine Schokman, Dexter Marcenko and Michael Flanagan, Steven Bishop, Heather Dunn, Nina Hendy, Barry Claridge. Whilst Dorothy Lowe and siblings expressed concerns about the current framework based upon their own experiences, in response to this question of the Issues Paper asking whether people should have the ability to structure their affairs to remove assets from challenge, the response was ‘Yes if they are </w:t>
      </w:r>
      <w:r w:rsidRPr="005F6246">
        <w:rPr>
          <w:rFonts w:asciiTheme="majorBidi" w:hAnsiTheme="majorBidi" w:cstheme="majorBidi"/>
        </w:rPr>
        <w:t>compus mentus</w:t>
      </w:r>
      <w:r w:rsidRPr="00675D56">
        <w:rPr>
          <w:rFonts w:asciiTheme="majorBidi" w:hAnsiTheme="majorBidi" w:cstheme="majorBidi"/>
        </w:rPr>
        <w:t xml:space="preserve"> [sic].’</w:t>
      </w:r>
    </w:p>
  </w:footnote>
  <w:footnote w:id="266">
    <w:p w14:paraId="7152D89E" w14:textId="1723C69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Steven Bishop, joint submission of Christine Schokman, Dexter Marcenko and Michael Flanagan.</w:t>
      </w:r>
    </w:p>
  </w:footnote>
  <w:footnote w:id="267">
    <w:p w14:paraId="08BEAF4D" w14:textId="3296FBA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Submission #1, Susan Baldock, Dorothy Lowe and siblings, Barry Claridge, Steven Bishop, Heather Dunn, Nina Hendy, joint submission of Christine Schokman, Dexter Marcenko and Michael Flanagan. </w:t>
      </w:r>
    </w:p>
  </w:footnote>
  <w:footnote w:id="268">
    <w:p w14:paraId="00E7211B" w14:textId="06F93F3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Steven Bishop.</w:t>
      </w:r>
    </w:p>
  </w:footnote>
  <w:footnote w:id="269">
    <w:p w14:paraId="6D20421E" w14:textId="249D318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Dorothy Lowe and siblings, Barry Claridge, Heather Dunn, Nina Hendy, Submission #1, Submission #4.</w:t>
      </w:r>
    </w:p>
  </w:footnote>
  <w:footnote w:id="270">
    <w:p w14:paraId="385E8733" w14:textId="786B1DE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 also raised concerns about the purchase and transfer of assets to joint tenancy ownership where there is a second relationship or marriage, commenting ‘I think second marriages are a opportunity for deceptive actions, a selfish financial gain</w:t>
      </w:r>
      <w:r>
        <w:rPr>
          <w:rFonts w:asciiTheme="majorBidi" w:hAnsiTheme="majorBidi" w:cstheme="majorBidi"/>
        </w:rPr>
        <w:t xml:space="preserve"> </w:t>
      </w:r>
      <w:r w:rsidRPr="00675D56">
        <w:rPr>
          <w:rFonts w:asciiTheme="majorBidi" w:hAnsiTheme="majorBidi" w:cstheme="majorBidi"/>
        </w:rPr>
        <w:t xml:space="preserve">… the concept of marriage is a green light to gain a financial advantage laced with selfish motives.’ </w:t>
      </w:r>
    </w:p>
  </w:footnote>
  <w:footnote w:id="271">
    <w:p w14:paraId="436FA6E8" w14:textId="54D83F0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_Ref13303808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1.4.15</w:t>
      </w:r>
      <w:r w:rsidRPr="00675D56">
        <w:rPr>
          <w:rFonts w:asciiTheme="majorBidi" w:hAnsiTheme="majorBidi" w:cstheme="majorBidi"/>
        </w:rPr>
        <w:fldChar w:fldCharType="end"/>
      </w:r>
      <w:r w:rsidRPr="00675D56">
        <w:rPr>
          <w:rFonts w:asciiTheme="majorBidi" w:hAnsiTheme="majorBidi" w:cstheme="majorBidi"/>
        </w:rPr>
        <w:t>].</w:t>
      </w:r>
    </w:p>
  </w:footnote>
  <w:footnote w:id="272">
    <w:p w14:paraId="4628A5D8" w14:textId="0B56981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This matter was raised by Phillipa Alexander in her submission. Submission #11 also commented that legislation relating to theft might address these types of concerns. </w:t>
      </w:r>
    </w:p>
  </w:footnote>
  <w:footnote w:id="273">
    <w:p w14:paraId="2318D144" w14:textId="7D3B4AD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TFM Act</w:t>
      </w:r>
      <w:r w:rsidRPr="00675D56">
        <w:rPr>
          <w:rFonts w:asciiTheme="majorBidi" w:hAnsiTheme="majorBidi" w:cstheme="majorBidi"/>
        </w:rPr>
        <w:t xml:space="preserve"> s 3A, s 2 definition of ‘child’.</w:t>
      </w:r>
    </w:p>
  </w:footnote>
  <w:footnote w:id="274">
    <w:p w14:paraId="20654088" w14:textId="028523D5"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Christine Schokman, Dexter Marcenko and Michael Flanagan, Steven Bishop.</w:t>
      </w:r>
    </w:p>
  </w:footnote>
  <w:footnote w:id="275">
    <w:p w14:paraId="1A731A01" w14:textId="668E0F5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#4, Essen Bradbury, Ann Hamilton, Submission #2I, Phillipa Alexander, Justin McMullen, Alice Grubb, Geoffrey Nash, Submission #11, Submission #17, Elder Law Committee.</w:t>
      </w:r>
    </w:p>
  </w:footnote>
  <w:footnote w:id="276">
    <w:p w14:paraId="41986150" w14:textId="6310396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#4, Ann Hamilton, Submission #2I, Submission #17, Geoffrey Nash, Elder Law Committee, Submission #11.</w:t>
      </w:r>
    </w:p>
  </w:footnote>
  <w:footnote w:id="277">
    <w:p w14:paraId="03A6CB42" w14:textId="4849281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Sam McCullough, Essen Bradbury, Submission #2I, Phillipa Alexander.</w:t>
      </w:r>
    </w:p>
  </w:footnote>
  <w:footnote w:id="278">
    <w:p w14:paraId="4698413F" w14:textId="7F8D917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Essen Bradbury, Tony Gray, Sam McCullough, Submission #11.</w:t>
      </w:r>
    </w:p>
  </w:footnote>
  <w:footnote w:id="279">
    <w:p w14:paraId="6539BA08" w14:textId="41757F7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Submission #10, Alice Grubb, Justin McMullen, Sam McCullough.</w:t>
      </w:r>
    </w:p>
  </w:footnote>
  <w:footnote w:id="280">
    <w:p w14:paraId="2489D03C" w14:textId="43260D5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Elder Law Committee.</w:t>
      </w:r>
    </w:p>
  </w:footnote>
  <w:footnote w:id="281">
    <w:p w14:paraId="708E0CD8" w14:textId="2B779CD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Phillipa Alexander, Justin McMullen, Elder Law Committee, Submission #1I.</w:t>
      </w:r>
    </w:p>
  </w:footnote>
  <w:footnote w:id="282">
    <w:p w14:paraId="7DFE861B" w14:textId="1DE703E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Phillipa Alexander, Submission #1I. This view was also expressed by the VLRC: 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_Ref1905366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194</w:t>
      </w:r>
      <w:r w:rsidRPr="00675D56">
        <w:rPr>
          <w:rFonts w:asciiTheme="majorBidi" w:hAnsiTheme="majorBidi" w:cstheme="majorBidi"/>
        </w:rPr>
        <w:fldChar w:fldCharType="end"/>
      </w:r>
      <w:r w:rsidRPr="00675D56">
        <w:rPr>
          <w:rFonts w:asciiTheme="majorBidi" w:hAnsiTheme="majorBidi" w:cstheme="majorBidi"/>
        </w:rPr>
        <w:t>) [6.175].</w:t>
      </w:r>
    </w:p>
  </w:footnote>
  <w:footnote w:id="283">
    <w:p w14:paraId="178D909A" w14:textId="3DCBBD3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_Ref1938910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192</w:t>
      </w:r>
      <w:r w:rsidRPr="00675D56">
        <w:rPr>
          <w:rFonts w:asciiTheme="majorBidi" w:hAnsiTheme="majorBidi" w:cstheme="majorBidi"/>
        </w:rPr>
        <w:fldChar w:fldCharType="end"/>
      </w:r>
      <w:r w:rsidRPr="00675D56">
        <w:rPr>
          <w:rFonts w:asciiTheme="majorBidi" w:hAnsiTheme="majorBidi" w:cstheme="majorBidi"/>
        </w:rPr>
        <w:t xml:space="preserve">) 34 [2.89]. See also discussion in 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_Ref1905366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194</w:t>
      </w:r>
      <w:r w:rsidRPr="00675D56">
        <w:rPr>
          <w:rFonts w:asciiTheme="majorBidi" w:hAnsiTheme="majorBidi" w:cstheme="majorBidi"/>
        </w:rPr>
        <w:fldChar w:fldCharType="end"/>
      </w:r>
      <w:r w:rsidRPr="00675D56">
        <w:rPr>
          <w:rFonts w:asciiTheme="majorBidi" w:hAnsiTheme="majorBidi" w:cstheme="majorBidi"/>
        </w:rPr>
        <w:t>) [6.177]–[6.180], [6.185].</w:t>
      </w:r>
    </w:p>
  </w:footnote>
  <w:footnote w:id="284">
    <w:p w14:paraId="4ACB6227" w14:textId="3ABCFF3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Pr>
          <w:rFonts w:asciiTheme="majorBidi" w:hAnsiTheme="majorBidi" w:cstheme="majorBidi"/>
        </w:rPr>
        <w:tab/>
      </w:r>
      <w:r w:rsidRPr="00675D56">
        <w:rPr>
          <w:rFonts w:asciiTheme="majorBidi" w:hAnsiTheme="majorBidi" w:cstheme="majorBidi"/>
        </w:rPr>
        <w:t>Submission #4, Tony Gray, Essen Bradbury, Heather Dunn, Ann Hamilton, Submission #2I, Phillipa Alexander, Justin McMullen, Geoffrey Nash, Steven Bishop, Elder Law Committee, joint submission of Christine Schokman, Dexter Marcenko and Michael Flanagan.</w:t>
      </w:r>
    </w:p>
  </w:footnote>
  <w:footnote w:id="285">
    <w:p w14:paraId="0770299C" w14:textId="728C0BD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Essen Bradbury, Phillipa Alexander.</w:t>
      </w:r>
    </w:p>
  </w:footnote>
  <w:footnote w:id="286">
    <w:p w14:paraId="2AA3AFC1" w14:textId="213D174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Pr>
          <w:rFonts w:asciiTheme="majorBidi" w:hAnsiTheme="majorBidi" w:cstheme="majorBidi"/>
        </w:rPr>
        <w:tab/>
      </w:r>
      <w:r w:rsidRPr="00675D56">
        <w:rPr>
          <w:rFonts w:asciiTheme="majorBidi" w:hAnsiTheme="majorBidi" w:cstheme="majorBidi"/>
        </w:rPr>
        <w:t>Essen Bradbury, Ann Hamilton, Phillipa Alexander, Justin McMullen, Elder Law Committee.</w:t>
      </w:r>
    </w:p>
  </w:footnote>
  <w:footnote w:id="287">
    <w:p w14:paraId="56A50B76" w14:textId="694D8E6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Pr>
          <w:rFonts w:asciiTheme="majorBidi" w:hAnsiTheme="majorBidi" w:cstheme="majorBidi"/>
        </w:rPr>
        <w:tab/>
      </w:r>
      <w:r w:rsidRPr="00675D56">
        <w:rPr>
          <w:rFonts w:asciiTheme="majorBidi" w:hAnsiTheme="majorBidi" w:cstheme="majorBidi"/>
        </w:rPr>
        <w:t xml:space="preserve">Justin McMullen, Elder Law Committee, Ann Hamilton referring to discussion in </w:t>
      </w:r>
      <w:r w:rsidRPr="00675D56">
        <w:rPr>
          <w:rFonts w:asciiTheme="majorBidi" w:hAnsiTheme="majorBidi" w:cstheme="majorBidi"/>
          <w:i/>
          <w:iCs/>
        </w:rPr>
        <w:t>Re Estate Grant, deceased</w:t>
      </w:r>
      <w:r w:rsidRPr="00675D56">
        <w:rPr>
          <w:rFonts w:asciiTheme="majorBidi" w:hAnsiTheme="majorBidi" w:cstheme="majorBidi"/>
        </w:rPr>
        <w:t xml:space="preserve"> [2018] NSWSC 1031 [199].</w:t>
      </w:r>
    </w:p>
  </w:footnote>
  <w:footnote w:id="288">
    <w:p w14:paraId="6A13FE08" w14:textId="104A233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Essen Bradbury, Phillipa Alexander, Elder Law Committee.</w:t>
      </w:r>
    </w:p>
  </w:footnote>
  <w:footnote w:id="289">
    <w:p w14:paraId="6DB367A1" w14:textId="52A3635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#2I, Justin McMullen, Elder Law Committee.</w:t>
      </w:r>
    </w:p>
  </w:footnote>
  <w:footnote w:id="290">
    <w:p w14:paraId="65FB9AAA" w14:textId="43FC71B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#11, Phillipa Alexander, Justin McMullen.</w:t>
      </w:r>
    </w:p>
  </w:footnote>
  <w:footnote w:id="291">
    <w:p w14:paraId="3FCC8101" w14:textId="531FC7D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#11.</w:t>
      </w:r>
    </w:p>
  </w:footnote>
  <w:footnote w:id="292">
    <w:p w14:paraId="269A08DA" w14:textId="41894AD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Susan Baldock, Litigation Committee of the Law Society, endorsing the reasoning of Christine Schokman, Dexter Marcenko and Michael Flanagan.</w:t>
      </w:r>
    </w:p>
  </w:footnote>
  <w:footnote w:id="293">
    <w:p w14:paraId="15956E08" w14:textId="5DB808E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 Submission #4, Dorothy Lowe and siblings Barry Claridge, Heather Dunn, Steven Bishop, Nina Hendy, joint submission of Christine Schokman, Dexter Marcenko and Michael Flanagan.</w:t>
      </w:r>
    </w:p>
  </w:footnote>
  <w:footnote w:id="294">
    <w:p w14:paraId="0C1FBE9F" w14:textId="2D302D9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Robert Young, Submission #5, Submission #1I, Submission #11, Submission #2I</w:t>
      </w:r>
      <w:r>
        <w:rPr>
          <w:rFonts w:asciiTheme="majorBidi" w:hAnsiTheme="majorBidi" w:cstheme="majorBidi"/>
        </w:rPr>
        <w:t>.</w:t>
      </w:r>
      <w:r w:rsidRPr="00675D56">
        <w:rPr>
          <w:rFonts w:asciiTheme="majorBidi" w:hAnsiTheme="majorBidi" w:cstheme="majorBidi"/>
        </w:rPr>
        <w:t xml:space="preserve"> </w:t>
      </w:r>
    </w:p>
  </w:footnote>
  <w:footnote w:id="295">
    <w:p w14:paraId="4F489797" w14:textId="748418C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#3, Tony Gray, Essen Bradbury, Ann Hamilton, Phillipa Alexander, Submission #17, Justin McMullen, Alice Grubb, Geoffrey Nash, Elder Law Committee (with dissenting view expressed).</w:t>
      </w:r>
    </w:p>
  </w:footnote>
  <w:footnote w:id="296">
    <w:p w14:paraId="45FAD2FC" w14:textId="7DE8082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Ten from the one family.</w:t>
      </w:r>
    </w:p>
  </w:footnote>
  <w:footnote w:id="297">
    <w:p w14:paraId="311A897C" w14:textId="009B853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Citing </w:t>
      </w:r>
      <w:r w:rsidRPr="00675D56">
        <w:rPr>
          <w:rFonts w:asciiTheme="majorBidi" w:hAnsiTheme="majorBidi" w:cstheme="majorBidi"/>
          <w:i/>
          <w:iCs/>
        </w:rPr>
        <w:t xml:space="preserve">Contencin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_Ref13309222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246</w:t>
      </w:r>
      <w:r w:rsidRPr="00675D56">
        <w:rPr>
          <w:rFonts w:asciiTheme="majorBidi" w:hAnsiTheme="majorBidi" w:cstheme="majorBidi"/>
        </w:rPr>
        <w:fldChar w:fldCharType="end"/>
      </w:r>
      <w:r w:rsidRPr="00675D56">
        <w:rPr>
          <w:rFonts w:asciiTheme="majorBidi" w:hAnsiTheme="majorBidi" w:cstheme="majorBidi"/>
        </w:rPr>
        <w:t>).</w:t>
      </w:r>
    </w:p>
  </w:footnote>
  <w:footnote w:id="298">
    <w:p w14:paraId="30BBDAF5" w14:textId="7A2738A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See for example </w:t>
      </w:r>
      <w:r w:rsidRPr="00675D56">
        <w:rPr>
          <w:rStyle w:val="FootnoteTextTLRIChar"/>
          <w:rFonts w:asciiTheme="majorBidi" w:hAnsiTheme="majorBidi" w:cstheme="majorBidi"/>
          <w:i/>
          <w:iCs/>
          <w:szCs w:val="20"/>
        </w:rPr>
        <w:t>McDonald v O’Connor</w:t>
      </w:r>
      <w:r w:rsidRPr="00675D56">
        <w:rPr>
          <w:rStyle w:val="FootnoteTextTLRIChar"/>
          <w:rFonts w:asciiTheme="majorBidi" w:hAnsiTheme="majorBidi" w:cstheme="majorBidi"/>
          <w:szCs w:val="20"/>
        </w:rPr>
        <w:t xml:space="preserve"> [2019] NSWSC 261, [279] (Hallen J), quoting his Honour in </w:t>
      </w:r>
      <w:r w:rsidRPr="00675D56">
        <w:rPr>
          <w:rStyle w:val="FootnoteTextTLRIChar"/>
          <w:rFonts w:asciiTheme="majorBidi" w:hAnsiTheme="majorBidi" w:cstheme="majorBidi"/>
          <w:i/>
          <w:iCs/>
          <w:szCs w:val="20"/>
        </w:rPr>
        <w:t>Goodsell v Wellington</w:t>
      </w:r>
      <w:r w:rsidRPr="00675D56">
        <w:rPr>
          <w:rStyle w:val="FootnoteTextTLRIChar"/>
          <w:rFonts w:asciiTheme="majorBidi" w:hAnsiTheme="majorBidi" w:cstheme="majorBidi"/>
          <w:szCs w:val="20"/>
        </w:rPr>
        <w:t xml:space="preserve"> [2011] NSWSC 1232, [108]. </w:t>
      </w:r>
      <w:r w:rsidRPr="00675D56">
        <w:rPr>
          <w:rFonts w:asciiTheme="majorBidi" w:hAnsiTheme="majorBidi" w:cstheme="majorBidi"/>
        </w:rPr>
        <w:t xml:space="preserve">The Elder Law Committee referred to the following passages from High Court cases by way of illustration: ‘all authorities agree that it was never meant that the Court should re-write the will of a testator. Nor was it ever intended that the freedom of testamentary disposition should be so encroached upon that a testator’s decisions expressed in his will have only a prima facie effect, the real dispositive power being vested in the Court. An observer of the course of development in the administration in Australia of such statutory provisions might be tempted to think that, unchecked, that is likely to become the practical result.’: </w:t>
      </w:r>
      <w:r w:rsidRPr="00675D56">
        <w:rPr>
          <w:rFonts w:asciiTheme="majorBidi" w:hAnsiTheme="majorBidi" w:cstheme="majorBidi"/>
          <w:i/>
        </w:rPr>
        <w:t>Pontifical Society for the Propagation of the Faith v Scales</w:t>
      </w:r>
      <w:r w:rsidRPr="00675D56">
        <w:rPr>
          <w:rFonts w:asciiTheme="majorBidi" w:hAnsiTheme="majorBidi" w:cstheme="majorBidi"/>
        </w:rPr>
        <w:t xml:space="preserve"> (1962)107 CLR 9 Dixon CJ. The Committee also referred to </w:t>
      </w:r>
      <w:r w:rsidRPr="00675D56">
        <w:rPr>
          <w:rFonts w:asciiTheme="majorBidi" w:hAnsiTheme="majorBidi" w:cstheme="majorBidi"/>
          <w:i/>
        </w:rPr>
        <w:t>Vigolo v Bostin</w:t>
      </w:r>
      <w:r w:rsidRPr="00675D56">
        <w:rPr>
          <w:rFonts w:asciiTheme="majorBidi" w:hAnsiTheme="majorBidi" w:cstheme="majorBidi"/>
        </w:rPr>
        <w:t xml:space="preserve"> (2005) 221 CLR 191(Gleeson CJ) who stated that: ‘The discretionary power of the Court is limited in interfering with the exercise of freedom of testamentary disposition.’</w:t>
      </w:r>
    </w:p>
  </w:footnote>
  <w:footnote w:id="299">
    <w:p w14:paraId="13862413" w14:textId="559F782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Banks v Goodfellow</w:t>
      </w:r>
      <w:r w:rsidRPr="00675D56">
        <w:rPr>
          <w:rFonts w:asciiTheme="majorBidi" w:hAnsiTheme="majorBidi" w:cstheme="majorBidi"/>
        </w:rPr>
        <w:t xml:space="preserve"> (1870) LR 5 QB 549, 564.</w:t>
      </w:r>
    </w:p>
  </w:footnote>
  <w:footnote w:id="300">
    <w:p w14:paraId="735BE579" w14:textId="24C56F9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New South Wales Supreme Court judge. Justice Lindsay manages the Probate list.</w:t>
      </w:r>
    </w:p>
  </w:footnote>
  <w:footnote w:id="301">
    <w:p w14:paraId="1C229870" w14:textId="03CCB97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Justice Geoff Lindsay, </w:t>
      </w:r>
      <w:r w:rsidRPr="00675D56">
        <w:rPr>
          <w:rFonts w:asciiTheme="majorBidi" w:hAnsiTheme="majorBidi" w:cstheme="majorBidi"/>
          <w:i/>
          <w:iCs/>
        </w:rPr>
        <w:t>A Province of Modern Equity: Management of Life, Death and Estate Administration</w:t>
      </w:r>
      <w:r w:rsidRPr="00675D56">
        <w:rPr>
          <w:rFonts w:asciiTheme="majorBidi" w:hAnsiTheme="majorBidi" w:cstheme="majorBidi"/>
        </w:rPr>
        <w:t xml:space="preserve"> (Estate Administration: A Course of Seminars – The Protective, Probate and Family Provision Jurisdictions of the Supreme Court of New South Wales, The New South Wales Bar Association and The Law Society of New South Wales, 26 May 2015) [36].</w:t>
      </w:r>
    </w:p>
  </w:footnote>
  <w:footnote w:id="302">
    <w:p w14:paraId="540A15B1" w14:textId="782192D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_Ref13410292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23</w:t>
      </w:r>
      <w:r w:rsidRPr="00675D56">
        <w:rPr>
          <w:rFonts w:asciiTheme="majorBidi" w:hAnsiTheme="majorBidi" w:cstheme="majorBidi"/>
        </w:rPr>
        <w:fldChar w:fldCharType="end"/>
      </w:r>
      <w:r w:rsidRPr="00675D56">
        <w:rPr>
          <w:rFonts w:asciiTheme="majorBidi" w:hAnsiTheme="majorBidi" w:cstheme="majorBidi"/>
        </w:rPr>
        <w:t>) 180.</w:t>
      </w:r>
    </w:p>
  </w:footnote>
  <w:footnote w:id="303">
    <w:p w14:paraId="21EF0E54"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for example </w:t>
      </w:r>
      <w:r w:rsidRPr="00675D56">
        <w:rPr>
          <w:rFonts w:asciiTheme="majorBidi" w:hAnsiTheme="majorBidi" w:cstheme="majorBidi"/>
          <w:i/>
        </w:rPr>
        <w:t>Wills Act 2008</w:t>
      </w:r>
      <w:r w:rsidRPr="00675D56">
        <w:rPr>
          <w:rFonts w:asciiTheme="majorBidi" w:hAnsiTheme="majorBidi" w:cstheme="majorBidi"/>
        </w:rPr>
        <w:t xml:space="preserve"> (Tas) ss 10, 13.</w:t>
      </w:r>
    </w:p>
  </w:footnote>
  <w:footnote w:id="304">
    <w:p w14:paraId="6B057CFC" w14:textId="1902E1B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for example </w:t>
      </w:r>
      <w:r w:rsidRPr="00675D56">
        <w:rPr>
          <w:rFonts w:asciiTheme="majorBidi" w:hAnsiTheme="majorBidi" w:cstheme="majorBidi"/>
          <w:iCs/>
        </w:rPr>
        <w:t>ibid</w:t>
      </w:r>
      <w:r w:rsidRPr="00675D56">
        <w:rPr>
          <w:rFonts w:asciiTheme="majorBidi" w:hAnsiTheme="majorBidi" w:cstheme="majorBidi"/>
        </w:rPr>
        <w:t xml:space="preserve"> s 42.</w:t>
      </w:r>
    </w:p>
  </w:footnote>
  <w:footnote w:id="305">
    <w:p w14:paraId="21B516FF" w14:textId="7EE4178E" w:rsidR="00C61533" w:rsidRPr="00675D56" w:rsidRDefault="00C61533" w:rsidP="00686B21">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Submission of Steven Bishop quoting James MacIntosh, ‘Limitations on Free Testamentary Disposition and the British Empire’ (1930) 12(1) </w:t>
      </w:r>
      <w:r w:rsidRPr="00675D56">
        <w:rPr>
          <w:rFonts w:asciiTheme="majorBidi" w:hAnsiTheme="majorBidi" w:cstheme="majorBidi"/>
          <w:i/>
          <w:iCs/>
        </w:rPr>
        <w:t>Journal of Comparative Legislation and International Law</w:t>
      </w:r>
      <w:r w:rsidRPr="00675D56">
        <w:rPr>
          <w:rFonts w:asciiTheme="majorBidi" w:hAnsiTheme="majorBidi" w:cstheme="majorBidi"/>
        </w:rPr>
        <w:t xml:space="preserve"> 13.</w:t>
      </w:r>
    </w:p>
  </w:footnote>
  <w:footnote w:id="306">
    <w:p w14:paraId="0EBE7BDF" w14:textId="3E639765" w:rsidR="00C61533" w:rsidRPr="00675D56" w:rsidRDefault="00C61533" w:rsidP="00AE5077">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Olsen v Olsen</w:t>
      </w:r>
      <w:r w:rsidRPr="00675D56">
        <w:rPr>
          <w:rFonts w:asciiTheme="majorBidi" w:hAnsiTheme="majorBidi" w:cstheme="majorBidi"/>
        </w:rPr>
        <w:t xml:space="preserve"> [2019] NSWSC 217 (15 March 2019); </w:t>
      </w:r>
      <w:r w:rsidRPr="00675D56">
        <w:rPr>
          <w:rFonts w:asciiTheme="majorBidi" w:hAnsiTheme="majorBidi" w:cstheme="majorBidi"/>
          <w:i/>
          <w:iCs/>
        </w:rPr>
        <w:t>McDonald v O’Connor</w:t>
      </w:r>
      <w:r w:rsidRPr="00675D56">
        <w:rPr>
          <w:rFonts w:asciiTheme="majorBidi" w:hAnsiTheme="majorBidi" w:cstheme="majorBidi"/>
        </w:rPr>
        <w:t xml:space="preserve"> [2019] NSWSC 261 (14 March 2019); </w:t>
      </w:r>
      <w:r w:rsidRPr="00675D56">
        <w:rPr>
          <w:rFonts w:asciiTheme="majorBidi" w:hAnsiTheme="majorBidi" w:cstheme="majorBidi"/>
          <w:i/>
          <w:iCs/>
        </w:rPr>
        <w:t>Gail Patricia Stone v Michael John Stone</w:t>
      </w:r>
      <w:r w:rsidRPr="00675D56">
        <w:rPr>
          <w:rFonts w:asciiTheme="majorBidi" w:hAnsiTheme="majorBidi" w:cstheme="majorBidi"/>
        </w:rPr>
        <w:t xml:space="preserve"> [2019] NSWSC 233 (8 March 2019); </w:t>
      </w:r>
      <w:r w:rsidRPr="00675D56">
        <w:rPr>
          <w:rFonts w:asciiTheme="majorBidi" w:hAnsiTheme="majorBidi" w:cstheme="majorBidi"/>
          <w:i/>
          <w:iCs/>
        </w:rPr>
        <w:t>Detheridge v Detheridge</w:t>
      </w:r>
      <w:r w:rsidRPr="00675D56">
        <w:rPr>
          <w:rFonts w:asciiTheme="majorBidi" w:hAnsiTheme="majorBidi" w:cstheme="majorBidi"/>
        </w:rPr>
        <w:t xml:space="preserve"> [2019] NSWSC 183 (7 March 2019); </w:t>
      </w:r>
      <w:r w:rsidRPr="00675D56">
        <w:rPr>
          <w:rFonts w:asciiTheme="majorBidi" w:hAnsiTheme="majorBidi" w:cstheme="majorBidi"/>
          <w:i/>
          <w:iCs/>
        </w:rPr>
        <w:t>Neal v Neal</w:t>
      </w:r>
      <w:r w:rsidRPr="00675D56">
        <w:rPr>
          <w:rFonts w:asciiTheme="majorBidi" w:hAnsiTheme="majorBidi" w:cstheme="majorBidi"/>
        </w:rPr>
        <w:t xml:space="preserve"> [2018] NSWSC 1669 (1 March 2019); </w:t>
      </w:r>
      <w:r w:rsidRPr="00675D56">
        <w:rPr>
          <w:rFonts w:asciiTheme="majorBidi" w:hAnsiTheme="majorBidi" w:cstheme="majorBidi"/>
          <w:i/>
          <w:iCs/>
        </w:rPr>
        <w:t>Meissner v Lindsay</w:t>
      </w:r>
      <w:r w:rsidRPr="00675D56">
        <w:rPr>
          <w:rFonts w:asciiTheme="majorBidi" w:hAnsiTheme="majorBidi" w:cstheme="majorBidi"/>
        </w:rPr>
        <w:t xml:space="preserve"> [2019] NSWSC 82 (12 February 2019); </w:t>
      </w:r>
      <w:r w:rsidRPr="00675D56">
        <w:rPr>
          <w:rFonts w:asciiTheme="majorBidi" w:hAnsiTheme="majorBidi" w:cstheme="majorBidi"/>
          <w:i/>
          <w:iCs/>
        </w:rPr>
        <w:t>Rogers v Rogers</w:t>
      </w:r>
      <w:r w:rsidRPr="00675D56">
        <w:rPr>
          <w:rFonts w:asciiTheme="majorBidi" w:hAnsiTheme="majorBidi" w:cstheme="majorBidi"/>
        </w:rPr>
        <w:t xml:space="preserve"> [2018] NSWSC 1982 (18 December 2018); </w:t>
      </w:r>
      <w:r w:rsidRPr="00675D56">
        <w:rPr>
          <w:rFonts w:asciiTheme="majorBidi" w:hAnsiTheme="majorBidi" w:cstheme="majorBidi"/>
          <w:i/>
          <w:iCs/>
        </w:rPr>
        <w:t>Maynard v Maynard</w:t>
      </w:r>
      <w:r w:rsidRPr="00675D56">
        <w:rPr>
          <w:rFonts w:asciiTheme="majorBidi" w:hAnsiTheme="majorBidi" w:cstheme="majorBidi"/>
        </w:rPr>
        <w:t xml:space="preserve"> [2018] NSWSC 1961 (14 December 2018); </w:t>
      </w:r>
      <w:r w:rsidRPr="00675D56">
        <w:rPr>
          <w:rFonts w:asciiTheme="majorBidi" w:hAnsiTheme="majorBidi" w:cstheme="majorBidi"/>
          <w:i/>
          <w:iCs/>
        </w:rPr>
        <w:t>Re Estate Di Meglio; Di Meglio v Carle</w:t>
      </w:r>
      <w:r w:rsidRPr="00675D56">
        <w:rPr>
          <w:rFonts w:asciiTheme="majorBidi" w:hAnsiTheme="majorBidi" w:cstheme="majorBidi"/>
        </w:rPr>
        <w:t xml:space="preserve"> [2018] NSWSC 1690 (4 December 2018); </w:t>
      </w:r>
      <w:r w:rsidRPr="00675D56">
        <w:rPr>
          <w:rFonts w:asciiTheme="majorBidi" w:hAnsiTheme="majorBidi" w:cstheme="majorBidi"/>
          <w:i/>
          <w:iCs/>
        </w:rPr>
        <w:t>Wise v Barry; The Estate of Robyn Margaret Wise</w:t>
      </w:r>
      <w:r w:rsidRPr="00675D56">
        <w:rPr>
          <w:rFonts w:asciiTheme="majorBidi" w:hAnsiTheme="majorBidi" w:cstheme="majorBidi"/>
        </w:rPr>
        <w:t xml:space="preserve"> [2018] NSWSC 1726 (14 November 2018); </w:t>
      </w:r>
      <w:r w:rsidRPr="00675D56">
        <w:rPr>
          <w:rFonts w:asciiTheme="majorBidi" w:hAnsiTheme="majorBidi" w:cstheme="majorBidi"/>
          <w:i/>
          <w:iCs/>
        </w:rPr>
        <w:t>Re Estate McNamara</w:t>
      </w:r>
      <w:r w:rsidRPr="00675D56">
        <w:rPr>
          <w:rFonts w:asciiTheme="majorBidi" w:hAnsiTheme="majorBidi" w:cstheme="majorBidi"/>
        </w:rPr>
        <w:t xml:space="preserve"> [2018] NSWSC 1661 (2 November 2018); </w:t>
      </w:r>
      <w:r w:rsidRPr="00675D56">
        <w:rPr>
          <w:rFonts w:asciiTheme="majorBidi" w:hAnsiTheme="majorBidi" w:cstheme="majorBidi"/>
          <w:i/>
          <w:iCs/>
        </w:rPr>
        <w:t>Sreckovic v Sreckovic</w:t>
      </w:r>
      <w:r w:rsidRPr="00675D56">
        <w:rPr>
          <w:rFonts w:asciiTheme="majorBidi" w:hAnsiTheme="majorBidi" w:cstheme="majorBidi"/>
        </w:rPr>
        <w:t xml:space="preserve"> [2018] NSWSC 1597 (23 October 2018); </w:t>
      </w:r>
      <w:r w:rsidRPr="00675D56">
        <w:rPr>
          <w:rFonts w:asciiTheme="majorBidi" w:hAnsiTheme="majorBidi" w:cstheme="majorBidi"/>
          <w:i/>
          <w:iCs/>
        </w:rPr>
        <w:t>Cringle v Cringle</w:t>
      </w:r>
      <w:r w:rsidRPr="00675D56">
        <w:rPr>
          <w:rFonts w:asciiTheme="majorBidi" w:hAnsiTheme="majorBidi" w:cstheme="majorBidi"/>
        </w:rPr>
        <w:t xml:space="preserve"> [2018] NSWSC 1558 (19 October 2018); </w:t>
      </w:r>
      <w:r w:rsidRPr="00675D56">
        <w:rPr>
          <w:rFonts w:asciiTheme="majorBidi" w:hAnsiTheme="majorBidi" w:cstheme="majorBidi"/>
          <w:i/>
          <w:iCs/>
        </w:rPr>
        <w:t>Mekhail v Hana; Mekail v Hana; In the Estate of Nadia Mekhail</w:t>
      </w:r>
      <w:r w:rsidRPr="00675D56">
        <w:rPr>
          <w:rFonts w:asciiTheme="majorBidi" w:hAnsiTheme="majorBidi" w:cstheme="majorBidi"/>
        </w:rPr>
        <w:t xml:space="preserve"> (No 3) [2018] NSWSC 1452 (5 October 2018); </w:t>
      </w:r>
      <w:r w:rsidRPr="00675D56">
        <w:rPr>
          <w:rFonts w:asciiTheme="majorBidi" w:hAnsiTheme="majorBidi" w:cstheme="majorBidi"/>
          <w:i/>
          <w:iCs/>
        </w:rPr>
        <w:t>Rogic v Samaan</w:t>
      </w:r>
      <w:r w:rsidRPr="00675D56">
        <w:rPr>
          <w:rFonts w:asciiTheme="majorBidi" w:hAnsiTheme="majorBidi" w:cstheme="majorBidi"/>
        </w:rPr>
        <w:t xml:space="preserve"> [2018] NSWSC 1464 (28 September 2018); </w:t>
      </w:r>
      <w:r w:rsidRPr="00675D56">
        <w:rPr>
          <w:rFonts w:asciiTheme="majorBidi" w:hAnsiTheme="majorBidi" w:cstheme="majorBidi"/>
          <w:i/>
          <w:iCs/>
        </w:rPr>
        <w:t>Papas v Co</w:t>
      </w:r>
      <w:r w:rsidRPr="00675D56">
        <w:rPr>
          <w:rFonts w:asciiTheme="majorBidi" w:hAnsiTheme="majorBidi" w:cstheme="majorBidi"/>
        </w:rPr>
        <w:t xml:space="preserve"> [2018] NSWSC 1404 (12 September 2018); </w:t>
      </w:r>
      <w:r w:rsidRPr="00675D56">
        <w:rPr>
          <w:rFonts w:asciiTheme="majorBidi" w:hAnsiTheme="majorBidi" w:cstheme="majorBidi"/>
          <w:i/>
          <w:iCs/>
        </w:rPr>
        <w:t>Amos v Hogg</w:t>
      </w:r>
      <w:r w:rsidRPr="00675D56">
        <w:rPr>
          <w:rFonts w:asciiTheme="majorBidi" w:hAnsiTheme="majorBidi" w:cstheme="majorBidi"/>
        </w:rPr>
        <w:t xml:space="preserve"> [2018] NSWSC 1226 (15 August 2018); </w:t>
      </w:r>
      <w:r w:rsidRPr="00675D56">
        <w:rPr>
          <w:rFonts w:asciiTheme="majorBidi" w:hAnsiTheme="majorBidi" w:cstheme="majorBidi"/>
          <w:i/>
          <w:iCs/>
        </w:rPr>
        <w:t>Sergent v Glass</w:t>
      </w:r>
      <w:r w:rsidRPr="00675D56">
        <w:rPr>
          <w:rFonts w:asciiTheme="majorBidi" w:hAnsiTheme="majorBidi" w:cstheme="majorBidi"/>
        </w:rPr>
        <w:t xml:space="preserve"> (No 2) [2018] NSWSC 1100 (18 July 2018); </w:t>
      </w:r>
      <w:r w:rsidRPr="00675D56">
        <w:rPr>
          <w:rFonts w:asciiTheme="majorBidi" w:hAnsiTheme="majorBidi" w:cstheme="majorBidi"/>
          <w:i/>
          <w:iCs/>
        </w:rPr>
        <w:t>Steinmetz v Shannon</w:t>
      </w:r>
      <w:r w:rsidRPr="00675D56">
        <w:rPr>
          <w:rFonts w:asciiTheme="majorBidi" w:hAnsiTheme="majorBidi" w:cstheme="majorBidi"/>
        </w:rPr>
        <w:t xml:space="preserve"> [2018] NSWSC 1090 (16 July 2018); </w:t>
      </w:r>
      <w:r w:rsidRPr="00675D56">
        <w:rPr>
          <w:rFonts w:asciiTheme="majorBidi" w:hAnsiTheme="majorBidi" w:cstheme="majorBidi"/>
          <w:i/>
          <w:iCs/>
        </w:rPr>
        <w:t>Re Estate Grant, deceased</w:t>
      </w:r>
      <w:r w:rsidRPr="00675D56">
        <w:rPr>
          <w:rFonts w:asciiTheme="majorBidi" w:hAnsiTheme="majorBidi" w:cstheme="majorBidi"/>
        </w:rPr>
        <w:t xml:space="preserve"> [2018] NSWSC 1031 (5 July 2018); </w:t>
      </w:r>
      <w:r w:rsidRPr="00675D56">
        <w:rPr>
          <w:rFonts w:asciiTheme="majorBidi" w:hAnsiTheme="majorBidi" w:cstheme="majorBidi"/>
          <w:i/>
          <w:iCs/>
        </w:rPr>
        <w:t>Gargano v Coves</w:t>
      </w:r>
      <w:r w:rsidRPr="00675D56">
        <w:rPr>
          <w:rFonts w:asciiTheme="majorBidi" w:hAnsiTheme="majorBidi" w:cstheme="majorBidi"/>
        </w:rPr>
        <w:t xml:space="preserve"> [2018] NSWSC 985 (3 July 2018); </w:t>
      </w:r>
      <w:r w:rsidRPr="00675D56">
        <w:rPr>
          <w:rFonts w:asciiTheme="majorBidi" w:hAnsiTheme="majorBidi" w:cstheme="majorBidi"/>
          <w:i/>
          <w:iCs/>
        </w:rPr>
        <w:t>Katramados v Hasapis</w:t>
      </w:r>
      <w:r w:rsidRPr="00675D56">
        <w:rPr>
          <w:rFonts w:asciiTheme="majorBidi" w:hAnsiTheme="majorBidi" w:cstheme="majorBidi"/>
        </w:rPr>
        <w:t xml:space="preserve"> [2018] NSWSC 948 (22 June 2018); </w:t>
      </w:r>
      <w:r w:rsidRPr="00675D56">
        <w:rPr>
          <w:rFonts w:asciiTheme="majorBidi" w:hAnsiTheme="majorBidi" w:cstheme="majorBidi"/>
          <w:i/>
          <w:iCs/>
        </w:rPr>
        <w:t>Cooper v Cooper</w:t>
      </w:r>
      <w:r w:rsidRPr="00675D56">
        <w:rPr>
          <w:rFonts w:asciiTheme="majorBidi" w:hAnsiTheme="majorBidi" w:cstheme="majorBidi"/>
        </w:rPr>
        <w:t xml:space="preserve"> [2018] NSWSC 851 (14 June 2018); </w:t>
      </w:r>
      <w:r w:rsidRPr="00675D56">
        <w:rPr>
          <w:rFonts w:asciiTheme="majorBidi" w:hAnsiTheme="majorBidi" w:cstheme="majorBidi"/>
          <w:i/>
          <w:iCs/>
        </w:rPr>
        <w:t>Philpott v Pantos</w:t>
      </w:r>
      <w:r w:rsidRPr="00675D56">
        <w:rPr>
          <w:rFonts w:asciiTheme="majorBidi" w:hAnsiTheme="majorBidi" w:cstheme="majorBidi"/>
        </w:rPr>
        <w:t xml:space="preserve"> [2018] NSWSC 852 (14 June 2018); </w:t>
      </w:r>
      <w:r w:rsidRPr="00675D56">
        <w:rPr>
          <w:rFonts w:asciiTheme="majorBidi" w:hAnsiTheme="majorBidi" w:cstheme="majorBidi"/>
          <w:i/>
          <w:iCs/>
        </w:rPr>
        <w:t>Justin Barker v Gordon Albert Salier</w:t>
      </w:r>
      <w:r w:rsidRPr="00675D56">
        <w:rPr>
          <w:rFonts w:asciiTheme="majorBidi" w:hAnsiTheme="majorBidi" w:cstheme="majorBidi"/>
        </w:rPr>
        <w:t xml:space="preserve"> [2018] NSWSC 798 (24 May 2018); </w:t>
      </w:r>
      <w:r w:rsidRPr="00675D56">
        <w:rPr>
          <w:rFonts w:asciiTheme="majorBidi" w:hAnsiTheme="majorBidi" w:cstheme="majorBidi"/>
          <w:i/>
          <w:iCs/>
        </w:rPr>
        <w:t>Sariban v Pocock; Pocock v Peipman</w:t>
      </w:r>
      <w:r w:rsidRPr="00675D56">
        <w:rPr>
          <w:rFonts w:asciiTheme="majorBidi" w:hAnsiTheme="majorBidi" w:cstheme="majorBidi"/>
        </w:rPr>
        <w:t xml:space="preserve"> [2018] NSWSC 724 (24 May 2018); </w:t>
      </w:r>
      <w:r w:rsidRPr="00675D56">
        <w:rPr>
          <w:rFonts w:asciiTheme="majorBidi" w:hAnsiTheme="majorBidi" w:cstheme="majorBidi"/>
          <w:i/>
          <w:iCs/>
        </w:rPr>
        <w:t>Wright v Burg</w:t>
      </w:r>
      <w:r w:rsidRPr="00675D56">
        <w:rPr>
          <w:rFonts w:asciiTheme="majorBidi" w:hAnsiTheme="majorBidi" w:cstheme="majorBidi"/>
        </w:rPr>
        <w:t xml:space="preserve"> [2018] NSWSC 595 (7 May 2018); </w:t>
      </w:r>
      <w:r w:rsidRPr="00675D56">
        <w:rPr>
          <w:rFonts w:asciiTheme="majorBidi" w:hAnsiTheme="majorBidi" w:cstheme="majorBidi"/>
          <w:i/>
          <w:iCs/>
        </w:rPr>
        <w:t>Beech v Squire</w:t>
      </w:r>
      <w:r w:rsidRPr="00675D56">
        <w:rPr>
          <w:rFonts w:asciiTheme="majorBidi" w:hAnsiTheme="majorBidi" w:cstheme="majorBidi"/>
        </w:rPr>
        <w:t xml:space="preserve"> [2018] NSWSC 594 (4 May 2018); </w:t>
      </w:r>
      <w:r w:rsidRPr="00675D56">
        <w:rPr>
          <w:rFonts w:asciiTheme="majorBidi" w:hAnsiTheme="majorBidi" w:cstheme="majorBidi"/>
          <w:i/>
          <w:iCs/>
        </w:rPr>
        <w:t>Harris v Harris</w:t>
      </w:r>
      <w:r w:rsidRPr="00675D56">
        <w:rPr>
          <w:rFonts w:asciiTheme="majorBidi" w:hAnsiTheme="majorBidi" w:cstheme="majorBidi"/>
        </w:rPr>
        <w:t xml:space="preserve"> [2018] NSWSC 552 (1 May 2018); </w:t>
      </w:r>
      <w:r w:rsidRPr="00675D56">
        <w:rPr>
          <w:rFonts w:asciiTheme="majorBidi" w:hAnsiTheme="majorBidi" w:cstheme="majorBidi"/>
          <w:i/>
          <w:iCs/>
        </w:rPr>
        <w:t>Webster v Strang; Steiner v Strang</w:t>
      </w:r>
      <w:r w:rsidRPr="00675D56">
        <w:rPr>
          <w:rFonts w:asciiTheme="majorBidi" w:hAnsiTheme="majorBidi" w:cstheme="majorBidi"/>
        </w:rPr>
        <w:t xml:space="preserve"> [2018] NSWSC 495 (23 April 2018); </w:t>
      </w:r>
      <w:r w:rsidRPr="00675D56">
        <w:rPr>
          <w:rFonts w:asciiTheme="majorBidi" w:hAnsiTheme="majorBidi" w:cstheme="majorBidi"/>
          <w:i/>
          <w:iCs/>
        </w:rPr>
        <w:t>Sloboda v Crawford</w:t>
      </w:r>
      <w:r w:rsidRPr="00675D56">
        <w:rPr>
          <w:rFonts w:asciiTheme="majorBidi" w:hAnsiTheme="majorBidi" w:cstheme="majorBidi"/>
        </w:rPr>
        <w:t xml:space="preserve"> [2018] NSWSC 483 (17 April 2018).</w:t>
      </w:r>
    </w:p>
  </w:footnote>
  <w:footnote w:id="307">
    <w:p w14:paraId="2929B21B" w14:textId="342E9C8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Re Estate Grant, deceased</w:t>
      </w:r>
      <w:r w:rsidRPr="00675D56">
        <w:rPr>
          <w:rFonts w:asciiTheme="majorBidi" w:hAnsiTheme="majorBidi" w:cstheme="majorBidi"/>
        </w:rPr>
        <w:t xml:space="preserve"> [2018] NSWSC 1031 (5 July 2018).</w:t>
      </w:r>
    </w:p>
  </w:footnote>
  <w:footnote w:id="308">
    <w:p w14:paraId="4B0451DD" w14:textId="2E56C8A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Cited in EUC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_Ref13343534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88</w:t>
      </w:r>
      <w:r w:rsidRPr="00675D56">
        <w:rPr>
          <w:rFonts w:asciiTheme="majorBidi" w:hAnsiTheme="majorBidi" w:cstheme="majorBidi"/>
        </w:rPr>
        <w:fldChar w:fldCharType="end"/>
      </w:r>
      <w:r w:rsidRPr="00675D56">
        <w:rPr>
          <w:rFonts w:asciiTheme="majorBidi" w:hAnsiTheme="majorBidi" w:cstheme="majorBidi"/>
        </w:rPr>
        <w:t>) 71.</w:t>
      </w:r>
    </w:p>
  </w:footnote>
  <w:footnote w:id="309">
    <w:p w14:paraId="50B2F444" w14:textId="35301B9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73.</w:t>
      </w:r>
    </w:p>
  </w:footnote>
  <w:footnote w:id="310">
    <w:p w14:paraId="1CB2606B" w14:textId="617D05E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LRCBC, (n </w:t>
      </w:r>
      <w:r w:rsidRPr="00675D56">
        <w:rPr>
          <w:rFonts w:asciiTheme="majorBidi" w:hAnsiTheme="majorBidi" w:cstheme="majorBidi"/>
        </w:rPr>
        <w:fldChar w:fldCharType="begin"/>
      </w:r>
      <w:r w:rsidRPr="00675D56">
        <w:rPr>
          <w:rFonts w:asciiTheme="majorBidi" w:hAnsiTheme="majorBidi" w:cstheme="majorBidi"/>
        </w:rPr>
        <w:instrText xml:space="preserve"> NOTEREF _Ref13329063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143</w:t>
      </w:r>
      <w:r w:rsidRPr="00675D56">
        <w:rPr>
          <w:rFonts w:asciiTheme="majorBidi" w:hAnsiTheme="majorBidi" w:cstheme="majorBidi"/>
        </w:rPr>
        <w:fldChar w:fldCharType="end"/>
      </w:r>
      <w:r w:rsidRPr="00675D56">
        <w:rPr>
          <w:rFonts w:asciiTheme="majorBidi" w:hAnsiTheme="majorBidi" w:cstheme="majorBidi"/>
        </w:rPr>
        <w:t xml:space="preserve">) 39, cited in Scottish Law Commission (2007) (n </w:t>
      </w:r>
      <w:r w:rsidRPr="00675D56">
        <w:rPr>
          <w:rFonts w:asciiTheme="majorBidi" w:hAnsiTheme="majorBidi" w:cstheme="majorBidi"/>
        </w:rPr>
        <w:fldChar w:fldCharType="begin"/>
      </w:r>
      <w:r w:rsidRPr="00675D56">
        <w:rPr>
          <w:rFonts w:asciiTheme="majorBidi" w:hAnsiTheme="majorBidi" w:cstheme="majorBidi"/>
        </w:rPr>
        <w:instrText xml:space="preserve"> NOTEREF _Ref13063421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118</w:t>
      </w:r>
      <w:r w:rsidRPr="00675D56">
        <w:rPr>
          <w:rFonts w:asciiTheme="majorBidi" w:hAnsiTheme="majorBidi" w:cstheme="majorBidi"/>
        </w:rPr>
        <w:fldChar w:fldCharType="end"/>
      </w:r>
      <w:r w:rsidRPr="00675D56">
        <w:rPr>
          <w:rFonts w:asciiTheme="majorBidi" w:hAnsiTheme="majorBidi" w:cstheme="majorBidi"/>
        </w:rPr>
        <w:t xml:space="preserve">) [4.15]. The Scottish Law Commission did not propose that pre-death gifts be able to be disturbed due to the uncertainties this would create, endorsing the NSWLRC’s description of this as the ‘social evil of insecure titles’: Scottish Law Commission (2007) (n </w:t>
      </w:r>
      <w:r w:rsidRPr="00675D56">
        <w:rPr>
          <w:rFonts w:asciiTheme="majorBidi" w:hAnsiTheme="majorBidi" w:cstheme="majorBidi"/>
        </w:rPr>
        <w:fldChar w:fldCharType="begin"/>
      </w:r>
      <w:r w:rsidRPr="00675D56">
        <w:rPr>
          <w:rFonts w:asciiTheme="majorBidi" w:hAnsiTheme="majorBidi" w:cstheme="majorBidi"/>
        </w:rPr>
        <w:instrText xml:space="preserve"> NOTEREF _Ref13063421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118</w:t>
      </w:r>
      <w:r w:rsidRPr="00675D56">
        <w:rPr>
          <w:rFonts w:asciiTheme="majorBidi" w:hAnsiTheme="majorBidi" w:cstheme="majorBidi"/>
        </w:rPr>
        <w:fldChar w:fldCharType="end"/>
      </w:r>
      <w:r w:rsidRPr="00675D56">
        <w:rPr>
          <w:rFonts w:asciiTheme="majorBidi" w:hAnsiTheme="majorBidi" w:cstheme="majorBidi"/>
        </w:rPr>
        <w:t>) [4.20].</w:t>
      </w:r>
    </w:p>
  </w:footnote>
  <w:footnote w:id="311">
    <w:p w14:paraId="62C96EFC" w14:textId="4D02FFB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_Ref1905366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194</w:t>
      </w:r>
      <w:r w:rsidRPr="00675D56">
        <w:rPr>
          <w:rFonts w:asciiTheme="majorBidi" w:hAnsiTheme="majorBidi" w:cstheme="majorBidi"/>
        </w:rPr>
        <w:fldChar w:fldCharType="end"/>
      </w:r>
      <w:r w:rsidRPr="00675D56">
        <w:rPr>
          <w:rFonts w:asciiTheme="majorBidi" w:hAnsiTheme="majorBidi" w:cstheme="majorBidi"/>
        </w:rPr>
        <w:t>) [6.178]–[6.179].</w:t>
      </w:r>
    </w:p>
  </w:footnote>
  <w:footnote w:id="312">
    <w:p w14:paraId="01917FA4" w14:textId="62FDB1F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SALRI (n </w:t>
      </w:r>
      <w:r w:rsidRPr="00675D56">
        <w:rPr>
          <w:rFonts w:asciiTheme="majorBidi" w:hAnsiTheme="majorBidi" w:cstheme="majorBidi"/>
        </w:rPr>
        <w:fldChar w:fldCharType="begin"/>
      </w:r>
      <w:r w:rsidRPr="00675D56">
        <w:rPr>
          <w:rFonts w:asciiTheme="majorBidi" w:hAnsiTheme="majorBidi" w:cstheme="majorBidi"/>
        </w:rPr>
        <w:instrText xml:space="preserve"> NOTEREF _Ref2255831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202</w:t>
      </w:r>
      <w:r w:rsidRPr="00675D56">
        <w:rPr>
          <w:rFonts w:asciiTheme="majorBidi" w:hAnsiTheme="majorBidi" w:cstheme="majorBidi"/>
        </w:rPr>
        <w:fldChar w:fldCharType="end"/>
      </w:r>
      <w:r w:rsidRPr="00675D56">
        <w:rPr>
          <w:rFonts w:asciiTheme="majorBidi" w:hAnsiTheme="majorBidi" w:cstheme="majorBidi"/>
        </w:rPr>
        <w:t>) [8.2.3].</w:t>
      </w:r>
    </w:p>
  </w:footnote>
  <w:footnote w:id="313">
    <w:p w14:paraId="45805D67"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Alice Grubb, Phillipa Alexander, Justin McMullen, Elder Law Committee, Submission #1I, Essen Bradbury.</w:t>
      </w:r>
    </w:p>
  </w:footnote>
  <w:footnote w:id="314">
    <w:p w14:paraId="1675AB9E" w14:textId="07EAF0E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This view was also expressed by the VLRC: </w:t>
      </w:r>
      <w:bookmarkStart w:id="141" w:name="_Hlk11401464"/>
      <w:r w:rsidRPr="00675D56">
        <w:rPr>
          <w:rFonts w:asciiTheme="majorBidi" w:hAnsiTheme="majorBidi" w:cstheme="majorBidi"/>
        </w:rPr>
        <w:t xml:space="preserve">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_Ref1905366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194</w:t>
      </w:r>
      <w:r w:rsidRPr="00675D56">
        <w:rPr>
          <w:rFonts w:asciiTheme="majorBidi" w:hAnsiTheme="majorBidi" w:cstheme="majorBidi"/>
        </w:rPr>
        <w:fldChar w:fldCharType="end"/>
      </w:r>
      <w:r w:rsidRPr="00675D56">
        <w:rPr>
          <w:rFonts w:asciiTheme="majorBidi" w:hAnsiTheme="majorBidi" w:cstheme="majorBidi"/>
        </w:rPr>
        <w:t>) [6.175].</w:t>
      </w:r>
      <w:bookmarkEnd w:id="141"/>
    </w:p>
  </w:footnote>
  <w:footnote w:id="315">
    <w:p w14:paraId="07FC8499" w14:textId="42BB85C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Justin McMullen.</w:t>
      </w:r>
    </w:p>
  </w:footnote>
  <w:footnote w:id="316">
    <w:p w14:paraId="008499E4" w14:textId="2F07673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Essen Bradbury.</w:t>
      </w:r>
    </w:p>
  </w:footnote>
  <w:footnote w:id="317">
    <w:p w14:paraId="55D122D2" w14:textId="6289E00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#2I, Sam McCullough.</w:t>
      </w:r>
    </w:p>
  </w:footnote>
  <w:footnote w:id="318">
    <w:p w14:paraId="05B7EC21" w14:textId="4F3D737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Tilse et al (n </w:t>
      </w:r>
      <w:r w:rsidRPr="00675D56">
        <w:rPr>
          <w:rFonts w:asciiTheme="majorBidi" w:hAnsiTheme="majorBidi" w:cstheme="majorBidi"/>
        </w:rPr>
        <w:fldChar w:fldCharType="begin"/>
      </w:r>
      <w:r w:rsidRPr="00675D56">
        <w:rPr>
          <w:rFonts w:asciiTheme="majorBidi" w:hAnsiTheme="majorBidi" w:cstheme="majorBidi"/>
        </w:rPr>
        <w:instrText xml:space="preserve"> NOTEREF _Ref13331157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248</w:t>
      </w:r>
      <w:r w:rsidRPr="00675D56">
        <w:rPr>
          <w:rFonts w:asciiTheme="majorBidi" w:hAnsiTheme="majorBidi" w:cstheme="majorBidi"/>
        </w:rPr>
        <w:fldChar w:fldCharType="end"/>
      </w:r>
      <w:r w:rsidRPr="00675D56">
        <w:rPr>
          <w:rFonts w:asciiTheme="majorBidi" w:hAnsiTheme="majorBidi" w:cstheme="majorBidi"/>
        </w:rPr>
        <w:t>) 13.</w:t>
      </w:r>
    </w:p>
  </w:footnote>
  <w:footnote w:id="319">
    <w:p w14:paraId="5E02AE86" w14:textId="119E364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Alice Grubb, Justin McMullen, Essen Bradbury.</w:t>
      </w:r>
    </w:p>
  </w:footnote>
  <w:footnote w:id="320">
    <w:p w14:paraId="15822B8A" w14:textId="40D7468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NZLC (n </w:t>
      </w:r>
      <w:r w:rsidRPr="00675D56">
        <w:rPr>
          <w:rFonts w:asciiTheme="majorBidi" w:hAnsiTheme="majorBidi" w:cstheme="majorBidi"/>
        </w:rPr>
        <w:fldChar w:fldCharType="begin"/>
      </w:r>
      <w:r w:rsidRPr="00675D56">
        <w:rPr>
          <w:rFonts w:asciiTheme="majorBidi" w:hAnsiTheme="majorBidi" w:cstheme="majorBidi"/>
        </w:rPr>
        <w:instrText xml:space="preserve"> NOTEREF _Ref13331237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152</w:t>
      </w:r>
      <w:r w:rsidRPr="00675D56">
        <w:rPr>
          <w:rFonts w:asciiTheme="majorBidi" w:hAnsiTheme="majorBidi" w:cstheme="majorBidi"/>
        </w:rPr>
        <w:fldChar w:fldCharType="end"/>
      </w:r>
      <w:r w:rsidRPr="00675D56">
        <w:rPr>
          <w:rFonts w:asciiTheme="majorBidi" w:hAnsiTheme="majorBidi" w:cstheme="majorBidi"/>
        </w:rPr>
        <w:t>) [25].</w:t>
      </w:r>
    </w:p>
  </w:footnote>
  <w:footnote w:id="321">
    <w:p w14:paraId="6123C083" w14:textId="58C415B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This point has also been made by </w:t>
      </w:r>
      <w:bookmarkStart w:id="145" w:name="_Hlk11401399"/>
      <w:r>
        <w:rPr>
          <w:rFonts w:asciiTheme="majorBidi" w:hAnsiTheme="majorBidi" w:cstheme="majorBidi"/>
        </w:rPr>
        <w:t xml:space="preserve">the </w:t>
      </w:r>
      <w:r w:rsidRPr="00675D56">
        <w:rPr>
          <w:rFonts w:asciiTheme="majorBidi" w:hAnsiTheme="majorBidi" w:cstheme="majorBidi"/>
        </w:rPr>
        <w:t xml:space="preserve">LRCBC (n </w:t>
      </w:r>
      <w:r w:rsidRPr="00675D56">
        <w:rPr>
          <w:rFonts w:asciiTheme="majorBidi" w:hAnsiTheme="majorBidi" w:cstheme="majorBidi"/>
        </w:rPr>
        <w:fldChar w:fldCharType="begin"/>
      </w:r>
      <w:r w:rsidRPr="00675D56">
        <w:rPr>
          <w:rFonts w:asciiTheme="majorBidi" w:hAnsiTheme="majorBidi" w:cstheme="majorBidi"/>
        </w:rPr>
        <w:instrText xml:space="preserve"> NOTEREF _Ref13329063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143</w:t>
      </w:r>
      <w:r w:rsidRPr="00675D56">
        <w:rPr>
          <w:rFonts w:asciiTheme="majorBidi" w:hAnsiTheme="majorBidi" w:cstheme="majorBidi"/>
        </w:rPr>
        <w:fldChar w:fldCharType="end"/>
      </w:r>
      <w:r w:rsidRPr="00675D56">
        <w:rPr>
          <w:rFonts w:asciiTheme="majorBidi" w:hAnsiTheme="majorBidi" w:cstheme="majorBidi"/>
        </w:rPr>
        <w:t xml:space="preserve">) 20; and SALRI: SALRI (n </w:t>
      </w:r>
      <w:r w:rsidRPr="00675D56">
        <w:rPr>
          <w:rFonts w:asciiTheme="majorBidi" w:hAnsiTheme="majorBidi" w:cstheme="majorBidi"/>
        </w:rPr>
        <w:fldChar w:fldCharType="begin"/>
      </w:r>
      <w:r w:rsidRPr="00675D56">
        <w:rPr>
          <w:rFonts w:asciiTheme="majorBidi" w:hAnsiTheme="majorBidi" w:cstheme="majorBidi"/>
        </w:rPr>
        <w:instrText xml:space="preserve"> NOTEREF _Ref2255831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202</w:t>
      </w:r>
      <w:r w:rsidRPr="00675D56">
        <w:rPr>
          <w:rFonts w:asciiTheme="majorBidi" w:hAnsiTheme="majorBidi" w:cstheme="majorBidi"/>
        </w:rPr>
        <w:fldChar w:fldCharType="end"/>
      </w:r>
      <w:r w:rsidRPr="00675D56">
        <w:rPr>
          <w:rFonts w:asciiTheme="majorBidi" w:hAnsiTheme="majorBidi" w:cstheme="majorBidi"/>
        </w:rPr>
        <w:t>) [8.2.3].</w:t>
      </w:r>
    </w:p>
    <w:bookmarkEnd w:id="145"/>
  </w:footnote>
  <w:footnote w:id="322">
    <w:p w14:paraId="1266125C" w14:textId="6220A0F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Essen Bradbury, Geoffrey Nash, Tony Gray, Submission #11, Sam McCullough. This issue was also raised by some commentators when the Alberta Law Reform Institute considered reform to its </w:t>
      </w:r>
      <w:r w:rsidRPr="00675D56">
        <w:rPr>
          <w:rFonts w:asciiTheme="majorBidi" w:hAnsiTheme="majorBidi" w:cstheme="majorBidi"/>
          <w:i/>
          <w:iCs/>
        </w:rPr>
        <w:t>Matrimonial Property Act</w:t>
      </w:r>
      <w:r w:rsidRPr="00675D56">
        <w:rPr>
          <w:rFonts w:asciiTheme="majorBidi" w:hAnsiTheme="majorBidi" w:cstheme="majorBidi"/>
        </w:rPr>
        <w:t xml:space="preserve">: ALRI (n </w:t>
      </w:r>
      <w:r w:rsidRPr="00675D56">
        <w:rPr>
          <w:rFonts w:asciiTheme="majorBidi" w:hAnsiTheme="majorBidi" w:cstheme="majorBidi"/>
        </w:rPr>
        <w:fldChar w:fldCharType="begin"/>
      </w:r>
      <w:r w:rsidRPr="00675D56">
        <w:rPr>
          <w:rFonts w:asciiTheme="majorBidi" w:hAnsiTheme="majorBidi" w:cstheme="majorBidi"/>
        </w:rPr>
        <w:instrText xml:space="preserve"> NOTEREF _Ref13069149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82</w:t>
      </w:r>
      <w:r w:rsidRPr="00675D56">
        <w:rPr>
          <w:rFonts w:asciiTheme="majorBidi" w:hAnsiTheme="majorBidi" w:cstheme="majorBidi"/>
        </w:rPr>
        <w:fldChar w:fldCharType="end"/>
      </w:r>
      <w:r w:rsidRPr="00675D56">
        <w:rPr>
          <w:rFonts w:asciiTheme="majorBidi" w:hAnsiTheme="majorBidi" w:cstheme="majorBidi"/>
        </w:rPr>
        <w:t xml:space="preserve">) [423]. It has also been considered elsewhere: Scottish Law Commission (2007) (n </w:t>
      </w:r>
      <w:r w:rsidRPr="00675D56">
        <w:rPr>
          <w:rFonts w:asciiTheme="majorBidi" w:hAnsiTheme="majorBidi" w:cstheme="majorBidi"/>
        </w:rPr>
        <w:fldChar w:fldCharType="begin"/>
      </w:r>
      <w:r w:rsidRPr="00675D56">
        <w:rPr>
          <w:rFonts w:asciiTheme="majorBidi" w:hAnsiTheme="majorBidi" w:cstheme="majorBidi"/>
        </w:rPr>
        <w:instrText xml:space="preserve"> NOTEREF _Ref13063421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118</w:t>
      </w:r>
      <w:r w:rsidRPr="00675D56">
        <w:rPr>
          <w:rFonts w:asciiTheme="majorBidi" w:hAnsiTheme="majorBidi" w:cstheme="majorBidi"/>
        </w:rPr>
        <w:fldChar w:fldCharType="end"/>
      </w:r>
      <w:r w:rsidRPr="00675D56">
        <w:rPr>
          <w:rFonts w:asciiTheme="majorBidi" w:hAnsiTheme="majorBidi" w:cstheme="majorBidi"/>
        </w:rPr>
        <w:t>) [4.20]; EUC (n</w:t>
      </w:r>
      <w:r>
        <w:rPr>
          <w:rFonts w:asciiTheme="majorBidi" w:hAnsiTheme="majorBidi" w:cstheme="majorBidi"/>
        </w:rPr>
        <w:t> </w:t>
      </w:r>
      <w:r w:rsidRPr="00675D56">
        <w:rPr>
          <w:rFonts w:asciiTheme="majorBidi" w:hAnsiTheme="majorBidi" w:cstheme="majorBidi"/>
        </w:rPr>
        <w:fldChar w:fldCharType="begin"/>
      </w:r>
      <w:r w:rsidRPr="00675D56">
        <w:rPr>
          <w:rFonts w:asciiTheme="majorBidi" w:hAnsiTheme="majorBidi" w:cstheme="majorBidi"/>
        </w:rPr>
        <w:instrText xml:space="preserve"> NOTEREF _Ref13343534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88</w:t>
      </w:r>
      <w:r w:rsidRPr="00675D56">
        <w:rPr>
          <w:rFonts w:asciiTheme="majorBidi" w:hAnsiTheme="majorBidi" w:cstheme="majorBidi"/>
        </w:rPr>
        <w:fldChar w:fldCharType="end"/>
      </w:r>
      <w:r w:rsidRPr="00675D56">
        <w:rPr>
          <w:rFonts w:asciiTheme="majorBidi" w:hAnsiTheme="majorBidi" w:cstheme="majorBidi"/>
        </w:rPr>
        <w:t>) [89].</w:t>
      </w:r>
    </w:p>
  </w:footnote>
  <w:footnote w:id="323">
    <w:p w14:paraId="23AF1CFA" w14:textId="768F0F1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147" w:name="_Hlk11401534"/>
      <w:r w:rsidRPr="00675D56">
        <w:rPr>
          <w:rFonts w:asciiTheme="majorBidi" w:hAnsiTheme="majorBidi" w:cstheme="majorBidi"/>
        </w:rPr>
        <w:t xml:space="preserve">The Chancery Bar Association expressed concerns about the effect of ‘claw-back’ provisions upon inter vivos transactions in its submission to the EUC: EUC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_Ref13343534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88</w:t>
      </w:r>
      <w:r w:rsidRPr="00675D56">
        <w:rPr>
          <w:rFonts w:asciiTheme="majorBidi" w:hAnsiTheme="majorBidi" w:cstheme="majorBidi"/>
        </w:rPr>
        <w:fldChar w:fldCharType="end"/>
      </w:r>
      <w:r w:rsidRPr="00675D56">
        <w:rPr>
          <w:rFonts w:asciiTheme="majorBidi" w:hAnsiTheme="majorBidi" w:cstheme="majorBidi"/>
        </w:rPr>
        <w:t>) 60.</w:t>
      </w:r>
    </w:p>
    <w:bookmarkEnd w:id="147"/>
  </w:footnote>
  <w:footnote w:id="324">
    <w:p w14:paraId="32CB420F" w14:textId="6930E04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 [4.27].</w:t>
      </w:r>
    </w:p>
  </w:footnote>
  <w:footnote w:id="325">
    <w:p w14:paraId="69B21E24" w14:textId="7D945EB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#11.</w:t>
      </w:r>
    </w:p>
  </w:footnote>
  <w:footnote w:id="326">
    <w:p w14:paraId="09CB95C5" w14:textId="22F5F47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Nicola Peart, ‘New Zealand Report on New Developments in Succession Law’ (2010) 14(2) </w:t>
      </w:r>
      <w:r w:rsidRPr="00675D56">
        <w:rPr>
          <w:rFonts w:asciiTheme="majorBidi" w:hAnsiTheme="majorBidi" w:cstheme="majorBidi"/>
          <w:i/>
          <w:iCs/>
        </w:rPr>
        <w:t xml:space="preserve">Electronic Journal of Comparative Law </w:t>
      </w:r>
      <w:r w:rsidRPr="00675D56">
        <w:rPr>
          <w:rFonts w:asciiTheme="majorBidi" w:hAnsiTheme="majorBidi" w:cstheme="majorBidi"/>
        </w:rPr>
        <w:t xml:space="preserve">1, 22. See also Sylvia Villios and Natalie Williams, ‘Family Provision Law, Adult Children and the Age of Entitlement’ (2018) 39 </w:t>
      </w:r>
      <w:r w:rsidRPr="00675D56">
        <w:rPr>
          <w:rFonts w:asciiTheme="majorBidi" w:hAnsiTheme="majorBidi" w:cstheme="majorBidi"/>
          <w:i/>
          <w:iCs/>
        </w:rPr>
        <w:t>Adelaide Law Review</w:t>
      </w:r>
      <w:r w:rsidRPr="00675D56">
        <w:rPr>
          <w:rFonts w:asciiTheme="majorBidi" w:hAnsiTheme="majorBidi" w:cstheme="majorBidi"/>
        </w:rPr>
        <w:t xml:space="preserve"> 249, 258.</w:t>
      </w:r>
    </w:p>
  </w:footnote>
  <w:footnote w:id="327">
    <w:p w14:paraId="325FBBAB" w14:textId="1710F30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150" w:name="_Hlk11401611"/>
      <w:r w:rsidRPr="00675D56">
        <w:rPr>
          <w:rFonts w:asciiTheme="majorBidi" w:hAnsiTheme="majorBidi" w:cstheme="majorBidi"/>
        </w:rPr>
        <w:t>Justin McMullen, Elder Law Committee, Submission #11, Tony Gray</w:t>
      </w:r>
      <w:bookmarkEnd w:id="150"/>
      <w:r w:rsidRPr="00675D56">
        <w:rPr>
          <w:rFonts w:asciiTheme="majorBidi" w:hAnsiTheme="majorBidi" w:cstheme="majorBidi"/>
        </w:rPr>
        <w:t>.</w:t>
      </w:r>
    </w:p>
  </w:footnote>
  <w:footnote w:id="328">
    <w:p w14:paraId="52FE86FD" w14:textId="51F4643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See comments of </w:t>
      </w:r>
      <w:bookmarkStart w:id="151" w:name="_Hlk11401650"/>
      <w:r w:rsidRPr="00675D56">
        <w:rPr>
          <w:rFonts w:asciiTheme="majorBidi" w:hAnsiTheme="majorBidi" w:cstheme="majorBidi"/>
        </w:rPr>
        <w:t xml:space="preserve">Justice Hutley cited in 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_Ref13151169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209</w:t>
      </w:r>
      <w:r w:rsidRPr="00675D56">
        <w:rPr>
          <w:rFonts w:asciiTheme="majorBidi" w:hAnsiTheme="majorBidi" w:cstheme="majorBidi"/>
        </w:rPr>
        <w:fldChar w:fldCharType="end"/>
      </w:r>
      <w:r w:rsidRPr="00675D56">
        <w:rPr>
          <w:rFonts w:asciiTheme="majorBidi" w:hAnsiTheme="majorBidi" w:cstheme="majorBidi"/>
        </w:rPr>
        <w:t xml:space="preserve">) 23. </w:t>
      </w:r>
      <w:bookmarkEnd w:id="151"/>
      <w:r w:rsidRPr="00675D56">
        <w:rPr>
          <w:rFonts w:asciiTheme="majorBidi" w:hAnsiTheme="majorBidi" w:cstheme="majorBidi"/>
        </w:rPr>
        <w:t xml:space="preserve">This issue was also considered by the ALRI which concluded that the need for due diligence enquiries was not an ‘unsurmountable problem’: </w:t>
      </w:r>
      <w:bookmarkStart w:id="152" w:name="_Hlk11401704"/>
      <w:r w:rsidRPr="00675D56">
        <w:rPr>
          <w:rFonts w:asciiTheme="majorBidi" w:hAnsiTheme="majorBidi" w:cstheme="majorBidi"/>
        </w:rPr>
        <w:t xml:space="preserve">ALRI (n </w:t>
      </w:r>
      <w:r w:rsidRPr="00675D56">
        <w:rPr>
          <w:rFonts w:asciiTheme="majorBidi" w:hAnsiTheme="majorBidi" w:cstheme="majorBidi"/>
        </w:rPr>
        <w:fldChar w:fldCharType="begin"/>
      </w:r>
      <w:r w:rsidRPr="00675D56">
        <w:rPr>
          <w:rFonts w:asciiTheme="majorBidi" w:hAnsiTheme="majorBidi" w:cstheme="majorBidi"/>
        </w:rPr>
        <w:instrText xml:space="preserve"> NOTEREF _Ref13069149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82</w:t>
      </w:r>
      <w:r w:rsidRPr="00675D56">
        <w:rPr>
          <w:rFonts w:asciiTheme="majorBidi" w:hAnsiTheme="majorBidi" w:cstheme="majorBidi"/>
        </w:rPr>
        <w:fldChar w:fldCharType="end"/>
      </w:r>
      <w:r w:rsidRPr="00675D56">
        <w:rPr>
          <w:rFonts w:asciiTheme="majorBidi" w:hAnsiTheme="majorBidi" w:cstheme="majorBidi"/>
        </w:rPr>
        <w:t xml:space="preserve">) [426]. </w:t>
      </w:r>
      <w:bookmarkEnd w:id="152"/>
      <w:r w:rsidRPr="00675D56">
        <w:rPr>
          <w:rFonts w:asciiTheme="majorBidi" w:hAnsiTheme="majorBidi" w:cstheme="majorBidi"/>
        </w:rPr>
        <w:t xml:space="preserve">The issue of complexity and delay has also been noted by the </w:t>
      </w:r>
      <w:bookmarkStart w:id="153" w:name="_Hlk11401670"/>
      <w:r w:rsidRPr="00675D56">
        <w:rPr>
          <w:rFonts w:asciiTheme="majorBidi" w:hAnsiTheme="majorBidi" w:cstheme="majorBidi"/>
        </w:rPr>
        <w:t xml:space="preserve">Scottish Law Commission: Scottish Law Commission (2007) (n </w:t>
      </w:r>
      <w:r w:rsidRPr="00675D56">
        <w:rPr>
          <w:rFonts w:asciiTheme="majorBidi" w:hAnsiTheme="majorBidi" w:cstheme="majorBidi"/>
        </w:rPr>
        <w:fldChar w:fldCharType="begin"/>
      </w:r>
      <w:r w:rsidRPr="00675D56">
        <w:rPr>
          <w:rFonts w:asciiTheme="majorBidi" w:hAnsiTheme="majorBidi" w:cstheme="majorBidi"/>
        </w:rPr>
        <w:instrText xml:space="preserve"> NOTEREF _Ref13063421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118</w:t>
      </w:r>
      <w:r w:rsidRPr="00675D56">
        <w:rPr>
          <w:rFonts w:asciiTheme="majorBidi" w:hAnsiTheme="majorBidi" w:cstheme="majorBidi"/>
        </w:rPr>
        <w:fldChar w:fldCharType="end"/>
      </w:r>
      <w:r w:rsidRPr="00675D56">
        <w:rPr>
          <w:rFonts w:asciiTheme="majorBidi" w:hAnsiTheme="majorBidi" w:cstheme="majorBidi"/>
        </w:rPr>
        <w:t>) [4.16].</w:t>
      </w:r>
      <w:bookmarkEnd w:id="153"/>
    </w:p>
  </w:footnote>
  <w:footnote w:id="329">
    <w:p w14:paraId="7FA5AD51" w14:textId="40034D8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Justin McMullen.</w:t>
      </w:r>
    </w:p>
  </w:footnote>
  <w:footnote w:id="330">
    <w:p w14:paraId="044B9298" w14:textId="0E4B30B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155" w:name="_Hlk11401772"/>
      <w:r w:rsidRPr="00675D56">
        <w:rPr>
          <w:rFonts w:asciiTheme="majorBidi" w:hAnsiTheme="majorBidi" w:cstheme="majorBidi"/>
        </w:rPr>
        <w:t xml:space="preserve">Justice Lindsay (n </w:t>
      </w:r>
      <w:r w:rsidRPr="00675D56">
        <w:rPr>
          <w:rFonts w:asciiTheme="majorBidi" w:hAnsiTheme="majorBidi" w:cstheme="majorBidi"/>
        </w:rPr>
        <w:fldChar w:fldCharType="begin"/>
      </w:r>
      <w:r w:rsidRPr="00675D56">
        <w:rPr>
          <w:rFonts w:asciiTheme="majorBidi" w:hAnsiTheme="majorBidi" w:cstheme="majorBidi"/>
        </w:rPr>
        <w:instrText xml:space="preserve"> NOTEREF _Ref13403981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300</w:t>
      </w:r>
      <w:r w:rsidRPr="00675D56">
        <w:rPr>
          <w:rFonts w:asciiTheme="majorBidi" w:hAnsiTheme="majorBidi" w:cstheme="majorBidi"/>
        </w:rPr>
        <w:fldChar w:fldCharType="end"/>
      </w:r>
      <w:r w:rsidRPr="00675D56">
        <w:rPr>
          <w:rFonts w:asciiTheme="majorBidi" w:hAnsiTheme="majorBidi" w:cstheme="majorBidi"/>
        </w:rPr>
        <w:t>) [80]</w:t>
      </w:r>
      <w:bookmarkEnd w:id="155"/>
      <w:r w:rsidRPr="00675D56">
        <w:rPr>
          <w:rFonts w:asciiTheme="majorBidi" w:hAnsiTheme="majorBidi" w:cstheme="majorBidi"/>
        </w:rPr>
        <w:t>.</w:t>
      </w:r>
    </w:p>
  </w:footnote>
  <w:footnote w:id="331">
    <w:p w14:paraId="55E71413"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See </w:t>
      </w:r>
      <w:r w:rsidRPr="00675D56">
        <w:rPr>
          <w:rFonts w:asciiTheme="majorBidi" w:hAnsiTheme="majorBidi" w:cstheme="majorBidi"/>
          <w:i/>
          <w:iCs/>
        </w:rPr>
        <w:t>Powers of Attorney Act 2000</w:t>
      </w:r>
      <w:r w:rsidRPr="00675D56">
        <w:rPr>
          <w:rFonts w:asciiTheme="majorBidi" w:hAnsiTheme="majorBidi" w:cstheme="majorBidi"/>
        </w:rPr>
        <w:t xml:space="preserve"> (Tas). </w:t>
      </w:r>
    </w:p>
  </w:footnote>
  <w:footnote w:id="332">
    <w:p w14:paraId="1CF9F10D" w14:textId="52DD6C1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Although they have obligations to keep accurate records: </w:t>
      </w:r>
      <w:r w:rsidRPr="00675D56">
        <w:rPr>
          <w:rFonts w:asciiTheme="majorBidi" w:hAnsiTheme="majorBidi" w:cstheme="majorBidi"/>
          <w:iCs/>
        </w:rPr>
        <w:t>ibid</w:t>
      </w:r>
      <w:r w:rsidRPr="00675D56">
        <w:rPr>
          <w:rFonts w:asciiTheme="majorBidi" w:hAnsiTheme="majorBidi" w:cstheme="majorBidi"/>
        </w:rPr>
        <w:t xml:space="preserve"> s 32AD.</w:t>
      </w:r>
    </w:p>
  </w:footnote>
  <w:footnote w:id="333">
    <w:p w14:paraId="7BFD704D"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#11.</w:t>
      </w:r>
    </w:p>
  </w:footnote>
  <w:footnote w:id="334">
    <w:p w14:paraId="2EC485F3" w14:textId="1924E5E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157" w:name="_Hlk11401816"/>
      <w:r w:rsidRPr="00675D56">
        <w:rPr>
          <w:rFonts w:asciiTheme="majorBidi" w:hAnsiTheme="majorBidi" w:cstheme="majorBidi"/>
          <w:i/>
          <w:iCs/>
        </w:rPr>
        <w:t>Galt v Compagnon</w:t>
      </w:r>
      <w:r w:rsidRPr="00675D56">
        <w:rPr>
          <w:rFonts w:asciiTheme="majorBidi" w:hAnsiTheme="majorBidi" w:cstheme="majorBidi"/>
        </w:rPr>
        <w:t xml:space="preserve"> (NSWSC, Einstein J, 24 February 1998) 21, cited in </w:t>
      </w:r>
      <w:r w:rsidRPr="00675D56">
        <w:rPr>
          <w:rFonts w:asciiTheme="majorBidi" w:hAnsiTheme="majorBidi" w:cstheme="majorBidi"/>
          <w:i/>
          <w:iCs/>
        </w:rPr>
        <w:t>Kelly v Deluchi</w:t>
      </w:r>
      <w:r w:rsidRPr="00675D56">
        <w:rPr>
          <w:rFonts w:asciiTheme="majorBidi" w:hAnsiTheme="majorBidi" w:cstheme="majorBidi"/>
        </w:rPr>
        <w:t xml:space="preserve"> [2012] NSWSC 841, [138] (Hallen J).</w:t>
      </w:r>
    </w:p>
    <w:bookmarkEnd w:id="157"/>
  </w:footnote>
  <w:footnote w:id="335">
    <w:p w14:paraId="44538A1A"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158" w:name="_Hlk11401863"/>
      <w:r w:rsidRPr="00675D56">
        <w:rPr>
          <w:rStyle w:val="FootnoteTextTLRIChar"/>
          <w:rFonts w:asciiTheme="majorBidi" w:hAnsiTheme="majorBidi" w:cstheme="majorBidi"/>
          <w:i/>
          <w:iCs/>
          <w:szCs w:val="20"/>
        </w:rPr>
        <w:t>Re Estate Grant, deceased</w:t>
      </w:r>
      <w:r w:rsidRPr="00675D56">
        <w:rPr>
          <w:rStyle w:val="FootnoteTextTLRIChar"/>
          <w:rFonts w:asciiTheme="majorBidi" w:hAnsiTheme="majorBidi" w:cstheme="majorBidi"/>
          <w:szCs w:val="20"/>
        </w:rPr>
        <w:t xml:space="preserve"> [2018] NSWSC 1031, [201]. </w:t>
      </w:r>
      <w:bookmarkEnd w:id="158"/>
      <w:r w:rsidRPr="00675D56">
        <w:rPr>
          <w:rStyle w:val="FootnoteTextTLRIChar"/>
          <w:rFonts w:asciiTheme="majorBidi" w:hAnsiTheme="majorBidi" w:cstheme="majorBidi"/>
          <w:szCs w:val="20"/>
        </w:rPr>
        <w:t xml:space="preserve">It was noted that the following sections of the NSW </w:t>
      </w:r>
      <w:r w:rsidRPr="00675D56">
        <w:rPr>
          <w:rStyle w:val="FootnoteTextTLRIChar"/>
          <w:rFonts w:asciiTheme="majorBidi" w:hAnsiTheme="majorBidi" w:cstheme="majorBidi"/>
          <w:i/>
          <w:iCs/>
          <w:szCs w:val="20"/>
        </w:rPr>
        <w:t>Succession Act</w:t>
      </w:r>
      <w:r w:rsidRPr="00675D56">
        <w:rPr>
          <w:rStyle w:val="FootnoteTextTLRIChar"/>
          <w:rFonts w:asciiTheme="majorBidi" w:hAnsiTheme="majorBidi" w:cstheme="majorBidi"/>
          <w:szCs w:val="20"/>
        </w:rPr>
        <w:t xml:space="preserve"> required consideration: ss 63(5), 73(2), 74, 75(1), 76(1), 76(2)(e), 77(1), 78, 80(1), 80(2)(c), 80(3)(a), 83, 84, 86, 87, 88(c) and 89.</w:t>
      </w:r>
    </w:p>
  </w:footnote>
  <w:footnote w:id="336">
    <w:p w14:paraId="66675786" w14:textId="63D59EB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159" w:name="_Hlk11401886"/>
      <w:r w:rsidRPr="00675D56">
        <w:rPr>
          <w:rFonts w:asciiTheme="majorBidi" w:hAnsiTheme="majorBidi" w:cstheme="majorBidi"/>
        </w:rPr>
        <w:t xml:space="preserve">QLRC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_Ref13405638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71</w:t>
      </w:r>
      <w:r w:rsidRPr="00675D56">
        <w:rPr>
          <w:rFonts w:asciiTheme="majorBidi" w:hAnsiTheme="majorBidi" w:cstheme="majorBidi"/>
        </w:rPr>
        <w:fldChar w:fldCharType="end"/>
      </w:r>
      <w:r w:rsidRPr="00675D56">
        <w:rPr>
          <w:rFonts w:asciiTheme="majorBidi" w:hAnsiTheme="majorBidi" w:cstheme="majorBidi"/>
        </w:rPr>
        <w:t xml:space="preserve">) 80. </w:t>
      </w:r>
      <w:bookmarkEnd w:id="159"/>
      <w:r w:rsidRPr="00675D56">
        <w:rPr>
          <w:rFonts w:asciiTheme="majorBidi" w:hAnsiTheme="majorBidi" w:cstheme="majorBidi"/>
        </w:rPr>
        <w:t xml:space="preserve">Of this observation, SALRI has stated that it ‘considers this to be something of an understatement’: </w:t>
      </w:r>
      <w:bookmarkStart w:id="160" w:name="_Hlk11401912"/>
      <w:r w:rsidRPr="00675D56">
        <w:rPr>
          <w:rFonts w:asciiTheme="majorBidi" w:hAnsiTheme="majorBidi" w:cstheme="majorBidi"/>
        </w:rPr>
        <w:t xml:space="preserve">SALRI (n </w:t>
      </w:r>
      <w:r w:rsidRPr="00675D56">
        <w:rPr>
          <w:rFonts w:asciiTheme="majorBidi" w:hAnsiTheme="majorBidi" w:cstheme="majorBidi"/>
        </w:rPr>
        <w:fldChar w:fldCharType="begin"/>
      </w:r>
      <w:r w:rsidRPr="00675D56">
        <w:rPr>
          <w:rFonts w:asciiTheme="majorBidi" w:hAnsiTheme="majorBidi" w:cstheme="majorBidi"/>
        </w:rPr>
        <w:instrText xml:space="preserve"> NOTEREF _Ref2255831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202</w:t>
      </w:r>
      <w:r w:rsidRPr="00675D56">
        <w:rPr>
          <w:rFonts w:asciiTheme="majorBidi" w:hAnsiTheme="majorBidi" w:cstheme="majorBidi"/>
        </w:rPr>
        <w:fldChar w:fldCharType="end"/>
      </w:r>
      <w:r w:rsidRPr="00675D56">
        <w:rPr>
          <w:rFonts w:asciiTheme="majorBidi" w:hAnsiTheme="majorBidi" w:cstheme="majorBidi"/>
        </w:rPr>
        <w:t>) fn 502.</w:t>
      </w:r>
      <w:bookmarkEnd w:id="160"/>
    </w:p>
  </w:footnote>
  <w:footnote w:id="337">
    <w:p w14:paraId="0D84BAE8" w14:textId="57C1CDA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161" w:name="_Hlk11401951"/>
      <w:r w:rsidRPr="00675D56">
        <w:rPr>
          <w:rFonts w:asciiTheme="majorBidi" w:hAnsiTheme="majorBidi" w:cstheme="majorBidi"/>
        </w:rPr>
        <w:t>Treasurer, Tony Gray, Sam McCullough.</w:t>
      </w:r>
    </w:p>
    <w:bookmarkEnd w:id="161"/>
  </w:footnote>
  <w:footnote w:id="338">
    <w:p w14:paraId="1B8E7644" w14:textId="01CC274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Phillipa Alexander.</w:t>
      </w:r>
    </w:p>
  </w:footnote>
  <w:footnote w:id="339">
    <w:p w14:paraId="4F44DBED" w14:textId="1513EAE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164" w:name="_Hlk11402042"/>
      <w:r w:rsidRPr="00675D56">
        <w:rPr>
          <w:rFonts w:asciiTheme="majorBidi" w:hAnsiTheme="majorBidi" w:cstheme="majorBidi"/>
        </w:rPr>
        <w:t xml:space="preserve">See for example the case of </w:t>
      </w:r>
      <w:r w:rsidRPr="00675D56">
        <w:rPr>
          <w:rFonts w:asciiTheme="majorBidi" w:hAnsiTheme="majorBidi" w:cstheme="majorBidi"/>
          <w:i/>
          <w:shd w:val="clear" w:color="auto" w:fill="FFFFFF"/>
        </w:rPr>
        <w:t>Estate Grundy; La Valette v Chambers-Grundy</w:t>
      </w:r>
      <w:r w:rsidRPr="00675D56">
        <w:rPr>
          <w:rFonts w:asciiTheme="majorBidi" w:hAnsiTheme="majorBidi" w:cstheme="majorBidi"/>
          <w:shd w:val="clear" w:color="auto" w:fill="FFFFFF"/>
        </w:rPr>
        <w:t xml:space="preserve"> [2018] NSWSC 104 where extensive legal costs have been incurred (in unresolved litigation) by the plaintiff in seeking to identify all of the assets that may fall within her family provision claim. </w:t>
      </w:r>
    </w:p>
    <w:bookmarkEnd w:id="164"/>
  </w:footnote>
  <w:footnote w:id="340">
    <w:p w14:paraId="1FB5EA8B" w14:textId="5EA8624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On this point, it has been commented that: ‘The most radical complications [in the law of succession by the extension of claims against the estate] have been introduced in New South Wales. George Orwell’s Big Brother could not have done better than the reformers who entitled the Act which gave claims against the estate to mistresses and lovers, “The Family Provision Act 1982”. The Act might have been more properly entitled “The Act to Promote the Wasting of Estates by Litigation and Lawyers Provision Act 1982”.’: Francis Hutley, </w:t>
      </w:r>
      <w:r w:rsidRPr="00675D56">
        <w:rPr>
          <w:rFonts w:asciiTheme="majorBidi" w:hAnsiTheme="majorBidi" w:cstheme="majorBidi"/>
          <w:i/>
          <w:iCs/>
        </w:rPr>
        <w:t>Hutley, Woodham and Wood</w:t>
      </w:r>
      <w:r w:rsidRPr="00675D56">
        <w:rPr>
          <w:rFonts w:asciiTheme="majorBidi" w:hAnsiTheme="majorBidi" w:cstheme="majorBidi"/>
        </w:rPr>
        <w:t xml:space="preserve"> </w:t>
      </w:r>
      <w:r w:rsidRPr="00675D56">
        <w:rPr>
          <w:rFonts w:asciiTheme="majorBidi" w:hAnsiTheme="majorBidi" w:cstheme="majorBidi"/>
          <w:i/>
          <w:iCs/>
        </w:rPr>
        <w:t>Cases and Materials on Succession</w:t>
      </w:r>
      <w:r w:rsidRPr="00675D56">
        <w:rPr>
          <w:rFonts w:asciiTheme="majorBidi" w:hAnsiTheme="majorBidi" w:cstheme="majorBidi"/>
        </w:rPr>
        <w:t xml:space="preserve"> (Lawbook Co, 3</w:t>
      </w:r>
      <w:r w:rsidRPr="00675D56">
        <w:rPr>
          <w:rFonts w:asciiTheme="majorBidi" w:hAnsiTheme="majorBidi" w:cstheme="majorBidi"/>
          <w:vertAlign w:val="superscript"/>
        </w:rPr>
        <w:t>rd</w:t>
      </w:r>
      <w:r w:rsidRPr="00675D56">
        <w:rPr>
          <w:rFonts w:asciiTheme="majorBidi" w:hAnsiTheme="majorBidi" w:cstheme="majorBidi"/>
        </w:rPr>
        <w:t xml:space="preserve"> ed, 1984) v, cited in 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_Ref13410292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23</w:t>
      </w:r>
      <w:r w:rsidRPr="00675D56">
        <w:rPr>
          <w:rFonts w:asciiTheme="majorBidi" w:hAnsiTheme="majorBidi" w:cstheme="majorBidi"/>
        </w:rPr>
        <w:fldChar w:fldCharType="end"/>
      </w:r>
      <w:r w:rsidRPr="00675D56">
        <w:rPr>
          <w:rFonts w:asciiTheme="majorBidi" w:hAnsiTheme="majorBidi" w:cstheme="majorBidi"/>
        </w:rPr>
        <w:t>) 190.</w:t>
      </w:r>
    </w:p>
  </w:footnote>
  <w:footnote w:id="341">
    <w:p w14:paraId="77951406" w14:textId="3DBDBAD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[1.4.15] for an explanation of claims based on undue influence or unconscionability.</w:t>
      </w:r>
    </w:p>
  </w:footnote>
  <w:footnote w:id="342">
    <w:p w14:paraId="2D2E1960" w14:textId="6971EAE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[5.5.59] for an explanation of claims in equity.</w:t>
      </w:r>
    </w:p>
  </w:footnote>
  <w:footnote w:id="343">
    <w:p w14:paraId="59B90495" w14:textId="4A2AB00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Tony Gray, Submission #17, Elder Law Committee, Submission #11.</w:t>
      </w:r>
    </w:p>
  </w:footnote>
  <w:footnote w:id="344">
    <w:p w14:paraId="4297E55E" w14:textId="03D8A31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#11.</w:t>
      </w:r>
    </w:p>
  </w:footnote>
  <w:footnote w:id="345">
    <w:p w14:paraId="0442F34C" w14:textId="3B5CE7E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#17.</w:t>
      </w:r>
    </w:p>
  </w:footnote>
  <w:footnote w:id="346">
    <w:p w14:paraId="4297A937" w14:textId="5296CD9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Ben White et al, ‘Estate Contestation in Australia: An Empirical Study of a Year of Case Law’</w:t>
      </w:r>
      <w:r w:rsidRPr="00675D56">
        <w:rPr>
          <w:rFonts w:asciiTheme="majorBidi" w:hAnsiTheme="majorBidi" w:cstheme="majorBidi"/>
          <w:i/>
          <w:iCs/>
        </w:rPr>
        <w:t xml:space="preserve"> </w:t>
      </w:r>
      <w:r w:rsidRPr="00675D56">
        <w:rPr>
          <w:rFonts w:asciiTheme="majorBidi" w:hAnsiTheme="majorBidi" w:cstheme="majorBidi"/>
        </w:rPr>
        <w:t>(2015)</w:t>
      </w:r>
      <w:r w:rsidRPr="00675D56">
        <w:rPr>
          <w:rFonts w:asciiTheme="majorBidi" w:hAnsiTheme="majorBidi" w:cstheme="majorBidi"/>
          <w:i/>
          <w:iCs/>
        </w:rPr>
        <w:t xml:space="preserve"> </w:t>
      </w:r>
      <w:r w:rsidRPr="00675D56">
        <w:rPr>
          <w:rFonts w:asciiTheme="majorBidi" w:hAnsiTheme="majorBidi" w:cstheme="majorBidi"/>
        </w:rPr>
        <w:t xml:space="preserve">38 </w:t>
      </w:r>
      <w:r w:rsidRPr="00675D56">
        <w:rPr>
          <w:rFonts w:asciiTheme="majorBidi" w:hAnsiTheme="majorBidi" w:cstheme="majorBidi"/>
          <w:i/>
          <w:iCs/>
        </w:rPr>
        <w:t>University of new South Wales Law Journal</w:t>
      </w:r>
      <w:r w:rsidRPr="00675D56">
        <w:rPr>
          <w:rFonts w:asciiTheme="majorBidi" w:hAnsiTheme="majorBidi" w:cstheme="majorBidi"/>
        </w:rPr>
        <w:t xml:space="preserve"> 880.</w:t>
      </w:r>
    </w:p>
  </w:footnote>
  <w:footnote w:id="347">
    <w:p w14:paraId="4F438A4E" w14:textId="0C84688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903–904.</w:t>
      </w:r>
    </w:p>
  </w:footnote>
  <w:footnote w:id="348">
    <w:p w14:paraId="6D1DBEAE" w14:textId="51AACD5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_Ref13413555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5.2.5</w:t>
      </w:r>
      <w:r w:rsidRPr="00675D56">
        <w:rPr>
          <w:rFonts w:asciiTheme="majorBidi" w:hAnsiTheme="majorBidi" w:cstheme="majorBidi"/>
        </w:rPr>
        <w:fldChar w:fldCharType="end"/>
      </w:r>
      <w:r w:rsidRPr="00675D56">
        <w:rPr>
          <w:rFonts w:asciiTheme="majorBidi" w:hAnsiTheme="majorBidi" w:cstheme="majorBidi"/>
        </w:rPr>
        <w:t>].</w:t>
      </w:r>
    </w:p>
  </w:footnote>
  <w:footnote w:id="349">
    <w:p w14:paraId="29290C14"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Supreme Court of New South Wales, </w:t>
      </w:r>
      <w:r w:rsidRPr="00675D56">
        <w:rPr>
          <w:rFonts w:asciiTheme="majorBidi" w:hAnsiTheme="majorBidi" w:cstheme="majorBidi"/>
          <w:i/>
          <w:iCs/>
        </w:rPr>
        <w:t>2017 Annual Review</w:t>
      </w:r>
      <w:r w:rsidRPr="00675D56">
        <w:rPr>
          <w:rFonts w:asciiTheme="majorBidi" w:hAnsiTheme="majorBidi" w:cstheme="majorBidi"/>
        </w:rPr>
        <w:t xml:space="preserve"> 50.</w:t>
      </w:r>
    </w:p>
  </w:footnote>
  <w:footnote w:id="350">
    <w:p w14:paraId="60ABFE8E" w14:textId="01955563" w:rsidR="00C61533" w:rsidRPr="00675D56" w:rsidRDefault="00C61533" w:rsidP="00D117A5">
      <w:pPr>
        <w:pStyle w:val="FootnoteTextTLRI"/>
        <w:rPr>
          <w:rFonts w:asciiTheme="majorBidi" w:hAnsiTheme="majorBidi" w:cstheme="majorBidi"/>
          <w:lang w:val="en-US"/>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n </w:t>
      </w:r>
      <w:r w:rsidRPr="00675D56">
        <w:rPr>
          <w:rFonts w:asciiTheme="majorBidi" w:hAnsiTheme="majorBidi" w:cstheme="majorBidi"/>
        </w:rPr>
        <w:fldChar w:fldCharType="begin"/>
      </w:r>
      <w:r w:rsidRPr="00675D56">
        <w:rPr>
          <w:rFonts w:asciiTheme="majorBidi" w:hAnsiTheme="majorBidi" w:cstheme="majorBidi"/>
        </w:rPr>
        <w:instrText xml:space="preserve"> NOTEREF _Ref13413686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305</w:t>
      </w:r>
      <w:r w:rsidRPr="00675D56">
        <w:rPr>
          <w:rFonts w:asciiTheme="majorBidi" w:hAnsiTheme="majorBidi" w:cstheme="majorBidi"/>
        </w:rPr>
        <w:fldChar w:fldCharType="end"/>
      </w:r>
      <w:r w:rsidRPr="00675D56">
        <w:rPr>
          <w:rFonts w:asciiTheme="majorBidi" w:hAnsiTheme="majorBidi" w:cstheme="majorBidi"/>
        </w:rPr>
        <w:t xml:space="preserve">. </w:t>
      </w:r>
    </w:p>
  </w:footnote>
  <w:footnote w:id="351">
    <w:p w14:paraId="26C12047"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[2018] NSWSC 552.</w:t>
      </w:r>
    </w:p>
  </w:footnote>
  <w:footnote w:id="352">
    <w:p w14:paraId="36D920B2" w14:textId="217551A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#11, Elder Law Committee, Sam McCullough.</w:t>
      </w:r>
    </w:p>
  </w:footnote>
  <w:footnote w:id="353">
    <w:p w14:paraId="7733AE12" w14:textId="0D27B16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#17, Sam McCullough.</w:t>
      </w:r>
    </w:p>
  </w:footnote>
  <w:footnote w:id="354">
    <w:p w14:paraId="7FC13ECD"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#17.</w:t>
      </w:r>
    </w:p>
  </w:footnote>
  <w:footnote w:id="355">
    <w:p w14:paraId="5A00026F" w14:textId="71029EE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White et al (n </w:t>
      </w:r>
      <w:r w:rsidRPr="00675D56">
        <w:rPr>
          <w:rFonts w:asciiTheme="majorBidi" w:hAnsiTheme="majorBidi" w:cstheme="majorBidi"/>
        </w:rPr>
        <w:fldChar w:fldCharType="begin"/>
      </w:r>
      <w:r w:rsidRPr="00675D56">
        <w:rPr>
          <w:rFonts w:asciiTheme="majorBidi" w:hAnsiTheme="majorBidi" w:cstheme="majorBidi"/>
        </w:rPr>
        <w:instrText xml:space="preserve"> NOTEREF _Ref13416381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345</w:t>
      </w:r>
      <w:r w:rsidRPr="00675D56">
        <w:rPr>
          <w:rFonts w:asciiTheme="majorBidi" w:hAnsiTheme="majorBidi" w:cstheme="majorBidi"/>
        </w:rPr>
        <w:fldChar w:fldCharType="end"/>
      </w:r>
      <w:r w:rsidRPr="00675D56">
        <w:rPr>
          <w:rFonts w:asciiTheme="majorBidi" w:hAnsiTheme="majorBidi" w:cstheme="majorBidi"/>
        </w:rPr>
        <w:t>) 881.</w:t>
      </w:r>
    </w:p>
  </w:footnote>
  <w:footnote w:id="356">
    <w:p w14:paraId="4D6A3078" w14:textId="0C976BE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Cheryl Tilse et al, ‘Will-making prevalence and patterns in Australia: keeping it in the family’ (2015) 50(3) </w:t>
      </w:r>
      <w:r w:rsidRPr="00675D56">
        <w:rPr>
          <w:rFonts w:asciiTheme="majorBidi" w:hAnsiTheme="majorBidi" w:cstheme="majorBidi"/>
          <w:i/>
          <w:iCs/>
        </w:rPr>
        <w:t>Australian Journal of Social Issues</w:t>
      </w:r>
      <w:r w:rsidRPr="00675D56">
        <w:rPr>
          <w:rFonts w:asciiTheme="majorBidi" w:hAnsiTheme="majorBidi" w:cstheme="majorBidi"/>
        </w:rPr>
        <w:t xml:space="preserve"> 319, 322, references omitted. See also the comments of Justice Hallen in </w:t>
      </w:r>
      <w:r w:rsidRPr="00675D56">
        <w:rPr>
          <w:rFonts w:asciiTheme="majorBidi" w:hAnsiTheme="majorBidi" w:cstheme="majorBidi"/>
          <w:i/>
          <w:iCs/>
        </w:rPr>
        <w:t>Bolger v McDermott</w:t>
      </w:r>
      <w:r w:rsidRPr="00675D56">
        <w:rPr>
          <w:rFonts w:asciiTheme="majorBidi" w:hAnsiTheme="majorBidi" w:cstheme="majorBidi"/>
        </w:rPr>
        <w:t xml:space="preserve"> </w:t>
      </w:r>
      <w:hyperlink r:id="rId2" w:tooltip="View Case" w:history="1">
        <w:r w:rsidRPr="00675D56">
          <w:rPr>
            <w:rStyle w:val="Hyperlink"/>
            <w:rFonts w:asciiTheme="majorBidi" w:hAnsiTheme="majorBidi" w:cstheme="majorBidi"/>
            <w:color w:val="auto"/>
            <w:szCs w:val="20"/>
            <w:u w:val="none"/>
          </w:rPr>
          <w:t>[2013] NSWSC 919</w:t>
        </w:r>
      </w:hyperlink>
      <w:r w:rsidRPr="00675D56">
        <w:rPr>
          <w:rStyle w:val="Hyperlink"/>
          <w:rFonts w:asciiTheme="majorBidi" w:hAnsiTheme="majorBidi" w:cstheme="majorBidi"/>
          <w:color w:val="auto"/>
          <w:szCs w:val="20"/>
          <w:u w:val="none"/>
        </w:rPr>
        <w:t xml:space="preserve"> where his Honour stated at [1]: ‘</w:t>
      </w:r>
      <w:r w:rsidRPr="00675D56">
        <w:rPr>
          <w:rFonts w:asciiTheme="majorBidi" w:hAnsiTheme="majorBidi" w:cstheme="majorBidi"/>
        </w:rPr>
        <w:t xml:space="preserve">No dispute can be bloodier than when the blood, thicker than water, is spilled copiously in uncompromising and uncompromised litigation between [siblings] in a fight over their inheritance’, also referred to in </w:t>
      </w:r>
      <w:r w:rsidRPr="00675D56">
        <w:rPr>
          <w:rFonts w:asciiTheme="majorBidi" w:hAnsiTheme="majorBidi" w:cstheme="majorBidi"/>
          <w:i/>
          <w:iCs/>
        </w:rPr>
        <w:t>Sariban v Pocock; Pocock v Peipman</w:t>
      </w:r>
      <w:r w:rsidRPr="00675D56">
        <w:rPr>
          <w:rFonts w:asciiTheme="majorBidi" w:hAnsiTheme="majorBidi" w:cstheme="majorBidi"/>
        </w:rPr>
        <w:t xml:space="preserve"> [2018] NSWSC 724 (24 May 2018) [1] (Hallen</w:t>
      </w:r>
      <w:r>
        <w:rPr>
          <w:rFonts w:asciiTheme="majorBidi" w:hAnsiTheme="majorBidi" w:cstheme="majorBidi"/>
        </w:rPr>
        <w:t> </w:t>
      </w:r>
      <w:r w:rsidRPr="00675D56">
        <w:rPr>
          <w:rFonts w:asciiTheme="majorBidi" w:hAnsiTheme="majorBidi" w:cstheme="majorBidi"/>
        </w:rPr>
        <w:t>J).</w:t>
      </w:r>
    </w:p>
  </w:footnote>
  <w:footnote w:id="357">
    <w:p w14:paraId="7DD244C1"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TFM Act</w:t>
      </w:r>
      <w:r w:rsidRPr="00675D56">
        <w:rPr>
          <w:rFonts w:asciiTheme="majorBidi" w:hAnsiTheme="majorBidi" w:cstheme="majorBidi"/>
        </w:rPr>
        <w:t xml:space="preserve"> s 3A.</w:t>
      </w:r>
    </w:p>
  </w:footnote>
  <w:footnote w:id="358">
    <w:p w14:paraId="06A4A62A" w14:textId="2B220FD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For a useful summary of principles that the courts adopt when assessing claims by adult children, see </w:t>
      </w:r>
      <w:r w:rsidRPr="00675D56">
        <w:rPr>
          <w:rFonts w:asciiTheme="majorBidi" w:hAnsiTheme="majorBidi" w:cstheme="majorBidi"/>
          <w:i/>
          <w:iCs/>
        </w:rPr>
        <w:t>McDonald v O’Connor</w:t>
      </w:r>
      <w:r w:rsidRPr="00675D56">
        <w:rPr>
          <w:rFonts w:asciiTheme="majorBidi" w:hAnsiTheme="majorBidi" w:cstheme="majorBidi"/>
          <w:color w:val="333333"/>
          <w:spacing w:val="-8"/>
        </w:rPr>
        <w:t xml:space="preserve"> [</w:t>
      </w:r>
      <w:r w:rsidRPr="00675D56">
        <w:rPr>
          <w:rStyle w:val="FootnoteTextTLRIChar"/>
          <w:rFonts w:asciiTheme="majorBidi" w:hAnsiTheme="majorBidi" w:cstheme="majorBidi"/>
          <w:szCs w:val="20"/>
        </w:rPr>
        <w:t xml:space="preserve">2019] NSWSC 261, [283] (Hallen J). See also </w:t>
      </w:r>
      <w:r w:rsidRPr="00675D56">
        <w:rPr>
          <w:rStyle w:val="FootnoteTextTLRIChar"/>
          <w:rFonts w:asciiTheme="majorBidi" w:hAnsiTheme="majorBidi" w:cstheme="majorBidi"/>
          <w:i/>
          <w:iCs/>
          <w:szCs w:val="20"/>
        </w:rPr>
        <w:t>Bowditch v NSW Trustee and Guardian</w:t>
      </w:r>
      <w:r w:rsidRPr="00675D56">
        <w:rPr>
          <w:rStyle w:val="FootnoteTextTLRIChar"/>
          <w:rFonts w:asciiTheme="majorBidi" w:hAnsiTheme="majorBidi" w:cstheme="majorBidi"/>
          <w:szCs w:val="20"/>
        </w:rPr>
        <w:t xml:space="preserve"> [2012] NSWSC 275, [111].</w:t>
      </w:r>
    </w:p>
  </w:footnote>
  <w:footnote w:id="359">
    <w:p w14:paraId="75874B15" w14:textId="54C57DC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Submission 2I, Elder Law Committee, Justin McMullen.</w:t>
      </w:r>
    </w:p>
  </w:footnote>
  <w:footnote w:id="360">
    <w:p w14:paraId="62585CD0" w14:textId="7F858EC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White et al (n </w:t>
      </w:r>
      <w:r w:rsidRPr="00675D56">
        <w:rPr>
          <w:rFonts w:asciiTheme="majorBidi" w:hAnsiTheme="majorBidi" w:cstheme="majorBidi"/>
        </w:rPr>
        <w:fldChar w:fldCharType="begin"/>
      </w:r>
      <w:r w:rsidRPr="00675D56">
        <w:rPr>
          <w:rFonts w:asciiTheme="majorBidi" w:hAnsiTheme="majorBidi" w:cstheme="majorBidi"/>
        </w:rPr>
        <w:instrText xml:space="preserve"> NOTEREF _Ref13416381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345</w:t>
      </w:r>
      <w:r w:rsidRPr="00675D56">
        <w:rPr>
          <w:rFonts w:asciiTheme="majorBidi" w:hAnsiTheme="majorBidi" w:cstheme="majorBidi"/>
        </w:rPr>
        <w:fldChar w:fldCharType="end"/>
      </w:r>
      <w:r w:rsidRPr="00675D56">
        <w:rPr>
          <w:rFonts w:asciiTheme="majorBidi" w:hAnsiTheme="majorBidi" w:cstheme="majorBidi"/>
        </w:rPr>
        <w:t>).</w:t>
      </w:r>
    </w:p>
  </w:footnote>
  <w:footnote w:id="361">
    <w:p w14:paraId="72ED7EE3"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902.</w:t>
      </w:r>
    </w:p>
  </w:footnote>
  <w:footnote w:id="362">
    <w:p w14:paraId="1C29B6D0" w14:textId="01D4532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Villios and Williams (n </w:t>
      </w:r>
      <w:r w:rsidRPr="00675D56">
        <w:rPr>
          <w:rFonts w:asciiTheme="majorBidi" w:hAnsiTheme="majorBidi" w:cstheme="majorBidi"/>
        </w:rPr>
        <w:fldChar w:fldCharType="begin"/>
      </w:r>
      <w:r w:rsidRPr="00675D56">
        <w:rPr>
          <w:rFonts w:asciiTheme="majorBidi" w:hAnsiTheme="majorBidi" w:cstheme="majorBidi"/>
        </w:rPr>
        <w:instrText xml:space="preserve"> NOTEREF _Ref13417290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325</w:t>
      </w:r>
      <w:r w:rsidRPr="00675D56">
        <w:rPr>
          <w:rFonts w:asciiTheme="majorBidi" w:hAnsiTheme="majorBidi" w:cstheme="majorBidi"/>
        </w:rPr>
        <w:fldChar w:fldCharType="end"/>
      </w:r>
      <w:r w:rsidRPr="00675D56">
        <w:rPr>
          <w:rFonts w:asciiTheme="majorBidi" w:hAnsiTheme="majorBidi" w:cstheme="majorBidi"/>
        </w:rPr>
        <w:t>).</w:t>
      </w:r>
    </w:p>
  </w:footnote>
  <w:footnote w:id="363">
    <w:p w14:paraId="07571638" w14:textId="43909F1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_Ref13417339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5.5.43</w:t>
      </w:r>
      <w:r w:rsidRPr="00675D56">
        <w:rPr>
          <w:rFonts w:asciiTheme="majorBidi" w:hAnsiTheme="majorBidi" w:cstheme="majorBidi"/>
        </w:rPr>
        <w:fldChar w:fldCharType="end"/>
      </w:r>
      <w:r w:rsidRPr="00675D56">
        <w:rPr>
          <w:rFonts w:asciiTheme="majorBidi" w:hAnsiTheme="majorBidi" w:cstheme="majorBidi"/>
        </w:rPr>
        <w:t xml:space="preserve">]. </w:t>
      </w:r>
    </w:p>
  </w:footnote>
  <w:footnote w:id="364">
    <w:p w14:paraId="774E2917" w14:textId="0134230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See for example Peart (n </w:t>
      </w:r>
      <w:r w:rsidRPr="00675D56">
        <w:rPr>
          <w:rFonts w:asciiTheme="majorBidi" w:hAnsiTheme="majorBidi" w:cstheme="majorBidi"/>
        </w:rPr>
        <w:fldChar w:fldCharType="begin"/>
      </w:r>
      <w:r w:rsidRPr="00675D56">
        <w:rPr>
          <w:rFonts w:asciiTheme="majorBidi" w:hAnsiTheme="majorBidi" w:cstheme="majorBidi"/>
        </w:rPr>
        <w:instrText xml:space="preserve"> NOTEREF _Ref13417290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325</w:t>
      </w:r>
      <w:r w:rsidRPr="00675D56">
        <w:rPr>
          <w:rFonts w:asciiTheme="majorBidi" w:hAnsiTheme="majorBidi" w:cstheme="majorBidi"/>
        </w:rPr>
        <w:fldChar w:fldCharType="end"/>
      </w:r>
      <w:r w:rsidRPr="00675D56">
        <w:rPr>
          <w:rFonts w:asciiTheme="majorBidi" w:hAnsiTheme="majorBidi" w:cstheme="majorBidi"/>
        </w:rPr>
        <w:t xml:space="preserve">); 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_Ref13083698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179</w:t>
      </w:r>
      <w:r w:rsidRPr="00675D56">
        <w:rPr>
          <w:rFonts w:asciiTheme="majorBidi" w:hAnsiTheme="majorBidi" w:cstheme="majorBidi"/>
        </w:rPr>
        <w:fldChar w:fldCharType="end"/>
      </w:r>
      <w:r w:rsidRPr="00675D56">
        <w:rPr>
          <w:rFonts w:asciiTheme="majorBidi" w:hAnsiTheme="majorBidi" w:cstheme="majorBidi"/>
        </w:rPr>
        <w:t xml:space="preserve">). Croucher has stated that: ‘Family provision is, in my view, right out of hand. It is on a slippery slope where adults are concerned. I would clearly distinguish the position of partners/spouses from that of children. Marriages, or marriage-like relationships, are based on different logic than simply being a child (or analogous relationship) of someone. A good look at family provision legislation in its real context is needed — namely, what role does, and should, property play in families. Unless we seriously look at such questions then we will continue to tinker with the legislation, a bit this way, a bit that, and end up writing a blueprint for bludging.’: 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_Ref13410292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23</w:t>
      </w:r>
      <w:r w:rsidRPr="00675D56">
        <w:rPr>
          <w:rFonts w:asciiTheme="majorBidi" w:hAnsiTheme="majorBidi" w:cstheme="majorBidi"/>
        </w:rPr>
        <w:fldChar w:fldCharType="end"/>
      </w:r>
      <w:r w:rsidRPr="00675D56">
        <w:rPr>
          <w:rFonts w:asciiTheme="majorBidi" w:hAnsiTheme="majorBidi" w:cstheme="majorBidi"/>
        </w:rPr>
        <w:t xml:space="preserve">) 200. For further critique of family provision legislation and the trend of ‘questionable’ cases being successful, see Anthony Gray, ‘Family Provision Applications: A Critique’ (2017) 91 </w:t>
      </w:r>
      <w:r w:rsidRPr="00675D56">
        <w:rPr>
          <w:rFonts w:asciiTheme="majorBidi" w:hAnsiTheme="majorBidi" w:cstheme="majorBidi"/>
          <w:i/>
          <w:iCs/>
        </w:rPr>
        <w:t>Australian Law Journal</w:t>
      </w:r>
      <w:r w:rsidRPr="00675D56">
        <w:rPr>
          <w:rFonts w:asciiTheme="majorBidi" w:hAnsiTheme="majorBidi" w:cstheme="majorBidi"/>
        </w:rPr>
        <w:t xml:space="preserve"> 750; Villios and Williams (n </w:t>
      </w:r>
      <w:r w:rsidRPr="00675D56">
        <w:rPr>
          <w:rFonts w:asciiTheme="majorBidi" w:hAnsiTheme="majorBidi" w:cstheme="majorBidi"/>
        </w:rPr>
        <w:fldChar w:fldCharType="begin"/>
      </w:r>
      <w:r w:rsidRPr="00675D56">
        <w:rPr>
          <w:rFonts w:asciiTheme="majorBidi" w:hAnsiTheme="majorBidi" w:cstheme="majorBidi"/>
        </w:rPr>
        <w:instrText xml:space="preserve"> NOTEREF _Ref13417290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325</w:t>
      </w:r>
      <w:r w:rsidRPr="00675D56">
        <w:rPr>
          <w:rFonts w:asciiTheme="majorBidi" w:hAnsiTheme="majorBidi" w:cstheme="majorBidi"/>
        </w:rPr>
        <w:fldChar w:fldCharType="end"/>
      </w:r>
      <w:r w:rsidRPr="00675D56">
        <w:rPr>
          <w:rFonts w:asciiTheme="majorBidi" w:hAnsiTheme="majorBidi" w:cstheme="majorBidi"/>
        </w:rPr>
        <w:t xml:space="preserve">) 249. </w:t>
      </w:r>
    </w:p>
  </w:footnote>
  <w:footnote w:id="365">
    <w:p w14:paraId="678295D8" w14:textId="1741897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White et al (n </w:t>
      </w:r>
      <w:r w:rsidRPr="00675D56">
        <w:rPr>
          <w:rFonts w:asciiTheme="majorBidi" w:hAnsiTheme="majorBidi" w:cstheme="majorBidi"/>
        </w:rPr>
        <w:fldChar w:fldCharType="begin"/>
      </w:r>
      <w:r w:rsidRPr="00675D56">
        <w:rPr>
          <w:rFonts w:asciiTheme="majorBidi" w:hAnsiTheme="majorBidi" w:cstheme="majorBidi"/>
        </w:rPr>
        <w:instrText xml:space="preserve"> NOTEREF _Ref13416381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345</w:t>
      </w:r>
      <w:r w:rsidRPr="00675D56">
        <w:rPr>
          <w:rFonts w:asciiTheme="majorBidi" w:hAnsiTheme="majorBidi" w:cstheme="majorBidi"/>
        </w:rPr>
        <w:fldChar w:fldCharType="end"/>
      </w:r>
      <w:r w:rsidRPr="00675D56">
        <w:rPr>
          <w:rFonts w:asciiTheme="majorBidi" w:hAnsiTheme="majorBidi" w:cstheme="majorBidi"/>
        </w:rPr>
        <w:t>) 906.</w:t>
      </w:r>
    </w:p>
  </w:footnote>
  <w:footnote w:id="366">
    <w:p w14:paraId="17BB5FD4"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draft Family Provision Bill 2004 cl 7.</w:t>
      </w:r>
    </w:p>
  </w:footnote>
  <w:footnote w:id="367">
    <w:p w14:paraId="0A581220" w14:textId="607AB4A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Peart (n </w:t>
      </w:r>
      <w:r w:rsidRPr="00675D56">
        <w:rPr>
          <w:rFonts w:asciiTheme="majorBidi" w:hAnsiTheme="majorBidi" w:cstheme="majorBidi"/>
        </w:rPr>
        <w:fldChar w:fldCharType="begin"/>
      </w:r>
      <w:r w:rsidRPr="00675D56">
        <w:rPr>
          <w:rFonts w:asciiTheme="majorBidi" w:hAnsiTheme="majorBidi" w:cstheme="majorBidi"/>
        </w:rPr>
        <w:instrText xml:space="preserve"> NOTEREF _Ref13417290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325</w:t>
      </w:r>
      <w:r w:rsidRPr="00675D56">
        <w:rPr>
          <w:rFonts w:asciiTheme="majorBidi" w:hAnsiTheme="majorBidi" w:cstheme="majorBidi"/>
        </w:rPr>
        <w:fldChar w:fldCharType="end"/>
      </w:r>
      <w:r w:rsidRPr="00675D56">
        <w:rPr>
          <w:rFonts w:asciiTheme="majorBidi" w:hAnsiTheme="majorBidi" w:cstheme="majorBidi"/>
        </w:rPr>
        <w:t>) 21.</w:t>
      </w:r>
    </w:p>
  </w:footnote>
  <w:footnote w:id="368">
    <w:p w14:paraId="3578D339" w14:textId="77EC4BA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Appendix 2.</w:t>
      </w:r>
    </w:p>
  </w:footnote>
  <w:footnote w:id="369">
    <w:p w14:paraId="01B8EED8" w14:textId="6705DE9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See for example BCLI (n </w:t>
      </w:r>
      <w:r w:rsidRPr="00675D56">
        <w:rPr>
          <w:rFonts w:asciiTheme="majorBidi" w:hAnsiTheme="majorBidi" w:cstheme="majorBidi"/>
        </w:rPr>
        <w:fldChar w:fldCharType="begin"/>
      </w:r>
      <w:r w:rsidRPr="00675D56">
        <w:rPr>
          <w:rFonts w:asciiTheme="majorBidi" w:hAnsiTheme="majorBidi" w:cstheme="majorBidi"/>
        </w:rPr>
        <w:instrText xml:space="preserve"> NOTEREF _Ref13078127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128</w:t>
      </w:r>
      <w:r w:rsidRPr="00675D56">
        <w:rPr>
          <w:rFonts w:asciiTheme="majorBidi" w:hAnsiTheme="majorBidi" w:cstheme="majorBidi"/>
        </w:rPr>
        <w:fldChar w:fldCharType="end"/>
      </w:r>
      <w:r w:rsidRPr="00675D56">
        <w:rPr>
          <w:rFonts w:asciiTheme="majorBidi" w:hAnsiTheme="majorBidi" w:cstheme="majorBidi"/>
        </w:rPr>
        <w:t>) 186. The report comments, ‘[i]nterference with testamentary freedom based on a subjective assessment of moral obligation to leave a child a share of an estate, regardless of the child’s age or circumstances, has been rejected in this Project as a matter of policy’: at 187.</w:t>
      </w:r>
    </w:p>
  </w:footnote>
  <w:footnote w:id="370">
    <w:p w14:paraId="1332502C" w14:textId="7799188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Refer to [</w:t>
      </w:r>
      <w:r w:rsidRPr="00675D56">
        <w:rPr>
          <w:rFonts w:asciiTheme="majorBidi" w:hAnsiTheme="majorBidi" w:cstheme="majorBidi"/>
        </w:rPr>
        <w:fldChar w:fldCharType="begin"/>
      </w:r>
      <w:r w:rsidRPr="00675D56">
        <w:rPr>
          <w:rFonts w:asciiTheme="majorBidi" w:hAnsiTheme="majorBidi" w:cstheme="majorBidi"/>
        </w:rPr>
        <w:instrText xml:space="preserve"> REF _Ref13080479 \w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3.4.5</w:t>
      </w:r>
      <w:r w:rsidRPr="00675D56">
        <w:rPr>
          <w:rFonts w:asciiTheme="majorBidi" w:hAnsiTheme="majorBidi" w:cstheme="majorBidi"/>
        </w:rPr>
        <w:fldChar w:fldCharType="end"/>
      </w:r>
      <w:r w:rsidRPr="00675D56">
        <w:rPr>
          <w:rFonts w:asciiTheme="majorBidi" w:hAnsiTheme="majorBidi" w:cstheme="majorBidi"/>
        </w:rPr>
        <w:t>].</w:t>
      </w:r>
    </w:p>
  </w:footnote>
  <w:footnote w:id="371">
    <w:p w14:paraId="4E2E9E95" w14:textId="4989404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_Ref13080479 \w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3.4.5</w:t>
      </w:r>
      <w:r w:rsidRPr="00675D56">
        <w:rPr>
          <w:rFonts w:asciiTheme="majorBidi" w:hAnsiTheme="majorBidi" w:cstheme="majorBidi"/>
        </w:rPr>
        <w:fldChar w:fldCharType="end"/>
      </w:r>
      <w:r w:rsidRPr="00675D56">
        <w:rPr>
          <w:rFonts w:asciiTheme="majorBidi" w:hAnsiTheme="majorBidi" w:cstheme="majorBidi"/>
        </w:rPr>
        <w:t>].</w:t>
      </w:r>
    </w:p>
  </w:footnote>
  <w:footnote w:id="372">
    <w:p w14:paraId="173163B5" w14:textId="4D0087A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rPr>
        <w:t>Vigolo v Bostin</w:t>
      </w:r>
      <w:r w:rsidRPr="00675D56">
        <w:rPr>
          <w:rFonts w:asciiTheme="majorBidi" w:hAnsiTheme="majorBidi" w:cstheme="majorBidi"/>
        </w:rPr>
        <w:t xml:space="preserve"> (2005) 221 CLR 191, [25] (Gleeson CJ).</w:t>
      </w:r>
    </w:p>
  </w:footnote>
  <w:footnote w:id="373">
    <w:p w14:paraId="5CCAD04C" w14:textId="662A68E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Booth v Brooks</w:t>
      </w:r>
      <w:r w:rsidRPr="00675D56">
        <w:rPr>
          <w:rFonts w:asciiTheme="majorBidi" w:hAnsiTheme="majorBidi" w:cstheme="majorBidi"/>
        </w:rPr>
        <w:t xml:space="preserve"> [2018] TASSC 35 (24 July 2018) [52]–[56] (Holt AsJ).</w:t>
      </w:r>
    </w:p>
  </w:footnote>
  <w:footnote w:id="374">
    <w:p w14:paraId="0C1CD596" w14:textId="1D39ABB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Of the limited scope of this review, the Elder Law Committee commented: ‘The introduction of notional estates in isolation (i.e. without reviewing all succession laws and in particular the TFM Act) is not a well-rounded way of reviewing succession law.’</w:t>
      </w:r>
    </w:p>
  </w:footnote>
  <w:footnote w:id="375">
    <w:p w14:paraId="2B121141" w14:textId="36E44D4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Christine Schokman, Dexter Marcenko and Michael Flanagan. See [</w:t>
      </w:r>
      <w:r>
        <w:rPr>
          <w:rFonts w:asciiTheme="majorBidi" w:hAnsiTheme="majorBidi" w:cstheme="majorBidi"/>
        </w:rPr>
        <w:fldChar w:fldCharType="begin"/>
      </w:r>
      <w:r>
        <w:rPr>
          <w:rFonts w:asciiTheme="majorBidi" w:hAnsiTheme="majorBidi" w:cstheme="majorBidi"/>
        </w:rPr>
        <w:instrText xml:space="preserve"> REF _Ref13302887 \r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5.6.31</w:t>
      </w:r>
      <w:r>
        <w:rPr>
          <w:rFonts w:asciiTheme="majorBidi" w:hAnsiTheme="majorBidi" w:cstheme="majorBidi"/>
        </w:rPr>
        <w:fldChar w:fldCharType="end"/>
      </w:r>
      <w:r w:rsidRPr="00675D56">
        <w:rPr>
          <w:rFonts w:asciiTheme="majorBidi" w:hAnsiTheme="majorBidi" w:cstheme="majorBidi"/>
        </w:rPr>
        <w:t>] for extract of the example provided.</w:t>
      </w:r>
    </w:p>
  </w:footnote>
  <w:footnote w:id="376">
    <w:p w14:paraId="12D0A87D" w14:textId="028EA0F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Submission #1I</w:t>
      </w:r>
      <w:r>
        <w:rPr>
          <w:rFonts w:asciiTheme="majorBidi" w:hAnsiTheme="majorBidi" w:cstheme="majorBidi"/>
        </w:rPr>
        <w:t>.</w:t>
      </w:r>
    </w:p>
  </w:footnote>
  <w:footnote w:id="377">
    <w:p w14:paraId="7AFC580C" w14:textId="3561700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#1I.</w:t>
      </w:r>
    </w:p>
  </w:footnote>
  <w:footnote w:id="378">
    <w:p w14:paraId="4558864E" w14:textId="62CB86D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 [4.5].</w:t>
      </w:r>
    </w:p>
  </w:footnote>
  <w:footnote w:id="379">
    <w:p w14:paraId="711581F7" w14:textId="7D37F6E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Superannuation Industry (Supervision) Regulations 1994</w:t>
      </w:r>
      <w:r w:rsidRPr="00675D56">
        <w:rPr>
          <w:rFonts w:asciiTheme="majorBidi" w:hAnsiTheme="majorBidi" w:cstheme="majorBidi"/>
        </w:rPr>
        <w:t xml:space="preserve"> (Cth) Reg 6.17A.</w:t>
      </w:r>
    </w:p>
  </w:footnote>
  <w:footnote w:id="380">
    <w:p w14:paraId="65C35384" w14:textId="00F9DDD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173" w:name="_Hlk11402419"/>
      <w:r w:rsidRPr="00675D56">
        <w:rPr>
          <w:rFonts w:asciiTheme="majorBidi" w:hAnsiTheme="majorBidi" w:cstheme="majorBidi"/>
        </w:rPr>
        <w:t>Submission #2I, Elder Law Committee, Sam McCullough, James Walker.</w:t>
      </w:r>
    </w:p>
    <w:bookmarkEnd w:id="173"/>
  </w:footnote>
  <w:footnote w:id="381">
    <w:p w14:paraId="0A988368" w14:textId="20476F7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Elder Law Committee.</w:t>
      </w:r>
    </w:p>
  </w:footnote>
  <w:footnote w:id="382">
    <w:p w14:paraId="16902AFC"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Alice Grubb, Elder Law Committee, Submission #2I, Justin McMullen, Essen Bradbury, Sam McCullough.</w:t>
      </w:r>
    </w:p>
  </w:footnote>
  <w:footnote w:id="383">
    <w:p w14:paraId="1290B0F9" w14:textId="283E5CF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bookmarkStart w:id="175" w:name="_Hlk11402474"/>
      <w:r w:rsidRPr="00675D56">
        <w:rPr>
          <w:rFonts w:asciiTheme="majorBidi" w:hAnsiTheme="majorBidi" w:cstheme="majorBidi"/>
        </w:rPr>
        <w:tab/>
        <w:t xml:space="preserve">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_Ref12897342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72</w:t>
      </w:r>
      <w:r w:rsidRPr="00675D56">
        <w:rPr>
          <w:rFonts w:asciiTheme="majorBidi" w:hAnsiTheme="majorBidi" w:cstheme="majorBidi"/>
        </w:rPr>
        <w:fldChar w:fldCharType="end"/>
      </w:r>
      <w:r w:rsidRPr="00675D56">
        <w:rPr>
          <w:rFonts w:asciiTheme="majorBidi" w:hAnsiTheme="majorBidi" w:cstheme="majorBidi"/>
        </w:rPr>
        <w:t xml:space="preserve">) 50. The issue of avoidance was also considered by the Scottish Law Commission: Scottish Law Commission (n </w:t>
      </w:r>
      <w:r w:rsidRPr="00675D56">
        <w:rPr>
          <w:rFonts w:asciiTheme="majorBidi" w:hAnsiTheme="majorBidi" w:cstheme="majorBidi"/>
        </w:rPr>
        <w:fldChar w:fldCharType="begin"/>
      </w:r>
      <w:r w:rsidRPr="00675D56">
        <w:rPr>
          <w:rFonts w:asciiTheme="majorBidi" w:hAnsiTheme="majorBidi" w:cstheme="majorBidi"/>
        </w:rPr>
        <w:instrText xml:space="preserve"> NOTEREF _Ref13063421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118</w:t>
      </w:r>
      <w:r w:rsidRPr="00675D56">
        <w:rPr>
          <w:rFonts w:asciiTheme="majorBidi" w:hAnsiTheme="majorBidi" w:cstheme="majorBidi"/>
        </w:rPr>
        <w:fldChar w:fldCharType="end"/>
      </w:r>
      <w:r w:rsidRPr="00675D56">
        <w:rPr>
          <w:rFonts w:asciiTheme="majorBidi" w:hAnsiTheme="majorBidi" w:cstheme="majorBidi"/>
        </w:rPr>
        <w:t>) [1.20].</w:t>
      </w:r>
    </w:p>
    <w:bookmarkEnd w:id="175"/>
  </w:footnote>
  <w:footnote w:id="384">
    <w:p w14:paraId="2DD1B860" w14:textId="60AC394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#2I, Sam McCullough.</w:t>
      </w:r>
    </w:p>
  </w:footnote>
  <w:footnote w:id="385">
    <w:p w14:paraId="4D402174"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Submission #11.</w:t>
      </w:r>
    </w:p>
  </w:footnote>
  <w:footnote w:id="386">
    <w:p w14:paraId="22EF7FFC" w14:textId="134519E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Sam McCullough, James Walker, Essen Bradbury, Elder Law Committee.</w:t>
      </w:r>
    </w:p>
  </w:footnote>
  <w:footnote w:id="387">
    <w:p w14:paraId="51D48F93" w14:textId="27A07F3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Submission #10.</w:t>
      </w:r>
    </w:p>
  </w:footnote>
  <w:footnote w:id="388">
    <w:p w14:paraId="6E05E724" w14:textId="37FC71D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Sam McCullough </w:t>
      </w:r>
      <w:bookmarkStart w:id="177" w:name="_Hlk11402638"/>
      <w:r w:rsidRPr="00675D56">
        <w:rPr>
          <w:rFonts w:asciiTheme="majorBidi" w:hAnsiTheme="majorBidi" w:cstheme="majorBidi"/>
        </w:rPr>
        <w:t xml:space="preserve">referring to the example of </w:t>
      </w:r>
      <w:r w:rsidRPr="00675D56">
        <w:rPr>
          <w:rFonts w:asciiTheme="majorBidi" w:hAnsiTheme="majorBidi" w:cstheme="majorBidi"/>
          <w:i/>
          <w:iCs/>
        </w:rPr>
        <w:t>Hitchcock v Pratt</w:t>
      </w:r>
      <w:r w:rsidRPr="00675D56">
        <w:rPr>
          <w:rFonts w:asciiTheme="majorBidi" w:hAnsiTheme="majorBidi" w:cstheme="majorBidi"/>
        </w:rPr>
        <w:t xml:space="preserve"> [2010] NSWSC 1508.</w:t>
      </w:r>
    </w:p>
    <w:bookmarkEnd w:id="177"/>
  </w:footnote>
  <w:footnote w:id="389">
    <w:p w14:paraId="409B4E2E" w14:textId="17E207A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This observation has also been made by the NTLRC: NTLRC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_Ref13082189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183</w:t>
      </w:r>
      <w:r w:rsidRPr="00675D56">
        <w:rPr>
          <w:rFonts w:asciiTheme="majorBidi" w:hAnsiTheme="majorBidi" w:cstheme="majorBidi"/>
        </w:rPr>
        <w:fldChar w:fldCharType="end"/>
      </w:r>
      <w:r w:rsidRPr="00675D56">
        <w:rPr>
          <w:rFonts w:asciiTheme="majorBidi" w:hAnsiTheme="majorBidi" w:cstheme="majorBidi"/>
        </w:rPr>
        <w:t>) 6.</w:t>
      </w:r>
    </w:p>
  </w:footnote>
  <w:footnote w:id="390">
    <w:p w14:paraId="404EF525" w14:textId="036C522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#3, Essen Bradbury, Elder Law Committee.</w:t>
      </w:r>
    </w:p>
  </w:footnote>
  <w:footnote w:id="391">
    <w:p w14:paraId="0DB5D191" w14:textId="0531B52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_Ref13420469 \w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4.2.3</w:t>
      </w:r>
      <w:r w:rsidRPr="00675D56">
        <w:rPr>
          <w:rFonts w:asciiTheme="majorBidi" w:hAnsiTheme="majorBidi" w:cstheme="majorBidi"/>
        </w:rPr>
        <w:fldChar w:fldCharType="end"/>
      </w:r>
      <w:r w:rsidRPr="00675D56">
        <w:rPr>
          <w:rFonts w:asciiTheme="majorBidi" w:hAnsiTheme="majorBidi" w:cstheme="majorBidi"/>
        </w:rPr>
        <w:t>].</w:t>
      </w:r>
    </w:p>
  </w:footnote>
  <w:footnote w:id="392">
    <w:p w14:paraId="466CD77F" w14:textId="2C9E289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The difference between equity and the common law has been described as follows: ‘Equity supplements the common law, providing a separate and distinct body of principle that mitigates its rigours. The common law creates rights; equity relieves against strict insistence upon them, when such insistence is against conscience. The concern of equity with conscience — and particularly with unconscionable insistence on strict legal right — is manifest in many of its doctrines and remedies. So, in the field of unconscionable dealings, equity comes to the relief of those who, labouring under a special disadvantage, are unconscientiously exploited by another … In the law of trusts, equity binds the conscience of a legal owner, who holds property impressed with a trust, to perform the trusts.’: Hon Justice Brereton, ‘Equitable Estoppel in Australia: The Court of Conscience in the Antipodes’ (Speech, Australian Law Journal Conference: Celebrating 80 Years, 16 March 2007) 1.</w:t>
      </w:r>
    </w:p>
  </w:footnote>
  <w:footnote w:id="393">
    <w:p w14:paraId="677D47BC" w14:textId="7A0478B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179" w:name="_Hlk11402698"/>
      <w:r w:rsidRPr="00675D56">
        <w:rPr>
          <w:rFonts w:asciiTheme="majorBidi" w:hAnsiTheme="majorBidi" w:cstheme="majorBidi"/>
        </w:rPr>
        <w:t>Submission #2I.</w:t>
      </w:r>
      <w:bookmarkEnd w:id="179"/>
    </w:p>
  </w:footnote>
  <w:footnote w:id="394">
    <w:p w14:paraId="11F96FED" w14:textId="7D94A80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_Ref13303808 \w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1.4.15</w:t>
      </w:r>
      <w:r w:rsidRPr="00675D56">
        <w:rPr>
          <w:rFonts w:asciiTheme="majorBidi" w:hAnsiTheme="majorBidi" w:cstheme="majorBidi"/>
        </w:rPr>
        <w:fldChar w:fldCharType="end"/>
      </w:r>
      <w:r w:rsidRPr="00675D56">
        <w:rPr>
          <w:rFonts w:asciiTheme="majorBidi" w:hAnsiTheme="majorBidi" w:cstheme="majorBidi"/>
        </w:rPr>
        <w:t xml:space="preserve">]. </w:t>
      </w:r>
    </w:p>
  </w:footnote>
  <w:footnote w:id="395">
    <w:p w14:paraId="57535F6F" w14:textId="7D756EB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See for example </w:t>
      </w:r>
      <w:r w:rsidRPr="00675D56">
        <w:rPr>
          <w:rFonts w:asciiTheme="majorBidi" w:hAnsiTheme="majorBidi" w:cstheme="majorBidi"/>
          <w:i/>
          <w:iCs/>
          <w:color w:val="333333"/>
        </w:rPr>
        <w:t>Sidhu v Van Dyke</w:t>
      </w:r>
      <w:r w:rsidRPr="00675D56">
        <w:rPr>
          <w:rFonts w:asciiTheme="majorBidi" w:hAnsiTheme="majorBidi" w:cstheme="majorBidi"/>
          <w:color w:val="333333"/>
        </w:rPr>
        <w:t xml:space="preserve"> </w:t>
      </w:r>
      <w:r w:rsidRPr="00675D56">
        <w:rPr>
          <w:rFonts w:asciiTheme="majorBidi" w:hAnsiTheme="majorBidi" w:cstheme="majorBidi"/>
          <w:szCs w:val="20"/>
        </w:rPr>
        <w:t>(2014) 251 CLR 505</w:t>
      </w:r>
      <w:r w:rsidRPr="00675D56">
        <w:rPr>
          <w:rFonts w:asciiTheme="majorBidi" w:hAnsiTheme="majorBidi" w:cstheme="majorBidi"/>
        </w:rPr>
        <w:t>.</w:t>
      </w:r>
    </w:p>
  </w:footnote>
  <w:footnote w:id="396">
    <w:p w14:paraId="34811CE9"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181" w:name="_Hlk11402719"/>
      <w:r w:rsidRPr="00675D56">
        <w:rPr>
          <w:rFonts w:asciiTheme="majorBidi" w:hAnsiTheme="majorBidi" w:cstheme="majorBidi"/>
        </w:rPr>
        <w:t>[2016] TASSC 4.</w:t>
      </w:r>
    </w:p>
    <w:bookmarkEnd w:id="181"/>
  </w:footnote>
  <w:footnote w:id="397">
    <w:p w14:paraId="583EEC96" w14:textId="038685D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[9].</w:t>
      </w:r>
    </w:p>
  </w:footnote>
  <w:footnote w:id="398">
    <w:p w14:paraId="01071D73" w14:textId="3305E77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See also the decision of </w:t>
      </w:r>
      <w:r w:rsidRPr="00675D56">
        <w:rPr>
          <w:rFonts w:asciiTheme="majorBidi" w:hAnsiTheme="majorBidi" w:cstheme="majorBidi"/>
          <w:i/>
          <w:iCs/>
        </w:rPr>
        <w:t>Dennis v Dennis</w:t>
      </w:r>
      <w:r w:rsidRPr="00675D56">
        <w:rPr>
          <w:rFonts w:asciiTheme="majorBidi" w:hAnsiTheme="majorBidi" w:cstheme="majorBidi"/>
        </w:rPr>
        <w:t xml:space="preserve"> [2016] TASSC 62 where Justice </w:t>
      </w:r>
      <w:bookmarkStart w:id="182" w:name="_Hlk17368295"/>
      <w:r w:rsidRPr="00675D56">
        <w:rPr>
          <w:rFonts w:asciiTheme="majorBidi" w:hAnsiTheme="majorBidi" w:cstheme="majorBidi"/>
        </w:rPr>
        <w:t>Estcourt</w:t>
      </w:r>
      <w:bookmarkEnd w:id="182"/>
      <w:r w:rsidRPr="00675D56">
        <w:rPr>
          <w:rFonts w:asciiTheme="majorBidi" w:hAnsiTheme="majorBidi" w:cstheme="majorBidi"/>
        </w:rPr>
        <w:t xml:space="preserve"> heard a claim by one of the sons of a deceased, firstly based on a breach of contract, but in the alternative, a claim based on equitable estoppel. In relation to this second ground, the son argued that he had entered into a Succession Deed with his father and mother dealing with transfer of the ownership of a farming property in reliance upon a representation by his father that he would forgive loans that a company and trust owed to him in his will. There was some evidence from the son that one of the reasons that the Succession Deed had been entered into was to avoid a claim against the parents’ estates if the farming property was instead gifted via their wills. In that case, his Honour was not satisfied that the evidence established on the balance of probabilities that there was an unequivocal or unconditional promise by the deceased to forgive debts owed to him in his will so the claim failed. The case, however, provides a further example of a family member’s claim to an interest in estate assets pursuant to a constructive trust. </w:t>
      </w:r>
    </w:p>
  </w:footnote>
  <w:footnote w:id="399">
    <w:p w14:paraId="090167EC" w14:textId="555293A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183" w:name="_Hlk11402735"/>
      <w:r w:rsidRPr="00675D56">
        <w:rPr>
          <w:rFonts w:asciiTheme="majorBidi" w:hAnsiTheme="majorBidi" w:cstheme="majorBidi"/>
          <w:i/>
          <w:iCs/>
        </w:rPr>
        <w:t>Evans, Sally Lee v Public Trustee (as Administrator of the Estate of the late Bruno Sirgunas)</w:t>
      </w:r>
      <w:r w:rsidRPr="00675D56">
        <w:rPr>
          <w:rFonts w:asciiTheme="majorBidi" w:hAnsiTheme="majorBidi" w:cstheme="majorBidi"/>
        </w:rPr>
        <w:t xml:space="preserve"> [1998] TASSC 159</w:t>
      </w:r>
      <w:bookmarkEnd w:id="183"/>
      <w:r w:rsidRPr="00675D56">
        <w:rPr>
          <w:rFonts w:asciiTheme="majorBidi" w:hAnsiTheme="majorBidi" w:cstheme="majorBidi"/>
        </w:rPr>
        <w:t>.</w:t>
      </w:r>
    </w:p>
  </w:footnote>
  <w:footnote w:id="400">
    <w:p w14:paraId="15FC837B"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bookmarkStart w:id="184" w:name="_Hlk11402750"/>
      <w:r w:rsidRPr="00675D56">
        <w:rPr>
          <w:rFonts w:asciiTheme="majorBidi" w:hAnsiTheme="majorBidi" w:cstheme="majorBidi"/>
        </w:rPr>
        <w:t>[1990] TASSC 67.</w:t>
      </w:r>
      <w:bookmarkEnd w:id="184"/>
    </w:p>
  </w:footnote>
  <w:footnote w:id="401">
    <w:p w14:paraId="134CD440" w14:textId="388873D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[5].</w:t>
      </w:r>
    </w:p>
  </w:footnote>
  <w:footnote w:id="402">
    <w:p w14:paraId="186322B4"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Equitable claims are not, however, limited to family members unlike family provision claims under the </w:t>
      </w:r>
      <w:r w:rsidRPr="00675D56">
        <w:rPr>
          <w:rFonts w:asciiTheme="majorBidi" w:hAnsiTheme="majorBidi" w:cstheme="majorBidi"/>
          <w:i/>
          <w:iCs/>
        </w:rPr>
        <w:t>TFM Act</w:t>
      </w:r>
      <w:r w:rsidRPr="00675D56">
        <w:rPr>
          <w:rFonts w:asciiTheme="majorBidi" w:hAnsiTheme="majorBidi" w:cstheme="majorBidi"/>
        </w:rPr>
        <w:t>.</w:t>
      </w:r>
    </w:p>
  </w:footnote>
  <w:footnote w:id="403">
    <w:p w14:paraId="1BAD04E8" w14:textId="22959DE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_Ref13417339 \w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5.5.43</w:t>
      </w:r>
      <w:r w:rsidRPr="00675D56">
        <w:rPr>
          <w:rFonts w:asciiTheme="majorBidi" w:hAnsiTheme="majorBidi" w:cstheme="majorBidi"/>
        </w:rPr>
        <w:fldChar w:fldCharType="end"/>
      </w:r>
      <w:r w:rsidRPr="00675D56">
        <w:rPr>
          <w:rFonts w:asciiTheme="majorBidi" w:hAnsiTheme="majorBidi" w:cstheme="majorBidi"/>
        </w:rPr>
        <w:t>].</w:t>
      </w:r>
    </w:p>
  </w:footnote>
  <w:footnote w:id="404">
    <w:p w14:paraId="23D86ABA" w14:textId="607D583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186" w:name="_Hlk11402840"/>
      <w:r w:rsidRPr="00675D56">
        <w:rPr>
          <w:rFonts w:asciiTheme="majorBidi" w:hAnsiTheme="majorBidi" w:cstheme="majorBidi"/>
        </w:rPr>
        <w:t xml:space="preserve">This point was also made by the Institute of Chartered Accountants in England and Wales, The Law Society of England and Wales, the Society of Trust and Estate Practitioners and The Notaries Society of England and Wales in its submissions to the EUC: EUC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_Ref13343534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88</w:t>
      </w:r>
      <w:r w:rsidRPr="00675D56">
        <w:rPr>
          <w:rFonts w:asciiTheme="majorBidi" w:hAnsiTheme="majorBidi" w:cstheme="majorBidi"/>
        </w:rPr>
        <w:fldChar w:fldCharType="end"/>
      </w:r>
      <w:r w:rsidRPr="00675D56">
        <w:rPr>
          <w:rFonts w:asciiTheme="majorBidi" w:hAnsiTheme="majorBidi" w:cstheme="majorBidi"/>
        </w:rPr>
        <w:t>) 74, 81.</w:t>
      </w:r>
      <w:bookmarkEnd w:id="186"/>
    </w:p>
  </w:footnote>
  <w:footnote w:id="405">
    <w:p w14:paraId="0B0F39D1" w14:textId="6B5DC0F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Susan Baldock, Submission #1, Submission #4, Dorothy Lowe and siblings, Barry Claridge, Heather Dunn, Steven Bishop, Nina Hendy, joint submission of Christine Schokman, Dexter Marcenko and Michael Flanagan, Litigation Committee (endorsing the reasoning in Ms Schokman, Mr Marcenko and Mr Flanagan’s submission).</w:t>
      </w:r>
    </w:p>
  </w:footnote>
  <w:footnote w:id="406">
    <w:p w14:paraId="6B91506F" w14:textId="2F2AD59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Christine Schokman, Dexter Marcenko and Michael Flanagan. The WALRC has expressed a similar view: </w:t>
      </w:r>
      <w:bookmarkStart w:id="190" w:name="_Hlk11402895"/>
      <w:r w:rsidRPr="00675D56">
        <w:rPr>
          <w:rFonts w:asciiTheme="majorBidi" w:hAnsiTheme="majorBidi" w:cstheme="majorBidi"/>
        </w:rPr>
        <w:t xml:space="preserve">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 [4.30].</w:t>
      </w:r>
      <w:bookmarkEnd w:id="190"/>
    </w:p>
  </w:footnote>
  <w:footnote w:id="407">
    <w:p w14:paraId="2B202B21" w14:textId="3F993EEB"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Barns v Barns</w:t>
      </w:r>
      <w:r w:rsidRPr="00675D56">
        <w:rPr>
          <w:rFonts w:asciiTheme="majorBidi" w:hAnsiTheme="majorBidi" w:cstheme="majorBidi"/>
        </w:rPr>
        <w:t xml:space="preserve"> (2003) 214 CLR 169, 174 [4].</w:t>
      </w:r>
    </w:p>
  </w:footnote>
  <w:footnote w:id="408">
    <w:p w14:paraId="431FAA5F" w14:textId="1E9A8AD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Referring to </w:t>
      </w:r>
      <w:r>
        <w:rPr>
          <w:rFonts w:asciiTheme="majorBidi" w:hAnsiTheme="majorBidi" w:cstheme="majorBidi"/>
        </w:rPr>
        <w:t xml:space="preserve">the </w:t>
      </w:r>
      <w:r w:rsidRPr="00675D56">
        <w:rPr>
          <w:rFonts w:asciiTheme="majorBidi" w:hAnsiTheme="majorBidi" w:cstheme="majorBidi"/>
          <w:i/>
          <w:iCs/>
        </w:rPr>
        <w:t>F</w:t>
      </w:r>
      <w:r>
        <w:rPr>
          <w:rFonts w:asciiTheme="majorBidi" w:hAnsiTheme="majorBidi" w:cstheme="majorBidi"/>
          <w:i/>
          <w:iCs/>
        </w:rPr>
        <w:t xml:space="preserve">amily </w:t>
      </w:r>
      <w:r w:rsidRPr="00675D56">
        <w:rPr>
          <w:rFonts w:asciiTheme="majorBidi" w:hAnsiTheme="majorBidi" w:cstheme="majorBidi"/>
          <w:i/>
          <w:iCs/>
        </w:rPr>
        <w:t>L</w:t>
      </w:r>
      <w:r>
        <w:rPr>
          <w:rFonts w:asciiTheme="majorBidi" w:hAnsiTheme="majorBidi" w:cstheme="majorBidi"/>
          <w:i/>
          <w:iCs/>
        </w:rPr>
        <w:t xml:space="preserve">aw </w:t>
      </w:r>
      <w:r w:rsidRPr="00675D56">
        <w:rPr>
          <w:rFonts w:asciiTheme="majorBidi" w:hAnsiTheme="majorBidi" w:cstheme="majorBidi"/>
          <w:i/>
          <w:iCs/>
        </w:rPr>
        <w:t>A</w:t>
      </w:r>
      <w:r>
        <w:rPr>
          <w:rFonts w:asciiTheme="majorBidi" w:hAnsiTheme="majorBidi" w:cstheme="majorBidi"/>
          <w:i/>
          <w:iCs/>
        </w:rPr>
        <w:t>ct</w:t>
      </w:r>
      <w:r w:rsidRPr="00675D56">
        <w:rPr>
          <w:rFonts w:asciiTheme="majorBidi" w:hAnsiTheme="majorBidi" w:cstheme="majorBidi"/>
        </w:rPr>
        <w:t xml:space="preserve"> s 106B</w:t>
      </w:r>
      <w:r>
        <w:rPr>
          <w:rFonts w:asciiTheme="majorBidi" w:hAnsiTheme="majorBidi" w:cstheme="majorBidi"/>
        </w:rPr>
        <w:t xml:space="preserve"> (‘</w:t>
      </w:r>
      <w:r w:rsidRPr="00422DC1">
        <w:rPr>
          <w:rFonts w:asciiTheme="majorBidi" w:hAnsiTheme="majorBidi" w:cstheme="majorBidi"/>
          <w:i/>
          <w:iCs/>
        </w:rPr>
        <w:t>FLA</w:t>
      </w:r>
      <w:r>
        <w:rPr>
          <w:rFonts w:asciiTheme="majorBidi" w:hAnsiTheme="majorBidi" w:cstheme="majorBidi"/>
        </w:rPr>
        <w:t>’)</w:t>
      </w:r>
      <w:r w:rsidRPr="00675D56">
        <w:rPr>
          <w:rFonts w:asciiTheme="majorBidi" w:hAnsiTheme="majorBidi" w:cstheme="majorBidi"/>
        </w:rPr>
        <w:t xml:space="preserve">; </w:t>
      </w:r>
      <w:r w:rsidRPr="00675D56">
        <w:rPr>
          <w:rFonts w:asciiTheme="majorBidi" w:hAnsiTheme="majorBidi" w:cstheme="majorBidi"/>
          <w:i/>
          <w:iCs/>
        </w:rPr>
        <w:t>Bankruptcy Act 1966</w:t>
      </w:r>
      <w:r w:rsidRPr="00675D56">
        <w:rPr>
          <w:rFonts w:asciiTheme="majorBidi" w:hAnsiTheme="majorBidi" w:cstheme="majorBidi"/>
        </w:rPr>
        <w:t xml:space="preserve"> (Cth) s 121.</w:t>
      </w:r>
    </w:p>
  </w:footnote>
  <w:footnote w:id="409">
    <w:p w14:paraId="6FDD7271" w14:textId="131E142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_Ref13420469 \w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4.2.3</w:t>
      </w:r>
      <w:r w:rsidRPr="00675D56">
        <w:rPr>
          <w:rFonts w:asciiTheme="majorBidi" w:hAnsiTheme="majorBidi" w:cstheme="majorBidi"/>
        </w:rPr>
        <w:fldChar w:fldCharType="end"/>
      </w:r>
      <w:r w:rsidRPr="00675D56">
        <w:rPr>
          <w:rFonts w:asciiTheme="majorBidi" w:hAnsiTheme="majorBidi" w:cstheme="majorBidi"/>
        </w:rPr>
        <w:t xml:space="preserve">]; The 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_Ref12897342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72</w:t>
      </w:r>
      <w:r w:rsidRPr="00675D56">
        <w:rPr>
          <w:rFonts w:asciiTheme="majorBidi" w:hAnsiTheme="majorBidi" w:cstheme="majorBidi"/>
        </w:rPr>
        <w:fldChar w:fldCharType="end"/>
      </w:r>
      <w:r w:rsidRPr="00675D56">
        <w:rPr>
          <w:rFonts w:asciiTheme="majorBidi" w:hAnsiTheme="majorBidi" w:cstheme="majorBidi"/>
        </w:rPr>
        <w:t xml:space="preserve">) 49; ALRI (n </w:t>
      </w:r>
      <w:r w:rsidRPr="00675D56">
        <w:rPr>
          <w:rFonts w:asciiTheme="majorBidi" w:hAnsiTheme="majorBidi" w:cstheme="majorBidi"/>
        </w:rPr>
        <w:fldChar w:fldCharType="begin"/>
      </w:r>
      <w:r w:rsidRPr="00675D56">
        <w:rPr>
          <w:rFonts w:asciiTheme="majorBidi" w:hAnsiTheme="majorBidi" w:cstheme="majorBidi"/>
        </w:rPr>
        <w:instrText xml:space="preserve"> NOTEREF _Ref13069149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82</w:t>
      </w:r>
      <w:r w:rsidRPr="00675D56">
        <w:rPr>
          <w:rFonts w:asciiTheme="majorBidi" w:hAnsiTheme="majorBidi" w:cstheme="majorBidi"/>
        </w:rPr>
        <w:fldChar w:fldCharType="end"/>
      </w:r>
      <w:r w:rsidRPr="00675D56">
        <w:rPr>
          <w:rFonts w:asciiTheme="majorBidi" w:hAnsiTheme="majorBidi" w:cstheme="majorBidi"/>
        </w:rPr>
        <w:t xml:space="preserve">) [422]; QLRC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_Ref13405638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71</w:t>
      </w:r>
      <w:r w:rsidRPr="00675D56">
        <w:rPr>
          <w:rFonts w:asciiTheme="majorBidi" w:hAnsiTheme="majorBidi" w:cstheme="majorBidi"/>
        </w:rPr>
        <w:fldChar w:fldCharType="end"/>
      </w:r>
      <w:r w:rsidRPr="00675D56">
        <w:rPr>
          <w:rFonts w:asciiTheme="majorBidi" w:hAnsiTheme="majorBidi" w:cstheme="majorBidi"/>
        </w:rPr>
        <w:t>).</w:t>
      </w:r>
    </w:p>
  </w:footnote>
  <w:footnote w:id="410">
    <w:p w14:paraId="497CC4D5" w14:textId="141F7B8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rPr>
        <w:t>FLA</w:t>
      </w:r>
      <w:r w:rsidRPr="00675D56">
        <w:rPr>
          <w:rFonts w:asciiTheme="majorBidi" w:hAnsiTheme="majorBidi" w:cstheme="majorBidi"/>
        </w:rPr>
        <w:t xml:space="preserve"> s 106B.</w:t>
      </w:r>
    </w:p>
  </w:footnote>
  <w:footnote w:id="411">
    <w:p w14:paraId="6B1FE9D3" w14:textId="2C99637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T</w:t>
      </w:r>
      <w:r w:rsidRPr="00675D56">
        <w:rPr>
          <w:rFonts w:asciiTheme="majorBidi" w:hAnsiTheme="majorBidi" w:cstheme="majorBidi"/>
          <w:i/>
          <w:iCs/>
          <w:color w:val="333333"/>
        </w:rPr>
        <w:t>abussi and Tabussi (As Executor of the Estate of the late Mr Tabussi Senior (deceased)) &amp; Ors</w:t>
      </w:r>
      <w:r w:rsidRPr="00675D56">
        <w:rPr>
          <w:rFonts w:asciiTheme="majorBidi" w:hAnsiTheme="majorBidi" w:cstheme="majorBidi"/>
          <w:color w:val="333333"/>
        </w:rPr>
        <w:t xml:space="preserve"> </w:t>
      </w:r>
      <w:r w:rsidRPr="00675D56">
        <w:rPr>
          <w:rFonts w:asciiTheme="majorBidi" w:hAnsiTheme="majorBidi" w:cstheme="majorBidi"/>
          <w:szCs w:val="20"/>
        </w:rPr>
        <w:t>[2015] FCWA 108</w:t>
      </w:r>
      <w:r w:rsidRPr="00675D56">
        <w:rPr>
          <w:rFonts w:asciiTheme="majorBidi" w:hAnsiTheme="majorBidi" w:cstheme="majorBidi"/>
        </w:rPr>
        <w:t xml:space="preserve"> [151] (‘</w:t>
      </w:r>
      <w:r w:rsidRPr="00675D56">
        <w:rPr>
          <w:rFonts w:asciiTheme="majorBidi" w:hAnsiTheme="majorBidi" w:cstheme="majorBidi"/>
          <w:i/>
          <w:iCs/>
        </w:rPr>
        <w:t>T</w:t>
      </w:r>
      <w:r w:rsidRPr="00675D56">
        <w:rPr>
          <w:rFonts w:asciiTheme="majorBidi" w:hAnsiTheme="majorBidi" w:cstheme="majorBidi"/>
          <w:i/>
          <w:iCs/>
          <w:color w:val="333333"/>
        </w:rPr>
        <w:t>abussi</w:t>
      </w:r>
      <w:r w:rsidRPr="00675D56">
        <w:rPr>
          <w:rFonts w:asciiTheme="majorBidi" w:hAnsiTheme="majorBidi" w:cstheme="majorBidi"/>
          <w:color w:val="333333"/>
        </w:rPr>
        <w:t>’)</w:t>
      </w:r>
      <w:r w:rsidRPr="00675D56">
        <w:rPr>
          <w:rFonts w:asciiTheme="majorBidi" w:hAnsiTheme="majorBidi" w:cstheme="majorBidi"/>
        </w:rPr>
        <w:t>.</w:t>
      </w:r>
    </w:p>
  </w:footnote>
  <w:footnote w:id="412">
    <w:p w14:paraId="1AACEC13" w14:textId="2CCE70F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It was valued at over $1m at trial.</w:t>
      </w:r>
    </w:p>
  </w:footnote>
  <w:footnote w:id="413">
    <w:p w14:paraId="7F84708B" w14:textId="414240C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T</w:t>
      </w:r>
      <w:r w:rsidRPr="00675D56">
        <w:rPr>
          <w:rFonts w:asciiTheme="majorBidi" w:hAnsiTheme="majorBidi" w:cstheme="majorBidi"/>
          <w:i/>
          <w:iCs/>
          <w:color w:val="333333"/>
        </w:rPr>
        <w:t xml:space="preserve">abussi </w:t>
      </w:r>
      <w:r w:rsidRPr="00675D56">
        <w:rPr>
          <w:rFonts w:asciiTheme="majorBidi" w:hAnsiTheme="majorBidi" w:cstheme="majorBidi"/>
          <w:color w:val="333333"/>
        </w:rPr>
        <w:t xml:space="preserve">(n </w:t>
      </w:r>
      <w:r w:rsidRPr="00675D56">
        <w:rPr>
          <w:rFonts w:asciiTheme="majorBidi" w:hAnsiTheme="majorBidi" w:cstheme="majorBidi"/>
          <w:color w:val="333333"/>
        </w:rPr>
        <w:fldChar w:fldCharType="begin"/>
      </w:r>
      <w:r w:rsidRPr="00675D56">
        <w:rPr>
          <w:rFonts w:asciiTheme="majorBidi" w:hAnsiTheme="majorBidi" w:cstheme="majorBidi"/>
          <w:color w:val="333333"/>
        </w:rPr>
        <w:instrText xml:space="preserve"> NOTEREF _Ref13485083 \h  \* MERGEFORMAT </w:instrText>
      </w:r>
      <w:r w:rsidRPr="00675D56">
        <w:rPr>
          <w:rFonts w:asciiTheme="majorBidi" w:hAnsiTheme="majorBidi" w:cstheme="majorBidi"/>
          <w:color w:val="333333"/>
        </w:rPr>
      </w:r>
      <w:r w:rsidRPr="00675D56">
        <w:rPr>
          <w:rFonts w:asciiTheme="majorBidi" w:hAnsiTheme="majorBidi" w:cstheme="majorBidi"/>
          <w:color w:val="333333"/>
        </w:rPr>
        <w:fldChar w:fldCharType="separate"/>
      </w:r>
      <w:r>
        <w:rPr>
          <w:rFonts w:asciiTheme="majorBidi" w:hAnsiTheme="majorBidi" w:cstheme="majorBidi"/>
          <w:color w:val="333333"/>
        </w:rPr>
        <w:t>410</w:t>
      </w:r>
      <w:r w:rsidRPr="00675D56">
        <w:rPr>
          <w:rFonts w:asciiTheme="majorBidi" w:hAnsiTheme="majorBidi" w:cstheme="majorBidi"/>
          <w:color w:val="333333"/>
        </w:rPr>
        <w:fldChar w:fldCharType="end"/>
      </w:r>
      <w:r w:rsidRPr="00675D56">
        <w:rPr>
          <w:rFonts w:asciiTheme="majorBidi" w:hAnsiTheme="majorBidi" w:cstheme="majorBidi"/>
          <w:color w:val="333333"/>
        </w:rPr>
        <w:t>)</w:t>
      </w:r>
      <w:r w:rsidRPr="00675D56">
        <w:rPr>
          <w:rFonts w:asciiTheme="majorBidi" w:hAnsiTheme="majorBidi" w:cstheme="majorBidi"/>
        </w:rPr>
        <w:t xml:space="preserve"> [5]–[7].</w:t>
      </w:r>
    </w:p>
  </w:footnote>
  <w:footnote w:id="414">
    <w:p w14:paraId="53CDEEF3" w14:textId="145663D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[8].</w:t>
      </w:r>
    </w:p>
  </w:footnote>
  <w:footnote w:id="415">
    <w:p w14:paraId="08A5AF4A" w14:textId="5141061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[151].</w:t>
      </w:r>
    </w:p>
  </w:footnote>
  <w:footnote w:id="416">
    <w:p w14:paraId="413C3EFC" w14:textId="4693C28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[152].</w:t>
      </w:r>
    </w:p>
  </w:footnote>
  <w:footnote w:id="417">
    <w:p w14:paraId="32F71B49"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If a relationship has ended but one of the parties to the relationship dies before an application is filed with the Family Court, then the Family Court does not have jurisdiction. If, on the other hand, one day prior to death, family court proceedings were filed, then the Family Court retains jurisdiction to make orders in relation to the division of property irrespective of the later death of one of the parties to proceedings: </w:t>
      </w:r>
      <w:r w:rsidRPr="00675D56">
        <w:rPr>
          <w:rFonts w:asciiTheme="majorBidi" w:hAnsiTheme="majorBidi" w:cstheme="majorBidi"/>
          <w:i/>
          <w:iCs/>
        </w:rPr>
        <w:t>FLA</w:t>
      </w:r>
      <w:r w:rsidRPr="00675D56">
        <w:rPr>
          <w:rFonts w:asciiTheme="majorBidi" w:hAnsiTheme="majorBidi" w:cstheme="majorBidi"/>
        </w:rPr>
        <w:t xml:space="preserve"> ss 79(8), 90SM(8).</w:t>
      </w:r>
    </w:p>
  </w:footnote>
  <w:footnote w:id="418">
    <w:p w14:paraId="3BE78961" w14:textId="5CDC3F2F" w:rsidR="00C61533" w:rsidRPr="00675D56" w:rsidRDefault="00C61533" w:rsidP="0025272D">
      <w:pPr>
        <w:pStyle w:val="FootnoteTextTLRI"/>
        <w:rPr>
          <w:rFonts w:asciiTheme="majorBidi" w:hAnsiTheme="majorBidi" w:cstheme="majorBidi"/>
          <w:lang w:val="en-US"/>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_Ref13485174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5.5.61</w:t>
      </w:r>
      <w:r w:rsidRPr="00675D56">
        <w:rPr>
          <w:rFonts w:asciiTheme="majorBidi" w:hAnsiTheme="majorBidi" w:cstheme="majorBidi"/>
        </w:rPr>
        <w:fldChar w:fldCharType="end"/>
      </w:r>
      <w:r w:rsidRPr="00675D56">
        <w:rPr>
          <w:rFonts w:asciiTheme="majorBidi" w:hAnsiTheme="majorBidi" w:cstheme="majorBidi"/>
        </w:rPr>
        <w:t>].</w:t>
      </w:r>
    </w:p>
  </w:footnote>
  <w:footnote w:id="419">
    <w:p w14:paraId="2DA9AB54" w14:textId="67E7777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bookmarkStart w:id="197" w:name="_Hlk11403120"/>
      <w:r w:rsidRPr="00675D56">
        <w:rPr>
          <w:rFonts w:asciiTheme="majorBidi" w:hAnsiTheme="majorBidi" w:cstheme="majorBidi"/>
        </w:rPr>
        <w:t>D R Horton, ‘Proceedings after Death – the Plight of the Widow’ (4</w:t>
      </w:r>
      <w:r w:rsidRPr="00675D56">
        <w:rPr>
          <w:rFonts w:asciiTheme="majorBidi" w:hAnsiTheme="majorBidi" w:cstheme="majorBidi"/>
          <w:vertAlign w:val="superscript"/>
        </w:rPr>
        <w:t>th</w:t>
      </w:r>
      <w:r w:rsidRPr="00675D56">
        <w:rPr>
          <w:rFonts w:asciiTheme="majorBidi" w:hAnsiTheme="majorBidi" w:cstheme="majorBidi"/>
        </w:rPr>
        <w:t xml:space="preserve"> National Family Law Conference Handbook (1990) cited in Justice Paul LG Brereton, ‘Where Death and Divorce Meet: The Intersection of Family Provision and Family Law’ (Speech, National Family Law Conference, October 2006) 19.</w:t>
      </w:r>
      <w:bookmarkEnd w:id="197"/>
    </w:p>
  </w:footnote>
  <w:footnote w:id="420">
    <w:p w14:paraId="15AE8BEA" w14:textId="281D59E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for example </w:t>
      </w:r>
      <w:r w:rsidRPr="00675D56">
        <w:rPr>
          <w:rFonts w:asciiTheme="majorBidi" w:hAnsiTheme="majorBidi" w:cstheme="majorBidi"/>
          <w:i/>
          <w:iCs/>
          <w:color w:val="000000"/>
        </w:rPr>
        <w:t>Brewster, Re Application for Judicial Review (Northern Ireland)</w:t>
      </w:r>
      <w:r w:rsidRPr="00675D56">
        <w:rPr>
          <w:rFonts w:asciiTheme="majorBidi" w:hAnsiTheme="majorBidi" w:cstheme="majorBidi"/>
          <w:color w:val="000000"/>
        </w:rPr>
        <w:t xml:space="preserve"> [2017] UKSC 8</w:t>
      </w:r>
      <w:r>
        <w:rPr>
          <w:rFonts w:asciiTheme="majorBidi" w:hAnsiTheme="majorBidi" w:cstheme="majorBidi"/>
          <w:color w:val="000000"/>
        </w:rPr>
        <w:t>,</w:t>
      </w:r>
      <w:r w:rsidRPr="00675D56">
        <w:rPr>
          <w:rFonts w:asciiTheme="majorBidi" w:hAnsiTheme="majorBidi" w:cstheme="majorBidi"/>
          <w:color w:val="000000"/>
        </w:rPr>
        <w:t xml:space="preserve"> [13] citing </w:t>
      </w:r>
      <w:r w:rsidRPr="00675D56">
        <w:rPr>
          <w:rFonts w:asciiTheme="majorBidi" w:hAnsiTheme="majorBidi" w:cstheme="majorBidi"/>
        </w:rPr>
        <w:t xml:space="preserve">Law Commission (England &amp; Wales), </w:t>
      </w:r>
      <w:r w:rsidRPr="00675D56">
        <w:rPr>
          <w:rFonts w:asciiTheme="majorBidi" w:hAnsiTheme="majorBidi" w:cstheme="majorBidi"/>
          <w:i/>
          <w:iCs/>
        </w:rPr>
        <w:t>Cohabitation: The Financial Consequences of Relationship Breakdown</w:t>
      </w:r>
      <w:r w:rsidRPr="00675D56">
        <w:rPr>
          <w:rFonts w:asciiTheme="majorBidi" w:hAnsiTheme="majorBidi" w:cstheme="majorBidi"/>
        </w:rPr>
        <w:t xml:space="preserve"> (Law Com No 307, July 2007) [6.13].</w:t>
      </w:r>
    </w:p>
  </w:footnote>
  <w:footnote w:id="421">
    <w:p w14:paraId="45EA44B0" w14:textId="6AC3416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Justice Brereton (n </w:t>
      </w:r>
      <w:r w:rsidRPr="00675D56">
        <w:rPr>
          <w:rFonts w:asciiTheme="majorBidi" w:hAnsiTheme="majorBidi" w:cstheme="majorBidi"/>
        </w:rPr>
        <w:fldChar w:fldCharType="begin"/>
      </w:r>
      <w:r w:rsidRPr="00675D56">
        <w:rPr>
          <w:rFonts w:asciiTheme="majorBidi" w:hAnsiTheme="majorBidi" w:cstheme="majorBidi"/>
        </w:rPr>
        <w:instrText xml:space="preserve"> NOTEREF _Ref13485960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418</w:t>
      </w:r>
      <w:r w:rsidRPr="00675D56">
        <w:rPr>
          <w:rFonts w:asciiTheme="majorBidi" w:hAnsiTheme="majorBidi" w:cstheme="majorBidi"/>
        </w:rPr>
        <w:fldChar w:fldCharType="end"/>
      </w:r>
      <w:r w:rsidRPr="00675D56">
        <w:rPr>
          <w:rFonts w:asciiTheme="majorBidi" w:hAnsiTheme="majorBidi" w:cstheme="majorBidi"/>
        </w:rPr>
        <w:t>) 23.</w:t>
      </w:r>
    </w:p>
  </w:footnote>
  <w:footnote w:id="422">
    <w:p w14:paraId="4759FD83"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24.</w:t>
      </w:r>
    </w:p>
  </w:footnote>
  <w:footnote w:id="423">
    <w:p w14:paraId="625F61CE" w14:textId="777777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37.</w:t>
      </w:r>
    </w:p>
  </w:footnote>
  <w:footnote w:id="424">
    <w:p w14:paraId="654633D7" w14:textId="29A3829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Citing the case of </w:t>
      </w:r>
      <w:r w:rsidRPr="00675D56">
        <w:rPr>
          <w:rFonts w:asciiTheme="majorBidi" w:hAnsiTheme="majorBidi" w:cstheme="majorBidi"/>
          <w:i/>
          <w:iCs/>
        </w:rPr>
        <w:t>Stanford</w:t>
      </w:r>
      <w:r w:rsidRPr="00675D56">
        <w:rPr>
          <w:rFonts w:asciiTheme="majorBidi" w:hAnsiTheme="majorBidi" w:cstheme="majorBidi"/>
        </w:rPr>
        <w:t xml:space="preserve"> </w:t>
      </w:r>
      <w:r w:rsidRPr="00675D56">
        <w:rPr>
          <w:rFonts w:asciiTheme="majorBidi" w:hAnsiTheme="majorBidi" w:cstheme="majorBidi"/>
          <w:i/>
          <w:iCs/>
        </w:rPr>
        <w:t xml:space="preserve">v Stanford </w:t>
      </w:r>
      <w:r w:rsidRPr="00675D56">
        <w:rPr>
          <w:rFonts w:asciiTheme="majorBidi" w:hAnsiTheme="majorBidi" w:cstheme="majorBidi"/>
        </w:rPr>
        <w:t>(2012) 247 CLR 108.</w:t>
      </w:r>
    </w:p>
  </w:footnote>
  <w:footnote w:id="425">
    <w:p w14:paraId="7527D2E3" w14:textId="13BFB67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_Ref13151169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209</w:t>
      </w:r>
      <w:r w:rsidRPr="00675D56">
        <w:rPr>
          <w:rFonts w:asciiTheme="majorBidi" w:hAnsiTheme="majorBidi" w:cstheme="majorBidi"/>
        </w:rPr>
        <w:fldChar w:fldCharType="end"/>
      </w:r>
      <w:r w:rsidRPr="00675D56">
        <w:rPr>
          <w:rFonts w:asciiTheme="majorBidi" w:hAnsiTheme="majorBidi" w:cstheme="majorBidi"/>
        </w:rPr>
        <w:t>) 25.</w:t>
      </w:r>
    </w:p>
  </w:footnote>
  <w:footnote w:id="426">
    <w:p w14:paraId="0038062A" w14:textId="318E064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Submission #2I.</w:t>
      </w:r>
    </w:p>
  </w:footnote>
  <w:footnote w:id="427">
    <w:p w14:paraId="208A8ADC" w14:textId="2993B4C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This point has also been made by the Scottish Law Commission: Scottish Law Commission (2007) (n </w:t>
      </w:r>
      <w:r w:rsidRPr="00675D56">
        <w:rPr>
          <w:rFonts w:asciiTheme="majorBidi" w:hAnsiTheme="majorBidi" w:cstheme="majorBidi"/>
        </w:rPr>
        <w:fldChar w:fldCharType="begin"/>
      </w:r>
      <w:r w:rsidRPr="00675D56">
        <w:rPr>
          <w:rFonts w:asciiTheme="majorBidi" w:hAnsiTheme="majorBidi" w:cstheme="majorBidi"/>
        </w:rPr>
        <w:instrText xml:space="preserve"> NOTEREF _Ref13063421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118</w:t>
      </w:r>
      <w:r w:rsidRPr="00675D56">
        <w:rPr>
          <w:rFonts w:asciiTheme="majorBidi" w:hAnsiTheme="majorBidi" w:cstheme="majorBidi"/>
        </w:rPr>
        <w:fldChar w:fldCharType="end"/>
      </w:r>
      <w:r w:rsidRPr="00675D56">
        <w:rPr>
          <w:rFonts w:asciiTheme="majorBidi" w:hAnsiTheme="majorBidi" w:cstheme="majorBidi"/>
        </w:rPr>
        <w:t>) [4.11].</w:t>
      </w:r>
    </w:p>
  </w:footnote>
  <w:footnote w:id="428">
    <w:p w14:paraId="4F9ACCA7" w14:textId="19A05CF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FLA</w:t>
      </w:r>
      <w:r w:rsidRPr="00675D56">
        <w:rPr>
          <w:rFonts w:asciiTheme="majorBidi" w:hAnsiTheme="majorBidi" w:cstheme="majorBidi"/>
        </w:rPr>
        <w:t xml:space="preserve"> Part VIIIB, s 90MS; ALRC, </w:t>
      </w:r>
      <w:r w:rsidRPr="00675D56">
        <w:rPr>
          <w:rFonts w:asciiTheme="majorBidi" w:hAnsiTheme="majorBidi" w:cstheme="majorBidi"/>
          <w:i/>
          <w:iCs/>
        </w:rPr>
        <w:t>Review of the Family Law System</w:t>
      </w:r>
      <w:r w:rsidRPr="00675D56">
        <w:rPr>
          <w:rFonts w:asciiTheme="majorBidi" w:hAnsiTheme="majorBidi" w:cstheme="majorBidi"/>
        </w:rPr>
        <w:t xml:space="preserve"> (Discussion Paper No 86, 2018) [3.132], Recs 75, 77.</w:t>
      </w:r>
    </w:p>
  </w:footnote>
  <w:footnote w:id="429">
    <w:p w14:paraId="1AAEA15F" w14:textId="42BDC23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bookmarkStart w:id="198" w:name="_Hlk8119486"/>
      <w:r w:rsidRPr="00675D56">
        <w:rPr>
          <w:rFonts w:asciiTheme="majorBidi" w:hAnsiTheme="majorBidi" w:cstheme="majorBidi"/>
        </w:rPr>
        <w:tab/>
        <w:t>Joint Select Committee on Certain Aspects of the Operation and Interpretation of the Family Law Act</w:t>
      </w:r>
      <w:bookmarkEnd w:id="198"/>
      <w:r w:rsidRPr="00675D56">
        <w:rPr>
          <w:rFonts w:asciiTheme="majorBidi" w:hAnsiTheme="majorBidi" w:cstheme="majorBidi"/>
        </w:rPr>
        <w:t xml:space="preserve">, </w:t>
      </w:r>
      <w:r w:rsidRPr="00675D56">
        <w:rPr>
          <w:rFonts w:asciiTheme="majorBidi" w:hAnsiTheme="majorBidi" w:cstheme="majorBidi"/>
          <w:i/>
          <w:iCs/>
        </w:rPr>
        <w:t xml:space="preserve">Inquiry into certain aspects of the operation and interpretation of the Family Law Act 1975 </w:t>
      </w:r>
      <w:r w:rsidRPr="00675D56">
        <w:rPr>
          <w:rFonts w:asciiTheme="majorBidi" w:hAnsiTheme="majorBidi" w:cstheme="majorBidi"/>
        </w:rPr>
        <w:t>(Report, November 1992) [9.2].</w:t>
      </w:r>
    </w:p>
  </w:footnote>
  <w:footnote w:id="430">
    <w:p w14:paraId="53C8AE42" w14:textId="3D6F9FF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ALRC, </w:t>
      </w:r>
      <w:r w:rsidRPr="00675D56">
        <w:rPr>
          <w:rFonts w:asciiTheme="majorBidi" w:hAnsiTheme="majorBidi" w:cstheme="majorBidi"/>
          <w:i/>
          <w:iCs/>
        </w:rPr>
        <w:t>Family Law for the Future – An Inquiry into the Family Law System</w:t>
      </w:r>
      <w:r w:rsidRPr="00675D56">
        <w:rPr>
          <w:rFonts w:asciiTheme="majorBidi" w:hAnsiTheme="majorBidi" w:cstheme="majorBidi"/>
        </w:rPr>
        <w:t xml:space="preserve"> (Final Report, ALRC Report 135, March 2019).</w:t>
      </w:r>
    </w:p>
  </w:footnote>
  <w:footnote w:id="431">
    <w:p w14:paraId="4C6E70A8" w14:textId="79AA4A6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[3.138].</w:t>
      </w:r>
    </w:p>
  </w:footnote>
  <w:footnote w:id="432">
    <w:p w14:paraId="05833040" w14:textId="537A0D57"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 [6.39].</w:t>
      </w:r>
    </w:p>
  </w:footnote>
  <w:footnote w:id="433">
    <w:p w14:paraId="231429FA" w14:textId="3301C31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_Ref13080479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3.4.5</w:t>
      </w:r>
      <w:r w:rsidRPr="00675D56">
        <w:rPr>
          <w:rFonts w:asciiTheme="majorBidi" w:hAnsiTheme="majorBidi" w:cstheme="majorBidi"/>
        </w:rPr>
        <w:fldChar w:fldCharType="end"/>
      </w:r>
      <w:r w:rsidRPr="00675D56">
        <w:rPr>
          <w:rFonts w:asciiTheme="majorBidi" w:hAnsiTheme="majorBidi" w:cstheme="majorBidi"/>
        </w:rPr>
        <w:t>] in relation to Canada and [</w:t>
      </w:r>
      <w:r w:rsidRPr="00675D56">
        <w:rPr>
          <w:rFonts w:asciiTheme="majorBidi" w:hAnsiTheme="majorBidi" w:cstheme="majorBidi"/>
        </w:rPr>
        <w:fldChar w:fldCharType="begin"/>
      </w:r>
      <w:r w:rsidRPr="00675D56">
        <w:rPr>
          <w:rFonts w:asciiTheme="majorBidi" w:hAnsiTheme="majorBidi" w:cstheme="majorBidi"/>
        </w:rPr>
        <w:instrText xml:space="preserve"> REF _Ref13487905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3.5.9</w:t>
      </w:r>
      <w:r w:rsidRPr="00675D56">
        <w:rPr>
          <w:rFonts w:asciiTheme="majorBidi" w:hAnsiTheme="majorBidi" w:cstheme="majorBidi"/>
        </w:rPr>
        <w:fldChar w:fldCharType="end"/>
      </w:r>
      <w:r w:rsidRPr="00675D56">
        <w:rPr>
          <w:rFonts w:asciiTheme="majorBidi" w:hAnsiTheme="majorBidi" w:cstheme="majorBidi"/>
        </w:rPr>
        <w:t>] in relation to New Zealand.</w:t>
      </w:r>
    </w:p>
  </w:footnote>
  <w:footnote w:id="434">
    <w:p w14:paraId="18085502" w14:textId="1FD626D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Saskatchewan, Manitoba and Ontario.</w:t>
      </w:r>
    </w:p>
  </w:footnote>
  <w:footnote w:id="435">
    <w:p w14:paraId="680D4239" w14:textId="3D0C635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_Ref13487951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429</w:t>
      </w:r>
      <w:r w:rsidRPr="00675D56">
        <w:rPr>
          <w:rFonts w:asciiTheme="majorBidi" w:hAnsiTheme="majorBidi" w:cstheme="majorBidi"/>
        </w:rPr>
        <w:fldChar w:fldCharType="end"/>
      </w:r>
      <w:r w:rsidRPr="00675D56">
        <w:rPr>
          <w:rFonts w:asciiTheme="majorBidi" w:hAnsiTheme="majorBidi" w:cstheme="majorBidi"/>
        </w:rPr>
        <w:t>).</w:t>
      </w:r>
    </w:p>
  </w:footnote>
  <w:footnote w:id="436">
    <w:p w14:paraId="6B011DC3" w14:textId="41267D0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This issue was raised by the Elder Law Committee and Ann Hamilton.</w:t>
      </w:r>
    </w:p>
  </w:footnote>
  <w:footnote w:id="437">
    <w:p w14:paraId="05B0CD55" w14:textId="124B99C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On this point, SALRI stated: ‘This effectively means that well advised testators, typically those with resources and access to specialist professional advice, enjoy testamentary freedom and can avoid the application of family provision laws.’: SALRI (n </w:t>
      </w:r>
      <w:r w:rsidRPr="00675D56">
        <w:rPr>
          <w:rFonts w:asciiTheme="majorBidi" w:hAnsiTheme="majorBidi" w:cstheme="majorBidi"/>
        </w:rPr>
        <w:fldChar w:fldCharType="begin"/>
      </w:r>
      <w:r w:rsidRPr="00675D56">
        <w:rPr>
          <w:rFonts w:asciiTheme="majorBidi" w:hAnsiTheme="majorBidi" w:cstheme="majorBidi"/>
        </w:rPr>
        <w:instrText xml:space="preserve"> NOTEREF _Ref2255831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202</w:t>
      </w:r>
      <w:r w:rsidRPr="00675D56">
        <w:rPr>
          <w:rFonts w:asciiTheme="majorBidi" w:hAnsiTheme="majorBidi" w:cstheme="majorBidi"/>
        </w:rPr>
        <w:fldChar w:fldCharType="end"/>
      </w:r>
      <w:r w:rsidRPr="00675D56">
        <w:rPr>
          <w:rFonts w:asciiTheme="majorBidi" w:hAnsiTheme="majorBidi" w:cstheme="majorBidi"/>
        </w:rPr>
        <w:t>) [8.1.1].</w:t>
      </w:r>
    </w:p>
  </w:footnote>
  <w:footnote w:id="438">
    <w:p w14:paraId="5C78081C" w14:textId="799BFD3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also </w:t>
      </w:r>
      <w:r w:rsidRPr="00675D56">
        <w:rPr>
          <w:rFonts w:asciiTheme="majorBidi" w:hAnsiTheme="majorBidi" w:cstheme="majorBidi"/>
          <w:i/>
          <w:iCs/>
        </w:rPr>
        <w:t>Universal Declaration of Human Rights</w:t>
      </w:r>
      <w:r w:rsidRPr="00675D56">
        <w:rPr>
          <w:rFonts w:asciiTheme="majorBidi" w:hAnsiTheme="majorBidi" w:cstheme="majorBidi"/>
        </w:rPr>
        <w:t>, G</w:t>
      </w:r>
      <w:r w:rsidRPr="00675D56">
        <w:rPr>
          <w:rFonts w:asciiTheme="majorBidi" w:hAnsiTheme="majorBidi" w:cstheme="majorBidi"/>
          <w:szCs w:val="20"/>
        </w:rPr>
        <w:t>A Res 217A (III), UN GAOR, 3</w:t>
      </w:r>
      <w:r w:rsidRPr="00675D56">
        <w:rPr>
          <w:rFonts w:asciiTheme="majorBidi" w:hAnsiTheme="majorBidi" w:cstheme="majorBidi"/>
          <w:szCs w:val="20"/>
          <w:vertAlign w:val="superscript"/>
        </w:rPr>
        <w:t>rd</w:t>
      </w:r>
      <w:r w:rsidRPr="00675D56">
        <w:rPr>
          <w:rFonts w:asciiTheme="majorBidi" w:hAnsiTheme="majorBidi" w:cstheme="majorBidi"/>
          <w:szCs w:val="20"/>
        </w:rPr>
        <w:t xml:space="preserve"> Sess, 183</w:t>
      </w:r>
      <w:r w:rsidRPr="00675D56">
        <w:rPr>
          <w:rFonts w:asciiTheme="majorBidi" w:hAnsiTheme="majorBidi" w:cstheme="majorBidi"/>
          <w:szCs w:val="20"/>
          <w:vertAlign w:val="superscript"/>
        </w:rPr>
        <w:t>rd</w:t>
      </w:r>
      <w:r w:rsidRPr="00675D56">
        <w:rPr>
          <w:rFonts w:asciiTheme="majorBidi" w:hAnsiTheme="majorBidi" w:cstheme="majorBidi"/>
          <w:szCs w:val="20"/>
        </w:rPr>
        <w:t xml:space="preserve"> Plen Mtg, UN Doc A/810 (10 December 1948) art 17(2).</w:t>
      </w:r>
    </w:p>
  </w:footnote>
  <w:footnote w:id="439">
    <w:p w14:paraId="2CAEA2EA" w14:textId="41B6552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This point was made by the Institute of Chartered Accountants in England and Wales in its submission to the EUC: EUC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_Ref13343534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88</w:t>
      </w:r>
      <w:r w:rsidRPr="00675D56">
        <w:rPr>
          <w:rFonts w:asciiTheme="majorBidi" w:hAnsiTheme="majorBidi" w:cstheme="majorBidi"/>
        </w:rPr>
        <w:fldChar w:fldCharType="end"/>
      </w:r>
      <w:r w:rsidRPr="00675D56">
        <w:rPr>
          <w:rFonts w:asciiTheme="majorBidi" w:hAnsiTheme="majorBidi" w:cstheme="majorBidi"/>
        </w:rPr>
        <w:t xml:space="preserve">) 73. See also 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 [4.22].</w:t>
      </w:r>
    </w:p>
  </w:footnote>
  <w:footnote w:id="440">
    <w:p w14:paraId="4F0B5213" w14:textId="7744D3C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 [4.4].</w:t>
      </w:r>
    </w:p>
  </w:footnote>
  <w:footnote w:id="441">
    <w:p w14:paraId="069656FF" w14:textId="3C480E3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 xml:space="preserve">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_Ref12897342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72</w:t>
      </w:r>
      <w:r w:rsidRPr="00675D56">
        <w:rPr>
          <w:rFonts w:asciiTheme="majorBidi" w:hAnsiTheme="majorBidi" w:cstheme="majorBidi"/>
        </w:rPr>
        <w:fldChar w:fldCharType="end"/>
      </w:r>
      <w:r w:rsidRPr="00675D56">
        <w:rPr>
          <w:rFonts w:asciiTheme="majorBidi" w:hAnsiTheme="majorBidi" w:cstheme="majorBidi"/>
        </w:rPr>
        <w:t>) 36.</w:t>
      </w:r>
    </w:p>
  </w:footnote>
  <w:footnote w:id="442">
    <w:p w14:paraId="6B6F974A" w14:textId="703D580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Re Estate Grant, deceased</w:t>
      </w:r>
      <w:r w:rsidRPr="00675D56">
        <w:rPr>
          <w:rFonts w:asciiTheme="majorBidi" w:hAnsiTheme="majorBidi" w:cstheme="majorBidi"/>
        </w:rPr>
        <w:t xml:space="preserve"> [2018] NSWSC 1031 (Lindsay J).</w:t>
      </w:r>
    </w:p>
  </w:footnote>
  <w:footnote w:id="443">
    <w:p w14:paraId="39ABB3E9" w14:textId="5A4EBF5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[193].</w:t>
      </w:r>
    </w:p>
  </w:footnote>
  <w:footnote w:id="444">
    <w:p w14:paraId="581170DD" w14:textId="0008A98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Robert Young made this point in his submission. </w:t>
      </w:r>
    </w:p>
  </w:footnote>
  <w:footnote w:id="445">
    <w:p w14:paraId="07D4E4EE" w14:textId="675B841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r>
      <w:r w:rsidRPr="00675D56">
        <w:rPr>
          <w:rFonts w:asciiTheme="majorBidi" w:hAnsiTheme="majorBidi" w:cstheme="majorBidi"/>
          <w:i/>
          <w:iCs/>
        </w:rPr>
        <w:t>Re Estate Grant, deceased</w:t>
      </w:r>
      <w:r w:rsidRPr="00675D56">
        <w:rPr>
          <w:rFonts w:asciiTheme="majorBidi" w:hAnsiTheme="majorBidi" w:cstheme="majorBidi"/>
        </w:rPr>
        <w:t xml:space="preserve"> [2018] NSWSC 1031.</w:t>
      </w:r>
    </w:p>
  </w:footnote>
  <w:footnote w:id="446">
    <w:p w14:paraId="0D5F2281" w14:textId="67C1BC6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w:t>
      </w:r>
    </w:p>
  </w:footnote>
  <w:footnote w:id="447">
    <w:p w14:paraId="15BB7081" w14:textId="0DC7B1D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ab/>
        <w:t>Ibid [69].</w:t>
      </w:r>
    </w:p>
  </w:footnote>
  <w:footnote w:id="448">
    <w:p w14:paraId="1356CB03" w14:textId="6481924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Part 4 outlines in detail the provisions of the NSW </w:t>
      </w:r>
      <w:r w:rsidRPr="00675D56">
        <w:rPr>
          <w:rFonts w:asciiTheme="majorBidi" w:hAnsiTheme="majorBidi" w:cstheme="majorBidi"/>
          <w:i/>
          <w:iCs/>
        </w:rPr>
        <w:t>Succession Act</w:t>
      </w:r>
      <w:r w:rsidRPr="00675D56">
        <w:rPr>
          <w:rFonts w:asciiTheme="majorBidi" w:hAnsiTheme="majorBidi" w:cstheme="majorBidi"/>
        </w:rPr>
        <w:t>.</w:t>
      </w:r>
    </w:p>
  </w:footnote>
  <w:footnote w:id="449">
    <w:p w14:paraId="0E497EEA" w14:textId="148BE25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Refer to [</w:t>
      </w:r>
      <w:r w:rsidRPr="00675D56">
        <w:rPr>
          <w:rFonts w:asciiTheme="majorBidi" w:hAnsiTheme="majorBidi" w:cstheme="majorBidi"/>
        </w:rPr>
        <w:fldChar w:fldCharType="begin"/>
      </w:r>
      <w:r w:rsidRPr="00675D56">
        <w:rPr>
          <w:rFonts w:asciiTheme="majorBidi" w:hAnsiTheme="majorBidi" w:cstheme="majorBidi"/>
        </w:rPr>
        <w:instrText xml:space="preserve"> REF _Ref13083315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3.7.2</w:t>
      </w:r>
      <w:r w:rsidRPr="00675D56">
        <w:rPr>
          <w:rFonts w:asciiTheme="majorBidi" w:hAnsiTheme="majorBidi" w:cstheme="majorBidi"/>
        </w:rPr>
        <w:fldChar w:fldCharType="end"/>
      </w:r>
      <w:r w:rsidRPr="00675D56">
        <w:rPr>
          <w:rFonts w:asciiTheme="majorBidi" w:hAnsiTheme="majorBidi" w:cstheme="majorBidi"/>
        </w:rPr>
        <w:t>].</w:t>
      </w:r>
    </w:p>
  </w:footnote>
  <w:footnote w:id="450">
    <w:p w14:paraId="46D15B54" w14:textId="66EBD38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_Ref13083698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179</w:t>
      </w:r>
      <w:r w:rsidRPr="00675D56">
        <w:rPr>
          <w:rFonts w:asciiTheme="majorBidi" w:hAnsiTheme="majorBidi" w:cstheme="majorBidi"/>
        </w:rPr>
        <w:fldChar w:fldCharType="end"/>
      </w:r>
      <w:r w:rsidRPr="00675D56">
        <w:rPr>
          <w:rFonts w:asciiTheme="majorBidi" w:hAnsiTheme="majorBidi" w:cstheme="majorBidi"/>
        </w:rPr>
        <w:t xml:space="preserve">) 740. Croucher has separately made the following observation about the passing of the New South Wales Bill: ‘Parliamentary Counsel and the Commissioner, Gressier, disagreed on several fundamental issues concerning the Bill, eventually narrowing down to two, but major, issues: the definition of “eligible person” and the notional estate provisions, but it dragged the process of implementation out over several years. It was like a game of “ping pong”. The disagreement was eventually resolved by a compromise, the Commission giving way on notional estate and Parliamentary Counsel giving way on eligibility …’: Croucher (n </w:t>
      </w:r>
      <w:r w:rsidRPr="00675D56">
        <w:rPr>
          <w:rFonts w:asciiTheme="majorBidi" w:hAnsiTheme="majorBidi" w:cstheme="majorBidi"/>
        </w:rPr>
        <w:fldChar w:fldCharType="begin"/>
      </w:r>
      <w:r w:rsidRPr="00675D56">
        <w:rPr>
          <w:rFonts w:asciiTheme="majorBidi" w:hAnsiTheme="majorBidi" w:cstheme="majorBidi"/>
        </w:rPr>
        <w:instrText xml:space="preserve"> NOTEREF _Ref13151169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209</w:t>
      </w:r>
      <w:r w:rsidRPr="00675D56">
        <w:rPr>
          <w:rFonts w:asciiTheme="majorBidi" w:hAnsiTheme="majorBidi" w:cstheme="majorBidi"/>
        </w:rPr>
        <w:fldChar w:fldCharType="end"/>
      </w:r>
      <w:r w:rsidRPr="00675D56">
        <w:rPr>
          <w:rFonts w:asciiTheme="majorBidi" w:hAnsiTheme="majorBidi" w:cstheme="majorBidi"/>
        </w:rPr>
        <w:t>) 7.</w:t>
      </w:r>
    </w:p>
  </w:footnote>
  <w:footnote w:id="451">
    <w:p w14:paraId="687CC966" w14:textId="3414485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Submission #4, Dorothy Lowe and siblings, Essen Bradbury, Heather Dunn, Ann Hamilton, Phillipa Alexander, Justin McMullen, Geoffrey Nash, Steven Bishop, Elder Law Committee, Alice Grubb, Submission 2I, joint submission of Christine Schokman, Dexter Marcenko and Michael Flanagan, Sam McCullough, James Walker.</w:t>
      </w:r>
    </w:p>
  </w:footnote>
  <w:footnote w:id="452">
    <w:p w14:paraId="4293BC96" w14:textId="219575D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Submission #4, Dorothy Lowe and siblings, Essen Bradbury, Heather Dunn, Justin McMullen, Steven Bishop, Elder Law Committee, joint submission of Christine Schokman, Dexter Marcenko and Michael Flanagan. </w:t>
      </w:r>
    </w:p>
  </w:footnote>
  <w:footnote w:id="453">
    <w:p w14:paraId="51B69B81" w14:textId="33F959E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Sam McCullough made similar observations about the existence of a body of available jurisprudence from New South Wales. </w:t>
      </w:r>
    </w:p>
  </w:footnote>
  <w:footnote w:id="454">
    <w:p w14:paraId="547F90AC" w14:textId="39E35331"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Justice Atkinson (n </w:t>
      </w:r>
      <w:r w:rsidRPr="00675D56">
        <w:rPr>
          <w:rFonts w:asciiTheme="majorBidi" w:hAnsiTheme="majorBidi" w:cstheme="majorBidi"/>
        </w:rPr>
        <w:fldChar w:fldCharType="begin"/>
      </w:r>
      <w:r w:rsidRPr="00675D56">
        <w:rPr>
          <w:rFonts w:asciiTheme="majorBidi" w:hAnsiTheme="majorBidi" w:cstheme="majorBidi"/>
        </w:rPr>
        <w:instrText xml:space="preserve"> NOTEREF _Ref13493324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24</w:t>
      </w:r>
      <w:r w:rsidRPr="00675D56">
        <w:rPr>
          <w:rFonts w:asciiTheme="majorBidi" w:hAnsiTheme="majorBidi" w:cstheme="majorBidi"/>
        </w:rPr>
        <w:fldChar w:fldCharType="end"/>
      </w:r>
      <w:r w:rsidRPr="00675D56">
        <w:rPr>
          <w:rFonts w:asciiTheme="majorBidi" w:hAnsiTheme="majorBidi" w:cstheme="majorBidi"/>
        </w:rPr>
        <w:t>) 18.</w:t>
      </w:r>
    </w:p>
  </w:footnote>
  <w:footnote w:id="455">
    <w:p w14:paraId="0CAB1514" w14:textId="7DD5AE8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Ann Hamilton, Alice Grubb, Essen Bradbury, Justin McMullen, Submission #2I, Phillipa Alexander, Dorothy Lowe and siblings, Sam McCullough, James Walker. </w:t>
      </w:r>
    </w:p>
  </w:footnote>
  <w:footnote w:id="456">
    <w:p w14:paraId="04043FC3" w14:textId="0996A9C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Geoffrey Nash.</w:t>
      </w:r>
    </w:p>
  </w:footnote>
  <w:footnote w:id="457">
    <w:p w14:paraId="78930B86" w14:textId="244B19B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_Ref13493394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4.4</w:t>
      </w:r>
      <w:r w:rsidRPr="00675D56">
        <w:rPr>
          <w:rFonts w:asciiTheme="majorBidi" w:hAnsiTheme="majorBidi" w:cstheme="majorBidi"/>
        </w:rPr>
        <w:fldChar w:fldCharType="end"/>
      </w:r>
      <w:r w:rsidRPr="00675D56">
        <w:rPr>
          <w:rFonts w:asciiTheme="majorBidi" w:hAnsiTheme="majorBidi" w:cstheme="majorBidi"/>
        </w:rPr>
        <w:t>] for detail of the property that may be affected by a notional estate order.</w:t>
      </w:r>
    </w:p>
  </w:footnote>
  <w:footnote w:id="458">
    <w:p w14:paraId="78CDFA88" w14:textId="1F0C000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Phillipa Alexander, Geoffrey Nash. </w:t>
      </w:r>
    </w:p>
  </w:footnote>
  <w:footnote w:id="459">
    <w:p w14:paraId="61E678E6" w14:textId="5AFBB38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Ann Hamilton, Robert Young, Sam McCullough.</w:t>
      </w:r>
    </w:p>
  </w:footnote>
  <w:footnote w:id="460">
    <w:p w14:paraId="79336EE2" w14:textId="5A3F0E8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Ann Hamilton, Submission #2I, Sam McCullough, James Walker. </w:t>
      </w:r>
    </w:p>
  </w:footnote>
  <w:footnote w:id="461">
    <w:p w14:paraId="6A7D0A33" w14:textId="24D35BB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_Ref13493438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5.5.52</w:t>
      </w:r>
      <w:r w:rsidRPr="00675D56">
        <w:rPr>
          <w:rFonts w:asciiTheme="majorBidi" w:hAnsiTheme="majorBidi" w:cstheme="majorBidi"/>
        </w:rPr>
        <w:fldChar w:fldCharType="end"/>
      </w:r>
      <w:r w:rsidRPr="00675D56">
        <w:rPr>
          <w:rFonts w:asciiTheme="majorBidi" w:hAnsiTheme="majorBidi" w:cstheme="majorBidi"/>
        </w:rPr>
        <w:t>].</w:t>
      </w:r>
    </w:p>
  </w:footnote>
  <w:footnote w:id="462">
    <w:p w14:paraId="2854314C" w14:textId="3E2DCD5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Essen Bradbury, Ann Hamilton, Sam McCullough. </w:t>
      </w:r>
    </w:p>
  </w:footnote>
  <w:footnote w:id="463">
    <w:p w14:paraId="1095F885" w14:textId="43B75EC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_Ref13493451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4.4.3</w:t>
      </w:r>
      <w:r w:rsidRPr="00675D56">
        <w:rPr>
          <w:rFonts w:asciiTheme="majorBidi" w:hAnsiTheme="majorBidi" w:cstheme="majorBidi"/>
        </w:rPr>
        <w:fldChar w:fldCharType="end"/>
      </w:r>
      <w:r w:rsidRPr="00675D56">
        <w:rPr>
          <w:rFonts w:asciiTheme="majorBidi" w:hAnsiTheme="majorBidi" w:cstheme="majorBidi"/>
        </w:rPr>
        <w:t xml:space="preserve">] for explanation. </w:t>
      </w:r>
    </w:p>
  </w:footnote>
  <w:footnote w:id="464">
    <w:p w14:paraId="0FC7C4CC" w14:textId="5218DC1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w:t>
      </w:r>
      <w:r w:rsidRPr="00675D56" w:rsidDel="00A47813">
        <w:rPr>
          <w:rFonts w:asciiTheme="majorBidi" w:hAnsiTheme="majorBidi" w:cstheme="majorBidi"/>
        </w:rPr>
        <w:t xml:space="preserve"> </w:t>
      </w:r>
      <w:r w:rsidRPr="00675D56">
        <w:rPr>
          <w:rFonts w:asciiTheme="majorBidi" w:hAnsiTheme="majorBidi" w:cstheme="majorBidi"/>
        </w:rPr>
        <w:t>[4.25].</w:t>
      </w:r>
    </w:p>
  </w:footnote>
  <w:footnote w:id="465">
    <w:p w14:paraId="79AE9E10" w14:textId="2D19A46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Pr>
          <w:rFonts w:asciiTheme="majorBidi" w:hAnsiTheme="majorBidi" w:cstheme="majorBidi"/>
        </w:rPr>
        <w:tab/>
      </w:r>
      <w:r w:rsidRPr="00675D56">
        <w:rPr>
          <w:rFonts w:asciiTheme="majorBidi" w:hAnsiTheme="majorBidi" w:cstheme="majorBidi"/>
        </w:rPr>
        <w:t xml:space="preserve">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_Ref1905366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194</w:t>
      </w:r>
      <w:r w:rsidRPr="00675D56">
        <w:rPr>
          <w:rFonts w:asciiTheme="majorBidi" w:hAnsiTheme="majorBidi" w:cstheme="majorBidi"/>
        </w:rPr>
        <w:fldChar w:fldCharType="end"/>
      </w:r>
      <w:r w:rsidRPr="00675D56">
        <w:rPr>
          <w:rFonts w:asciiTheme="majorBidi" w:hAnsiTheme="majorBidi" w:cstheme="majorBidi"/>
        </w:rPr>
        <w:t xml:space="preserve">) [6.181]. It was also considered by ALRI which noted that it was ‘very difficult’ to determine a person’s intentions when entering into what it referred to as a ‘will-substitute’: ALRI (n </w:t>
      </w:r>
      <w:r w:rsidRPr="00675D56">
        <w:rPr>
          <w:rFonts w:asciiTheme="majorBidi" w:hAnsiTheme="majorBidi" w:cstheme="majorBidi"/>
        </w:rPr>
        <w:fldChar w:fldCharType="begin"/>
      </w:r>
      <w:r w:rsidRPr="00675D56">
        <w:rPr>
          <w:rFonts w:asciiTheme="majorBidi" w:hAnsiTheme="majorBidi" w:cstheme="majorBidi"/>
        </w:rPr>
        <w:instrText xml:space="preserve"> NOTEREF _Ref13069149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82</w:t>
      </w:r>
      <w:r w:rsidRPr="00675D56">
        <w:rPr>
          <w:rFonts w:asciiTheme="majorBidi" w:hAnsiTheme="majorBidi" w:cstheme="majorBidi"/>
        </w:rPr>
        <w:fldChar w:fldCharType="end"/>
      </w:r>
      <w:r w:rsidRPr="00675D56">
        <w:rPr>
          <w:rFonts w:asciiTheme="majorBidi" w:hAnsiTheme="majorBidi" w:cstheme="majorBidi"/>
        </w:rPr>
        <w:t xml:space="preserve">) [429]. ALRI stated ‘it is often very difficult to prove that the deceased intended to defeat the claim of the surviving spouse. For example, if a wife ensures that everything passes outside her estate and vests in her children from an earlier marriage, is she showing her love for her children or her intention to defeat her husband’s claim? Even if her intention is to defeat the claim of her husband, will her children know of this intention or will they just assume she was showing her great love for them?’: at [456]. Difficulties of establishing the relevant intention have also been highlighted by the WALRC: 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 [4.9], [4.24].</w:t>
      </w:r>
    </w:p>
  </w:footnote>
  <w:footnote w:id="466">
    <w:p w14:paraId="31B0B577" w14:textId="5CB3FB8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Geoffrey Nash. </w:t>
      </w:r>
    </w:p>
  </w:footnote>
  <w:footnote w:id="467">
    <w:p w14:paraId="4F9A23DA" w14:textId="5B3DB51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_Ref1905366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194</w:t>
      </w:r>
      <w:r w:rsidRPr="00675D56">
        <w:rPr>
          <w:rFonts w:asciiTheme="majorBidi" w:hAnsiTheme="majorBidi" w:cstheme="majorBidi"/>
        </w:rPr>
        <w:fldChar w:fldCharType="end"/>
      </w:r>
      <w:r w:rsidRPr="00675D56">
        <w:rPr>
          <w:rFonts w:asciiTheme="majorBidi" w:hAnsiTheme="majorBidi" w:cstheme="majorBidi"/>
        </w:rPr>
        <w:t>) [6.183].</w:t>
      </w:r>
    </w:p>
  </w:footnote>
  <w:footnote w:id="468">
    <w:p w14:paraId="0DB0D1B4" w14:textId="6008A47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NSW </w:t>
      </w:r>
      <w:r w:rsidRPr="00675D56">
        <w:rPr>
          <w:rFonts w:asciiTheme="majorBidi" w:hAnsiTheme="majorBidi" w:cstheme="majorBidi"/>
          <w:i/>
          <w:iCs/>
        </w:rPr>
        <w:t xml:space="preserve">Succession Act </w:t>
      </w:r>
      <w:r w:rsidRPr="00675D56">
        <w:rPr>
          <w:rFonts w:asciiTheme="majorBidi" w:hAnsiTheme="majorBidi" w:cstheme="majorBidi"/>
        </w:rPr>
        <w:t>s 80(2).</w:t>
      </w:r>
    </w:p>
  </w:footnote>
  <w:footnote w:id="469">
    <w:p w14:paraId="505184D7" w14:textId="07564CE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 xml:space="preserve">Law Commission (England &amp; Wales) (n </w:t>
      </w:r>
      <w:r w:rsidRPr="00675D56">
        <w:rPr>
          <w:rFonts w:asciiTheme="majorBidi" w:hAnsiTheme="majorBidi" w:cstheme="majorBidi"/>
        </w:rPr>
        <w:fldChar w:fldCharType="begin"/>
      </w:r>
      <w:r w:rsidRPr="00675D56">
        <w:rPr>
          <w:rFonts w:asciiTheme="majorBidi" w:hAnsiTheme="majorBidi" w:cstheme="majorBidi"/>
        </w:rPr>
        <w:instrText xml:space="preserve"> NOTEREF _Ref12897342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72</w:t>
      </w:r>
      <w:r w:rsidRPr="00675D56">
        <w:rPr>
          <w:rFonts w:asciiTheme="majorBidi" w:hAnsiTheme="majorBidi" w:cstheme="majorBidi"/>
        </w:rPr>
        <w:fldChar w:fldCharType="end"/>
      </w:r>
      <w:r w:rsidRPr="00675D56">
        <w:rPr>
          <w:rFonts w:asciiTheme="majorBidi" w:hAnsiTheme="majorBidi" w:cstheme="majorBidi"/>
        </w:rPr>
        <w:t>) 53.</w:t>
      </w:r>
    </w:p>
  </w:footnote>
  <w:footnote w:id="470">
    <w:p w14:paraId="132A78E2" w14:textId="27849A2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Scottish Law Commission (2007) (n </w:t>
      </w:r>
      <w:r w:rsidRPr="00675D56">
        <w:rPr>
          <w:rFonts w:asciiTheme="majorBidi" w:hAnsiTheme="majorBidi" w:cstheme="majorBidi"/>
        </w:rPr>
        <w:fldChar w:fldCharType="begin"/>
      </w:r>
      <w:r w:rsidRPr="00675D56">
        <w:rPr>
          <w:rFonts w:asciiTheme="majorBidi" w:hAnsiTheme="majorBidi" w:cstheme="majorBidi"/>
        </w:rPr>
        <w:instrText xml:space="preserve"> NOTEREF _Ref13063421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118</w:t>
      </w:r>
      <w:r w:rsidRPr="00675D56">
        <w:rPr>
          <w:rFonts w:asciiTheme="majorBidi" w:hAnsiTheme="majorBidi" w:cstheme="majorBidi"/>
        </w:rPr>
        <w:fldChar w:fldCharType="end"/>
      </w:r>
      <w:r w:rsidRPr="00675D56">
        <w:rPr>
          <w:rFonts w:asciiTheme="majorBidi" w:hAnsiTheme="majorBidi" w:cstheme="majorBidi"/>
        </w:rPr>
        <w:t>) [4.21].</w:t>
      </w:r>
    </w:p>
  </w:footnote>
  <w:footnote w:id="471">
    <w:p w14:paraId="5E2EA563" w14:textId="745A65F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Dorothy Lowe and siblings, Essen Bradbury, Phillipa Alexander, Geoffrey Nash, Ann Hamilton, Justin McMullen, Submission #2I, Alice Grubb, James Walker. </w:t>
      </w:r>
    </w:p>
  </w:footnote>
  <w:footnote w:id="472">
    <w:p w14:paraId="2923D4DC" w14:textId="02CFBF6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Dorothy Lowe and siblings.</w:t>
      </w:r>
    </w:p>
  </w:footnote>
  <w:footnote w:id="473">
    <w:p w14:paraId="7AA9F41D" w14:textId="7ED3F1A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Essen Bradbury, Phillipa Alexander. Geoffrey Nash also submitted that the period of time should be shortened, without specifying a time limit.</w:t>
      </w:r>
    </w:p>
  </w:footnote>
  <w:footnote w:id="474">
    <w:p w14:paraId="04E6A202" w14:textId="2109859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Justin McMullen, Alice Grubb, Submission #2I, Ann Hamilton. </w:t>
      </w:r>
    </w:p>
  </w:footnote>
  <w:footnote w:id="475">
    <w:p w14:paraId="4190D526" w14:textId="36E5AE2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The WALRC has expressed similar views: 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 [4.27].</w:t>
      </w:r>
    </w:p>
  </w:footnote>
  <w:footnote w:id="476">
    <w:p w14:paraId="587AB641" w14:textId="5D4B5FF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shd w:val="clear" w:color="auto" w:fill="FFFFFF"/>
        </w:rPr>
        <w:t>Rosalind F Croucher, ‘Succession Law Reform in NSW – 2011 Update’</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(Speech, Succession Law Conference, 17 September 2011).</w:t>
      </w:r>
    </w:p>
  </w:footnote>
  <w:footnote w:id="477">
    <w:p w14:paraId="1ECBA9D2" w14:textId="7B09658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Ann Hamilton.</w:t>
      </w:r>
    </w:p>
  </w:footnote>
  <w:footnote w:id="478">
    <w:p w14:paraId="67929944" w14:textId="5B2C773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Submission #2I.</w:t>
      </w:r>
    </w:p>
  </w:footnote>
  <w:footnote w:id="479">
    <w:p w14:paraId="6A2F0531" w14:textId="4349936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Submission #1I.</w:t>
      </w:r>
    </w:p>
  </w:footnote>
  <w:footnote w:id="480">
    <w:p w14:paraId="2EBF44BB" w14:textId="39AD857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Submission #2I.</w:t>
      </w:r>
    </w:p>
  </w:footnote>
  <w:footnote w:id="481">
    <w:p w14:paraId="7ABC7F64" w14:textId="137CA91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_Ref13500857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5.5.28</w:t>
      </w:r>
      <w:r w:rsidRPr="00675D56">
        <w:rPr>
          <w:rFonts w:asciiTheme="majorBidi" w:hAnsiTheme="majorBidi" w:cstheme="majorBidi"/>
        </w:rPr>
        <w:fldChar w:fldCharType="end"/>
      </w:r>
      <w:r w:rsidRPr="00675D56">
        <w:rPr>
          <w:rFonts w:asciiTheme="majorBidi" w:hAnsiTheme="majorBidi" w:cstheme="majorBidi"/>
        </w:rPr>
        <w:t>].</w:t>
      </w:r>
    </w:p>
  </w:footnote>
  <w:footnote w:id="482">
    <w:p w14:paraId="20C5AD6B" w14:textId="3D76955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The EUC also noted this challenge, remarking that it requires will</w:t>
      </w:r>
      <w:r>
        <w:rPr>
          <w:rFonts w:asciiTheme="majorBidi" w:hAnsiTheme="majorBidi" w:cstheme="majorBidi"/>
        </w:rPr>
        <w:t>-</w:t>
      </w:r>
      <w:r w:rsidRPr="00675D56">
        <w:rPr>
          <w:rFonts w:asciiTheme="majorBidi" w:hAnsiTheme="majorBidi" w:cstheme="majorBidi"/>
        </w:rPr>
        <w:t xml:space="preserve">makers to realise the difference in applicable laws when they move to a jurisdiction with clawback provisions: EUC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_Ref13343534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88</w:t>
      </w:r>
      <w:r w:rsidRPr="00675D56">
        <w:rPr>
          <w:rFonts w:asciiTheme="majorBidi" w:hAnsiTheme="majorBidi" w:cstheme="majorBidi"/>
        </w:rPr>
        <w:fldChar w:fldCharType="end"/>
      </w:r>
      <w:r w:rsidRPr="00675D56">
        <w:rPr>
          <w:rFonts w:asciiTheme="majorBidi" w:hAnsiTheme="majorBidi" w:cstheme="majorBidi"/>
        </w:rPr>
        <w:t>) [96].</w:t>
      </w:r>
    </w:p>
  </w:footnote>
  <w:footnote w:id="483">
    <w:p w14:paraId="32BA530A" w14:textId="58A4A9C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NSW </w:t>
      </w:r>
      <w:r w:rsidRPr="00A97111">
        <w:rPr>
          <w:rFonts w:asciiTheme="majorBidi" w:hAnsiTheme="majorBidi" w:cstheme="majorBidi"/>
          <w:i/>
          <w:iCs/>
        </w:rPr>
        <w:t>Succession Act</w:t>
      </w:r>
      <w:r w:rsidRPr="00675D56">
        <w:rPr>
          <w:rFonts w:asciiTheme="majorBidi" w:hAnsiTheme="majorBidi" w:cstheme="majorBidi"/>
        </w:rPr>
        <w:t xml:space="preserve"> s 95.</w:t>
      </w:r>
    </w:p>
  </w:footnote>
  <w:footnote w:id="484">
    <w:p w14:paraId="20C12095" w14:textId="6D2CC499" w:rsidR="00C61533" w:rsidRPr="00675D56" w:rsidRDefault="00C61533" w:rsidP="00475E66">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VLRC (n </w:t>
      </w:r>
      <w:r w:rsidRPr="00675D56">
        <w:rPr>
          <w:rFonts w:asciiTheme="majorBidi" w:hAnsiTheme="majorBidi" w:cstheme="majorBidi"/>
        </w:rPr>
        <w:fldChar w:fldCharType="begin"/>
      </w:r>
      <w:r w:rsidRPr="00675D56">
        <w:rPr>
          <w:rFonts w:asciiTheme="majorBidi" w:hAnsiTheme="majorBidi" w:cstheme="majorBidi"/>
        </w:rPr>
        <w:instrText xml:space="preserve"> NOTEREF _Ref1905366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194</w:t>
      </w:r>
      <w:r w:rsidRPr="00675D56">
        <w:rPr>
          <w:rFonts w:asciiTheme="majorBidi" w:hAnsiTheme="majorBidi" w:cstheme="majorBidi"/>
        </w:rPr>
        <w:fldChar w:fldCharType="end"/>
      </w:r>
      <w:r w:rsidRPr="00675D56">
        <w:rPr>
          <w:rFonts w:asciiTheme="majorBidi" w:hAnsiTheme="majorBidi" w:cstheme="majorBidi"/>
        </w:rPr>
        <w:t>) Rec 48.</w:t>
      </w:r>
    </w:p>
  </w:footnote>
  <w:footnote w:id="485">
    <w:p w14:paraId="42C30B49" w14:textId="4894239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_Ref13501077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5.6.2</w:t>
      </w:r>
      <w:r w:rsidRPr="00675D56">
        <w:rPr>
          <w:rFonts w:asciiTheme="majorBidi" w:hAnsiTheme="majorBidi" w:cstheme="majorBidi"/>
        </w:rPr>
        <w:fldChar w:fldCharType="end"/>
      </w:r>
      <w:r w:rsidRPr="00675D56">
        <w:rPr>
          <w:rFonts w:asciiTheme="majorBidi" w:hAnsiTheme="majorBidi" w:cstheme="majorBidi"/>
        </w:rPr>
        <w:t>].</w:t>
      </w:r>
    </w:p>
  </w:footnote>
  <w:footnote w:id="486">
    <w:p w14:paraId="4F94B760" w14:textId="0EFD021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_Ref13503116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5.5.14</w:t>
      </w:r>
      <w:r w:rsidRPr="00675D56">
        <w:rPr>
          <w:rFonts w:asciiTheme="majorBidi" w:hAnsiTheme="majorBidi" w:cstheme="majorBidi"/>
        </w:rPr>
        <w:fldChar w:fldCharType="end"/>
      </w:r>
      <w:r w:rsidRPr="00675D56">
        <w:rPr>
          <w:rFonts w:asciiTheme="majorBidi" w:hAnsiTheme="majorBidi" w:cstheme="majorBidi"/>
        </w:rPr>
        <w:t>].</w:t>
      </w:r>
    </w:p>
  </w:footnote>
  <w:footnote w:id="487">
    <w:p w14:paraId="174BBF22" w14:textId="44F2D63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_Ref13503131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5.2.16</w:t>
      </w:r>
      <w:r w:rsidRPr="00675D56">
        <w:rPr>
          <w:rFonts w:asciiTheme="majorBidi" w:hAnsiTheme="majorBidi" w:cstheme="majorBidi"/>
        </w:rPr>
        <w:fldChar w:fldCharType="end"/>
      </w:r>
      <w:r w:rsidRPr="00675D56">
        <w:rPr>
          <w:rFonts w:asciiTheme="majorBidi" w:hAnsiTheme="majorBidi" w:cstheme="majorBidi"/>
        </w:rPr>
        <w:t>].</w:t>
      </w:r>
    </w:p>
  </w:footnote>
  <w:footnote w:id="488">
    <w:p w14:paraId="4FF04C59" w14:textId="57330A3D"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See [</w:t>
      </w:r>
      <w:r w:rsidRPr="00675D56">
        <w:rPr>
          <w:rFonts w:asciiTheme="majorBidi" w:hAnsiTheme="majorBidi" w:cstheme="majorBidi"/>
        </w:rPr>
        <w:fldChar w:fldCharType="begin"/>
      </w:r>
      <w:r w:rsidRPr="00675D56">
        <w:rPr>
          <w:rFonts w:asciiTheme="majorBidi" w:hAnsiTheme="majorBidi" w:cstheme="majorBidi"/>
        </w:rPr>
        <w:instrText xml:space="preserve"> REF _Ref13503149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5.2.10</w:t>
      </w:r>
      <w:r w:rsidRPr="00675D56">
        <w:rPr>
          <w:rFonts w:asciiTheme="majorBidi" w:hAnsiTheme="majorBidi" w:cstheme="majorBidi"/>
        </w:rPr>
        <w:fldChar w:fldCharType="end"/>
      </w:r>
      <w:r w:rsidRPr="00675D56">
        <w:rPr>
          <w:rFonts w:asciiTheme="majorBidi" w:hAnsiTheme="majorBidi" w:cstheme="majorBidi"/>
        </w:rPr>
        <w:t>].</w:t>
      </w:r>
    </w:p>
  </w:footnote>
  <w:footnote w:id="489">
    <w:p w14:paraId="50ADD9BB" w14:textId="543B0EC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_Ref13302837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5.5.19</w:t>
      </w:r>
      <w:r w:rsidRPr="00675D56">
        <w:rPr>
          <w:rFonts w:asciiTheme="majorBidi" w:hAnsiTheme="majorBidi" w:cstheme="majorBidi"/>
        </w:rPr>
        <w:fldChar w:fldCharType="end"/>
      </w:r>
      <w:r w:rsidRPr="00675D56">
        <w:rPr>
          <w:rFonts w:asciiTheme="majorBidi" w:hAnsiTheme="majorBidi" w:cstheme="majorBidi"/>
        </w:rPr>
        <w:t>].</w:t>
      </w:r>
    </w:p>
  </w:footnote>
  <w:footnote w:id="490">
    <w:p w14:paraId="3886CE40" w14:textId="5A38F25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_Ref13302510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w:t>
      </w:r>
    </w:p>
  </w:footnote>
  <w:footnote w:id="491">
    <w:p w14:paraId="26A335A2" w14:textId="453C657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_Ref13503237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5.6.4</w:t>
      </w:r>
      <w:r w:rsidRPr="00675D56">
        <w:rPr>
          <w:rFonts w:asciiTheme="majorBidi" w:hAnsiTheme="majorBidi" w:cstheme="majorBidi"/>
        </w:rPr>
        <w:fldChar w:fldCharType="end"/>
      </w:r>
      <w:r w:rsidRPr="00675D56">
        <w:rPr>
          <w:rFonts w:asciiTheme="majorBidi" w:hAnsiTheme="majorBidi" w:cstheme="majorBidi"/>
        </w:rPr>
        <w:t>].</w:t>
      </w:r>
    </w:p>
  </w:footnote>
  <w:footnote w:id="492">
    <w:p w14:paraId="5E4D4D29" w14:textId="6ECA4F0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_Ref13490724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5.5.11</w:t>
      </w:r>
      <w:r w:rsidRPr="00675D56">
        <w:rPr>
          <w:rFonts w:asciiTheme="majorBidi" w:hAnsiTheme="majorBidi" w:cstheme="majorBidi"/>
        </w:rPr>
        <w:fldChar w:fldCharType="end"/>
      </w:r>
      <w:r w:rsidRPr="00675D56">
        <w:rPr>
          <w:rFonts w:asciiTheme="majorBidi" w:hAnsiTheme="majorBidi" w:cstheme="majorBidi"/>
        </w:rPr>
        <w:t>].</w:t>
      </w:r>
    </w:p>
  </w:footnote>
  <w:footnote w:id="493">
    <w:p w14:paraId="5695F868" w14:textId="69B6A2E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_Ref13503304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5.6.34</w:t>
      </w:r>
      <w:r w:rsidRPr="00675D56">
        <w:rPr>
          <w:rFonts w:asciiTheme="majorBidi" w:hAnsiTheme="majorBidi" w:cstheme="majorBidi"/>
        </w:rPr>
        <w:fldChar w:fldCharType="end"/>
      </w:r>
      <w:r w:rsidRPr="00675D56">
        <w:rPr>
          <w:rFonts w:asciiTheme="majorBidi" w:hAnsiTheme="majorBidi" w:cstheme="majorBidi"/>
        </w:rPr>
        <w:t>].</w:t>
      </w:r>
    </w:p>
  </w:footnote>
  <w:footnote w:id="494">
    <w:p w14:paraId="6B37947F" w14:textId="5B92FAC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_Ref13503337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5.5.21</w:t>
      </w:r>
      <w:r w:rsidRPr="00675D56">
        <w:rPr>
          <w:rFonts w:asciiTheme="majorBidi" w:hAnsiTheme="majorBidi" w:cstheme="majorBidi"/>
        </w:rPr>
        <w:fldChar w:fldCharType="end"/>
      </w:r>
      <w:r w:rsidRPr="00675D56">
        <w:rPr>
          <w:rFonts w:asciiTheme="majorBidi" w:hAnsiTheme="majorBidi" w:cstheme="majorBidi"/>
        </w:rPr>
        <w:t>].</w:t>
      </w:r>
    </w:p>
  </w:footnote>
  <w:footnote w:id="495">
    <w:p w14:paraId="4E48C419" w14:textId="15D75F6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_Ref13503369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5.4.3</w:t>
      </w:r>
      <w:r w:rsidRPr="00675D56">
        <w:rPr>
          <w:rFonts w:asciiTheme="majorBidi" w:hAnsiTheme="majorBidi" w:cstheme="majorBidi"/>
        </w:rPr>
        <w:fldChar w:fldCharType="end"/>
      </w:r>
      <w:r w:rsidRPr="00675D56">
        <w:rPr>
          <w:rFonts w:asciiTheme="majorBidi" w:hAnsiTheme="majorBidi" w:cstheme="majorBidi"/>
        </w:rPr>
        <w:t>].</w:t>
      </w:r>
    </w:p>
  </w:footnote>
  <w:footnote w:id="496">
    <w:p w14:paraId="5897C594" w14:textId="2900BBC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_Ref13503399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5.5.18</w:t>
      </w:r>
      <w:r w:rsidRPr="00675D56">
        <w:rPr>
          <w:rFonts w:asciiTheme="majorBidi" w:hAnsiTheme="majorBidi" w:cstheme="majorBidi"/>
        </w:rPr>
        <w:fldChar w:fldCharType="end"/>
      </w:r>
      <w:r w:rsidRPr="00675D56">
        <w:rPr>
          <w:rFonts w:asciiTheme="majorBidi" w:hAnsiTheme="majorBidi" w:cstheme="majorBidi"/>
        </w:rPr>
        <w:t>].</w:t>
      </w:r>
    </w:p>
  </w:footnote>
  <w:footnote w:id="497">
    <w:p w14:paraId="51839814" w14:textId="6A9A5BB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_Ref13080134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5.6.7</w:t>
      </w:r>
      <w:r w:rsidRPr="00675D56">
        <w:rPr>
          <w:rFonts w:asciiTheme="majorBidi" w:hAnsiTheme="majorBidi" w:cstheme="majorBidi"/>
        </w:rPr>
        <w:fldChar w:fldCharType="end"/>
      </w:r>
      <w:r w:rsidRPr="00675D56">
        <w:rPr>
          <w:rFonts w:asciiTheme="majorBidi" w:hAnsiTheme="majorBidi" w:cstheme="majorBidi"/>
        </w:rPr>
        <w:t>].</w:t>
      </w:r>
    </w:p>
  </w:footnote>
  <w:footnote w:id="498">
    <w:p w14:paraId="406E24E3" w14:textId="74F9C12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_Ref13503439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5.5.20</w:t>
      </w:r>
      <w:r w:rsidRPr="00675D56">
        <w:rPr>
          <w:rFonts w:asciiTheme="majorBidi" w:hAnsiTheme="majorBidi" w:cstheme="majorBidi"/>
        </w:rPr>
        <w:fldChar w:fldCharType="end"/>
      </w:r>
      <w:r w:rsidRPr="00675D56">
        <w:rPr>
          <w:rFonts w:asciiTheme="majorBidi" w:hAnsiTheme="majorBidi" w:cstheme="majorBidi"/>
        </w:rPr>
        <w:t>].</w:t>
      </w:r>
    </w:p>
  </w:footnote>
  <w:footnote w:id="499">
    <w:p w14:paraId="5C89E856" w14:textId="6D44863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_Ref13503472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5.3.6</w:t>
      </w:r>
      <w:r w:rsidRPr="00675D56">
        <w:rPr>
          <w:rFonts w:asciiTheme="majorBidi" w:hAnsiTheme="majorBidi" w:cstheme="majorBidi"/>
        </w:rPr>
        <w:fldChar w:fldCharType="end"/>
      </w:r>
      <w:r w:rsidRPr="00675D56">
        <w:rPr>
          <w:rFonts w:asciiTheme="majorBidi" w:hAnsiTheme="majorBidi" w:cstheme="majorBidi"/>
        </w:rPr>
        <w:t>].</w:t>
      </w:r>
    </w:p>
  </w:footnote>
  <w:footnote w:id="500">
    <w:p w14:paraId="31A31D36" w14:textId="11766DF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ALRI (n </w:t>
      </w:r>
      <w:r w:rsidRPr="00675D56">
        <w:rPr>
          <w:rFonts w:asciiTheme="majorBidi" w:hAnsiTheme="majorBidi" w:cstheme="majorBidi"/>
        </w:rPr>
        <w:fldChar w:fldCharType="begin"/>
      </w:r>
      <w:r w:rsidRPr="00675D56">
        <w:rPr>
          <w:rFonts w:asciiTheme="majorBidi" w:hAnsiTheme="majorBidi" w:cstheme="majorBidi"/>
        </w:rPr>
        <w:instrText xml:space="preserve"> NOTEREF _Ref13069149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82</w:t>
      </w:r>
      <w:r w:rsidRPr="00675D56">
        <w:rPr>
          <w:rFonts w:asciiTheme="majorBidi" w:hAnsiTheme="majorBidi" w:cstheme="majorBidi"/>
        </w:rPr>
        <w:fldChar w:fldCharType="end"/>
      </w:r>
      <w:r w:rsidRPr="00675D56">
        <w:rPr>
          <w:rFonts w:asciiTheme="majorBidi" w:hAnsiTheme="majorBidi" w:cstheme="majorBidi"/>
        </w:rPr>
        <w:t>) [426].</w:t>
      </w:r>
    </w:p>
  </w:footnote>
  <w:footnote w:id="501">
    <w:p w14:paraId="59A45EA8" w14:textId="4629FB0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_Ref13500857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5.5.28</w:t>
      </w:r>
      <w:r w:rsidRPr="00675D56">
        <w:rPr>
          <w:rFonts w:asciiTheme="majorBidi" w:hAnsiTheme="majorBidi" w:cstheme="majorBidi"/>
        </w:rPr>
        <w:fldChar w:fldCharType="end"/>
      </w:r>
      <w:r w:rsidRPr="00675D56">
        <w:rPr>
          <w:rFonts w:asciiTheme="majorBidi" w:hAnsiTheme="majorBidi" w:cstheme="majorBidi"/>
        </w:rPr>
        <w:t>].</w:t>
      </w:r>
    </w:p>
  </w:footnote>
  <w:footnote w:id="502">
    <w:p w14:paraId="11D03C29" w14:textId="79F8ED0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_Ref13503642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5.6.30</w:t>
      </w:r>
      <w:r w:rsidRPr="00675D56">
        <w:rPr>
          <w:rFonts w:asciiTheme="majorBidi" w:hAnsiTheme="majorBidi" w:cstheme="majorBidi"/>
        </w:rPr>
        <w:fldChar w:fldCharType="end"/>
      </w:r>
      <w:r w:rsidRPr="00675D56">
        <w:rPr>
          <w:rFonts w:asciiTheme="majorBidi" w:hAnsiTheme="majorBidi" w:cstheme="majorBidi"/>
        </w:rPr>
        <w:t>].</w:t>
      </w:r>
    </w:p>
  </w:footnote>
  <w:footnote w:id="503">
    <w:p w14:paraId="7CA09E4C" w14:textId="132C66C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_Ref13503709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5.5.25</w:t>
      </w:r>
      <w:r w:rsidRPr="00675D56">
        <w:rPr>
          <w:rFonts w:asciiTheme="majorBidi" w:hAnsiTheme="majorBidi" w:cstheme="majorBidi"/>
        </w:rPr>
        <w:fldChar w:fldCharType="end"/>
      </w:r>
      <w:r w:rsidRPr="00675D56">
        <w:rPr>
          <w:rFonts w:asciiTheme="majorBidi" w:hAnsiTheme="majorBidi" w:cstheme="majorBidi"/>
        </w:rPr>
        <w:t>], [</w:t>
      </w:r>
      <w:r w:rsidRPr="00675D56">
        <w:rPr>
          <w:rFonts w:asciiTheme="majorBidi" w:hAnsiTheme="majorBidi" w:cstheme="majorBidi"/>
        </w:rPr>
        <w:fldChar w:fldCharType="begin"/>
      </w:r>
      <w:r w:rsidRPr="00675D56">
        <w:rPr>
          <w:rFonts w:asciiTheme="majorBidi" w:hAnsiTheme="majorBidi" w:cstheme="majorBidi"/>
        </w:rPr>
        <w:instrText xml:space="preserve"> REF _Ref13503752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5.5.30</w:t>
      </w:r>
      <w:r w:rsidRPr="00675D56">
        <w:rPr>
          <w:rFonts w:asciiTheme="majorBidi" w:hAnsiTheme="majorBidi" w:cstheme="majorBidi"/>
        </w:rPr>
        <w:fldChar w:fldCharType="end"/>
      </w:r>
      <w:r w:rsidRPr="00675D56">
        <w:rPr>
          <w:rFonts w:asciiTheme="majorBidi" w:hAnsiTheme="majorBidi" w:cstheme="majorBidi"/>
        </w:rPr>
        <w:t>].</w:t>
      </w:r>
    </w:p>
  </w:footnote>
  <w:footnote w:id="504">
    <w:p w14:paraId="38E5CCA9" w14:textId="244047A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_Ref13503794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5.5.37</w:t>
      </w:r>
      <w:r w:rsidRPr="00675D56">
        <w:rPr>
          <w:rFonts w:asciiTheme="majorBidi" w:hAnsiTheme="majorBidi" w:cstheme="majorBidi"/>
        </w:rPr>
        <w:fldChar w:fldCharType="end"/>
      </w:r>
      <w:r w:rsidRPr="00675D56">
        <w:rPr>
          <w:rFonts w:asciiTheme="majorBidi" w:hAnsiTheme="majorBidi" w:cstheme="majorBidi"/>
        </w:rPr>
        <w:t>].</w:t>
      </w:r>
    </w:p>
  </w:footnote>
  <w:footnote w:id="505">
    <w:p w14:paraId="62E93D65" w14:textId="171A887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_Ref13503828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5.5.36</w:t>
      </w:r>
      <w:r w:rsidRPr="00675D56">
        <w:rPr>
          <w:rFonts w:asciiTheme="majorBidi" w:hAnsiTheme="majorBidi" w:cstheme="majorBidi"/>
        </w:rPr>
        <w:fldChar w:fldCharType="end"/>
      </w:r>
      <w:r w:rsidRPr="00675D56">
        <w:rPr>
          <w:rFonts w:asciiTheme="majorBidi" w:hAnsiTheme="majorBidi" w:cstheme="majorBidi"/>
        </w:rPr>
        <w:t>].</w:t>
      </w:r>
    </w:p>
  </w:footnote>
  <w:footnote w:id="506">
    <w:p w14:paraId="28E528E7" w14:textId="260CB043"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_Ref13503864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5.6.33</w:t>
      </w:r>
      <w:r w:rsidRPr="00675D56">
        <w:rPr>
          <w:rFonts w:asciiTheme="majorBidi" w:hAnsiTheme="majorBidi" w:cstheme="majorBidi"/>
        </w:rPr>
        <w:fldChar w:fldCharType="end"/>
      </w:r>
      <w:r w:rsidRPr="00675D56">
        <w:rPr>
          <w:rFonts w:asciiTheme="majorBidi" w:hAnsiTheme="majorBidi" w:cstheme="majorBidi"/>
        </w:rPr>
        <w:t>].</w:t>
      </w:r>
    </w:p>
  </w:footnote>
  <w:footnote w:id="507">
    <w:p w14:paraId="7A5EFE41" w14:textId="60ADB93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_Ref13503898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5.5.40</w:t>
      </w:r>
      <w:r w:rsidRPr="00675D56">
        <w:rPr>
          <w:rFonts w:asciiTheme="majorBidi" w:hAnsiTheme="majorBidi" w:cstheme="majorBidi"/>
        </w:rPr>
        <w:fldChar w:fldCharType="end"/>
      </w:r>
      <w:r w:rsidRPr="00675D56">
        <w:rPr>
          <w:rFonts w:asciiTheme="majorBidi" w:hAnsiTheme="majorBidi" w:cstheme="majorBidi"/>
        </w:rPr>
        <w:t>].</w:t>
      </w:r>
    </w:p>
  </w:footnote>
  <w:footnote w:id="508">
    <w:p w14:paraId="294D09BD" w14:textId="62190DF4" w:rsidR="00C61533" w:rsidRPr="00675D56" w:rsidRDefault="00C61533" w:rsidP="005E4B89">
      <w:pPr>
        <w:pStyle w:val="FootnoteTextTLRI"/>
        <w:rPr>
          <w:rFonts w:asciiTheme="majorBidi" w:hAnsiTheme="majorBidi" w:cstheme="majorBidi"/>
          <w:b/>
          <w:bCs/>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_Ref13504146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5.2.24</w:t>
      </w:r>
      <w:r w:rsidRPr="00675D56">
        <w:rPr>
          <w:rFonts w:asciiTheme="majorBidi" w:hAnsiTheme="majorBidi" w:cstheme="majorBidi"/>
        </w:rPr>
        <w:fldChar w:fldCharType="end"/>
      </w:r>
      <w:r w:rsidRPr="00675D56">
        <w:rPr>
          <w:rFonts w:asciiTheme="majorBidi" w:hAnsiTheme="majorBidi" w:cstheme="majorBidi"/>
        </w:rPr>
        <w:t>].</w:t>
      </w:r>
    </w:p>
  </w:footnote>
  <w:footnote w:id="509">
    <w:p w14:paraId="0B7B5089" w14:textId="6AF37E8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Including equitable remedies and claims under the </w:t>
      </w:r>
      <w:r w:rsidRPr="00675D56">
        <w:rPr>
          <w:rFonts w:asciiTheme="majorBidi" w:hAnsiTheme="majorBidi" w:cstheme="majorBidi"/>
          <w:i/>
          <w:iCs/>
        </w:rPr>
        <w:t>FLA</w:t>
      </w:r>
      <w:r w:rsidRPr="00675D56">
        <w:rPr>
          <w:rFonts w:asciiTheme="majorBidi" w:hAnsiTheme="majorBidi" w:cstheme="majorBidi"/>
        </w:rPr>
        <w:t xml:space="preserve"> where proceedings are commenced before death: See [</w:t>
      </w:r>
      <w:r w:rsidRPr="00675D56">
        <w:rPr>
          <w:rFonts w:asciiTheme="majorBidi" w:hAnsiTheme="majorBidi" w:cstheme="majorBidi"/>
        </w:rPr>
        <w:fldChar w:fldCharType="begin"/>
      </w:r>
      <w:r w:rsidRPr="00675D56">
        <w:rPr>
          <w:rFonts w:asciiTheme="majorBidi" w:hAnsiTheme="majorBidi" w:cstheme="majorBidi"/>
        </w:rPr>
        <w:instrText xml:space="preserve"> REF _Ref13504189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5.5.59</w:t>
      </w:r>
      <w:r w:rsidRPr="00675D56">
        <w:rPr>
          <w:rFonts w:asciiTheme="majorBidi" w:hAnsiTheme="majorBidi" w:cstheme="majorBidi"/>
        </w:rPr>
        <w:fldChar w:fldCharType="end"/>
      </w:r>
      <w:r w:rsidRPr="00675D56">
        <w:rPr>
          <w:rFonts w:asciiTheme="majorBidi" w:hAnsiTheme="majorBidi" w:cstheme="majorBidi"/>
        </w:rPr>
        <w:t>], [</w:t>
      </w:r>
      <w:r w:rsidRPr="00675D56">
        <w:rPr>
          <w:rFonts w:asciiTheme="majorBidi" w:hAnsiTheme="majorBidi" w:cstheme="majorBidi"/>
        </w:rPr>
        <w:fldChar w:fldCharType="begin"/>
      </w:r>
      <w:r w:rsidRPr="00675D56">
        <w:rPr>
          <w:rFonts w:asciiTheme="majorBidi" w:hAnsiTheme="majorBidi" w:cstheme="majorBidi"/>
        </w:rPr>
        <w:instrText xml:space="preserve"> REF _Ref13504242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5.6.11</w:t>
      </w:r>
      <w:r w:rsidRPr="00675D56">
        <w:rPr>
          <w:rFonts w:asciiTheme="majorBidi" w:hAnsiTheme="majorBidi" w:cstheme="majorBidi"/>
        </w:rPr>
        <w:fldChar w:fldCharType="end"/>
      </w:r>
      <w:r w:rsidRPr="00675D56">
        <w:rPr>
          <w:rFonts w:asciiTheme="majorBidi" w:hAnsiTheme="majorBidi" w:cstheme="majorBidi"/>
        </w:rPr>
        <w:t>].</w:t>
      </w:r>
    </w:p>
  </w:footnote>
  <w:footnote w:id="510">
    <w:p w14:paraId="14CD4614" w14:textId="4144CFE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_Ref13504418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5.3.3</w:t>
      </w:r>
      <w:r w:rsidRPr="00675D56">
        <w:rPr>
          <w:rFonts w:asciiTheme="majorBidi" w:hAnsiTheme="majorBidi" w:cstheme="majorBidi"/>
        </w:rPr>
        <w:fldChar w:fldCharType="end"/>
      </w:r>
      <w:r w:rsidRPr="00675D56">
        <w:rPr>
          <w:rFonts w:asciiTheme="majorBidi" w:hAnsiTheme="majorBidi" w:cstheme="majorBidi"/>
        </w:rPr>
        <w:t>].</w:t>
      </w:r>
    </w:p>
  </w:footnote>
  <w:footnote w:id="511">
    <w:p w14:paraId="22062A7C" w14:textId="05A9321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_Ref13504433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5.6.26</w:t>
      </w:r>
      <w:r w:rsidRPr="00675D56">
        <w:rPr>
          <w:rFonts w:asciiTheme="majorBidi" w:hAnsiTheme="majorBidi" w:cstheme="majorBidi"/>
        </w:rPr>
        <w:fldChar w:fldCharType="end"/>
      </w:r>
      <w:r w:rsidRPr="00675D56">
        <w:rPr>
          <w:rFonts w:asciiTheme="majorBidi" w:hAnsiTheme="majorBidi" w:cstheme="majorBidi"/>
        </w:rPr>
        <w:t>].</w:t>
      </w:r>
    </w:p>
  </w:footnote>
  <w:footnote w:id="512">
    <w:p w14:paraId="619899E2" w14:textId="34EF051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_Ref13504449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5.5.71</w:t>
      </w:r>
      <w:r w:rsidRPr="00675D56">
        <w:rPr>
          <w:rFonts w:asciiTheme="majorBidi" w:hAnsiTheme="majorBidi" w:cstheme="majorBidi"/>
        </w:rPr>
        <w:fldChar w:fldCharType="end"/>
      </w:r>
      <w:r w:rsidRPr="00675D56">
        <w:rPr>
          <w:rFonts w:asciiTheme="majorBidi" w:hAnsiTheme="majorBidi" w:cstheme="majorBidi"/>
        </w:rPr>
        <w:t>], [</w:t>
      </w:r>
      <w:r w:rsidRPr="00675D56">
        <w:rPr>
          <w:rFonts w:asciiTheme="majorBidi" w:hAnsiTheme="majorBidi" w:cstheme="majorBidi"/>
        </w:rPr>
        <w:fldChar w:fldCharType="begin"/>
      </w:r>
      <w:r w:rsidRPr="00675D56">
        <w:rPr>
          <w:rFonts w:asciiTheme="majorBidi" w:hAnsiTheme="majorBidi" w:cstheme="majorBidi"/>
        </w:rPr>
        <w:instrText xml:space="preserve"> REF _Ref13504418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5.3.3</w:t>
      </w:r>
      <w:r w:rsidRPr="00675D56">
        <w:rPr>
          <w:rFonts w:asciiTheme="majorBidi" w:hAnsiTheme="majorBidi" w:cstheme="majorBidi"/>
        </w:rPr>
        <w:fldChar w:fldCharType="end"/>
      </w:r>
      <w:r w:rsidRPr="00675D56">
        <w:rPr>
          <w:rFonts w:asciiTheme="majorBidi" w:hAnsiTheme="majorBidi" w:cstheme="majorBidi"/>
        </w:rPr>
        <w:t>].</w:t>
      </w:r>
    </w:p>
  </w:footnote>
  <w:footnote w:id="513">
    <w:p w14:paraId="36544DD7" w14:textId="3235C06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_Ref13504489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1.3.4</w:t>
      </w:r>
      <w:r w:rsidRPr="00675D56">
        <w:rPr>
          <w:rFonts w:asciiTheme="majorBidi" w:hAnsiTheme="majorBidi" w:cstheme="majorBidi"/>
        </w:rPr>
        <w:fldChar w:fldCharType="end"/>
      </w:r>
      <w:r w:rsidRPr="00675D56">
        <w:rPr>
          <w:rFonts w:asciiTheme="majorBidi" w:hAnsiTheme="majorBidi" w:cstheme="majorBidi"/>
        </w:rPr>
        <w:t>].</w:t>
      </w:r>
    </w:p>
  </w:footnote>
  <w:footnote w:id="514">
    <w:p w14:paraId="5B3B09AB" w14:textId="0007B31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_Ref13504418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5.3.3</w:t>
      </w:r>
      <w:r w:rsidRPr="00675D56">
        <w:rPr>
          <w:rFonts w:asciiTheme="majorBidi" w:hAnsiTheme="majorBidi" w:cstheme="majorBidi"/>
        </w:rPr>
        <w:fldChar w:fldCharType="end"/>
      </w:r>
      <w:r w:rsidRPr="00675D56">
        <w:rPr>
          <w:rFonts w:asciiTheme="majorBidi" w:hAnsiTheme="majorBidi" w:cstheme="majorBidi"/>
        </w:rPr>
        <w:t>].</w:t>
      </w:r>
    </w:p>
  </w:footnote>
  <w:footnote w:id="515">
    <w:p w14:paraId="02EED9CA" w14:textId="1F26C39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_Ref13504537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3.2.1</w:t>
      </w:r>
      <w:r w:rsidRPr="00675D56">
        <w:rPr>
          <w:rFonts w:asciiTheme="majorBidi" w:hAnsiTheme="majorBidi" w:cstheme="majorBidi"/>
        </w:rPr>
        <w:fldChar w:fldCharType="end"/>
      </w:r>
      <w:r w:rsidRPr="00675D56">
        <w:rPr>
          <w:rFonts w:asciiTheme="majorBidi" w:hAnsiTheme="majorBidi" w:cstheme="majorBidi"/>
        </w:rPr>
        <w:t>].</w:t>
      </w:r>
    </w:p>
  </w:footnote>
  <w:footnote w:id="516">
    <w:p w14:paraId="2025C6BE" w14:textId="2AFFC24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_Ref13504565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5.5.49</w:t>
      </w:r>
      <w:r w:rsidRPr="00675D56">
        <w:rPr>
          <w:rFonts w:asciiTheme="majorBidi" w:hAnsiTheme="majorBidi" w:cstheme="majorBidi"/>
        </w:rPr>
        <w:fldChar w:fldCharType="end"/>
      </w:r>
      <w:r w:rsidRPr="00675D56">
        <w:rPr>
          <w:rFonts w:asciiTheme="majorBidi" w:hAnsiTheme="majorBidi" w:cstheme="majorBidi"/>
        </w:rPr>
        <w:t>].</w:t>
      </w:r>
    </w:p>
  </w:footnote>
  <w:footnote w:id="517">
    <w:p w14:paraId="64462EE1" w14:textId="1C59A84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_Ref13504588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5.5.53</w:t>
      </w:r>
      <w:r w:rsidRPr="00675D56">
        <w:rPr>
          <w:rFonts w:asciiTheme="majorBidi" w:hAnsiTheme="majorBidi" w:cstheme="majorBidi"/>
        </w:rPr>
        <w:fldChar w:fldCharType="end"/>
      </w:r>
      <w:r w:rsidRPr="00675D56">
        <w:rPr>
          <w:rFonts w:asciiTheme="majorBidi" w:hAnsiTheme="majorBidi" w:cstheme="majorBidi"/>
        </w:rPr>
        <w:t>].</w:t>
      </w:r>
    </w:p>
  </w:footnote>
  <w:footnote w:id="518">
    <w:p w14:paraId="738165FF" w14:textId="05D0732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Ibid.</w:t>
      </w:r>
    </w:p>
  </w:footnote>
  <w:footnote w:id="519">
    <w:p w14:paraId="4632D5EE" w14:textId="1C7CA50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_Ref13504625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5.5.56</w:t>
      </w:r>
      <w:r w:rsidRPr="00675D56">
        <w:rPr>
          <w:rFonts w:asciiTheme="majorBidi" w:hAnsiTheme="majorBidi" w:cstheme="majorBidi"/>
        </w:rPr>
        <w:fldChar w:fldCharType="end"/>
      </w:r>
      <w:r w:rsidRPr="00675D56">
        <w:rPr>
          <w:rFonts w:asciiTheme="majorBidi" w:hAnsiTheme="majorBidi" w:cstheme="majorBidi"/>
        </w:rPr>
        <w:t>].</w:t>
      </w:r>
    </w:p>
  </w:footnote>
  <w:footnote w:id="520">
    <w:p w14:paraId="2745F3B0" w14:textId="761B96E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_Ref13503369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5.4.3</w:t>
      </w:r>
      <w:r w:rsidRPr="00675D56">
        <w:rPr>
          <w:rFonts w:asciiTheme="majorBidi" w:hAnsiTheme="majorBidi" w:cstheme="majorBidi"/>
        </w:rPr>
        <w:fldChar w:fldCharType="end"/>
      </w:r>
      <w:r w:rsidRPr="00675D56">
        <w:rPr>
          <w:rFonts w:asciiTheme="majorBidi" w:hAnsiTheme="majorBidi" w:cstheme="majorBidi"/>
        </w:rPr>
        <w:t>].</w:t>
      </w:r>
    </w:p>
  </w:footnote>
  <w:footnote w:id="521">
    <w:p w14:paraId="41A273D0" w14:textId="3466425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_Ref13504678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5.5.70</w:t>
      </w:r>
      <w:r w:rsidRPr="00675D56">
        <w:rPr>
          <w:rFonts w:asciiTheme="majorBidi" w:hAnsiTheme="majorBidi" w:cstheme="majorBidi"/>
        </w:rPr>
        <w:fldChar w:fldCharType="end"/>
      </w:r>
      <w:r w:rsidRPr="00675D56">
        <w:rPr>
          <w:rFonts w:asciiTheme="majorBidi" w:hAnsiTheme="majorBidi" w:cstheme="majorBidi"/>
        </w:rPr>
        <w:t>].</w:t>
      </w:r>
    </w:p>
  </w:footnote>
  <w:footnote w:id="522">
    <w:p w14:paraId="1041DA57" w14:textId="0FCFD76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_Ref13493638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5.7.9</w:t>
      </w:r>
      <w:r w:rsidRPr="00675D56">
        <w:rPr>
          <w:rFonts w:asciiTheme="majorBidi" w:hAnsiTheme="majorBidi" w:cstheme="majorBidi"/>
        </w:rPr>
        <w:fldChar w:fldCharType="end"/>
      </w:r>
      <w:r w:rsidRPr="00675D56">
        <w:rPr>
          <w:rFonts w:asciiTheme="majorBidi" w:hAnsiTheme="majorBidi" w:cstheme="majorBidi"/>
        </w:rPr>
        <w:t>].</w:t>
      </w:r>
    </w:p>
  </w:footnote>
  <w:footnote w:id="523">
    <w:p w14:paraId="3686FE89" w14:textId="757D9D0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lang w:val="en-GB"/>
        </w:rPr>
        <w:t>Van Alpen v The Netherlands</w:t>
      </w:r>
      <w:r w:rsidRPr="00675D56">
        <w:rPr>
          <w:rFonts w:asciiTheme="majorBidi" w:hAnsiTheme="majorBidi" w:cstheme="majorBidi"/>
          <w:lang w:val="en-GB"/>
        </w:rPr>
        <w:t xml:space="preserve"> (UNHCR, Communication No 305/1988, UN Doc CCPE/C/39/D/305/1988, 1990); </w:t>
      </w:r>
      <w:r w:rsidRPr="00675D56">
        <w:rPr>
          <w:rFonts w:asciiTheme="majorBidi" w:hAnsiTheme="majorBidi" w:cstheme="majorBidi"/>
          <w:i/>
          <w:iCs/>
          <w:lang w:val="en-GB"/>
        </w:rPr>
        <w:t>R v Governor HMP Brockhill; Ex Parte Evans (No 2)</w:t>
      </w:r>
      <w:r w:rsidRPr="00675D56">
        <w:rPr>
          <w:rFonts w:asciiTheme="majorBidi" w:hAnsiTheme="majorBidi" w:cstheme="majorBidi"/>
          <w:lang w:val="en-GB"/>
        </w:rPr>
        <w:t xml:space="preserve"> [2001] 2 AC 19, 38 (Lord Hope of Craighead)</w:t>
      </w:r>
      <w:r w:rsidRPr="00675D56">
        <w:rPr>
          <w:rFonts w:asciiTheme="majorBidi" w:hAnsiTheme="majorBidi" w:cstheme="majorBidi"/>
        </w:rPr>
        <w:t xml:space="preserve">. That the law is clear and accessible is also a core element of the rule of law: see </w:t>
      </w:r>
      <w:r w:rsidRPr="00675D56">
        <w:rPr>
          <w:rFonts w:asciiTheme="majorBidi" w:hAnsiTheme="majorBidi" w:cstheme="majorBidi"/>
          <w:i/>
          <w:iCs/>
          <w:color w:val="000000"/>
          <w:szCs w:val="20"/>
        </w:rPr>
        <w:t>Black-Clawson International Ltd v Papierwerke Waldhof-Aschaffenberg AG</w:t>
      </w:r>
      <w:r w:rsidRPr="00675D56">
        <w:rPr>
          <w:rFonts w:asciiTheme="majorBidi" w:hAnsiTheme="majorBidi" w:cstheme="majorBidi"/>
          <w:color w:val="000000"/>
          <w:szCs w:val="20"/>
        </w:rPr>
        <w:t xml:space="preserve"> [1975] AC 591, 638 (Lord Diplock); </w:t>
      </w:r>
      <w:r w:rsidRPr="00675D56">
        <w:rPr>
          <w:rFonts w:asciiTheme="majorBidi" w:hAnsiTheme="majorBidi" w:cstheme="majorBidi"/>
          <w:i/>
          <w:iCs/>
          <w:color w:val="000000"/>
          <w:szCs w:val="20"/>
        </w:rPr>
        <w:t>Fothergill v Monarch Airlines Ltd</w:t>
      </w:r>
      <w:r w:rsidRPr="00675D56">
        <w:rPr>
          <w:rFonts w:asciiTheme="majorBidi" w:hAnsiTheme="majorBidi" w:cstheme="majorBidi"/>
          <w:color w:val="000000"/>
          <w:szCs w:val="20"/>
        </w:rPr>
        <w:t xml:space="preserve"> [1981] AC 251, 279.</w:t>
      </w:r>
    </w:p>
  </w:footnote>
  <w:footnote w:id="524">
    <w:p w14:paraId="341E96C5" w14:textId="76E2AD9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discussion at [</w:t>
      </w:r>
      <w:r w:rsidRPr="00675D56">
        <w:rPr>
          <w:rFonts w:asciiTheme="majorBidi" w:hAnsiTheme="majorBidi" w:cstheme="majorBidi"/>
        </w:rPr>
        <w:fldChar w:fldCharType="begin"/>
      </w:r>
      <w:r w:rsidRPr="00675D56">
        <w:rPr>
          <w:rFonts w:asciiTheme="majorBidi" w:hAnsiTheme="majorBidi" w:cstheme="majorBidi"/>
        </w:rPr>
        <w:instrText xml:space="preserve"> REF _Ref13504189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5.5.59</w:t>
      </w:r>
      <w:r w:rsidRPr="00675D56">
        <w:rPr>
          <w:rFonts w:asciiTheme="majorBidi" w:hAnsiTheme="majorBidi" w:cstheme="majorBidi"/>
        </w:rPr>
        <w:fldChar w:fldCharType="end"/>
      </w:r>
      <w:r w:rsidRPr="00675D56">
        <w:rPr>
          <w:rFonts w:asciiTheme="majorBidi" w:hAnsiTheme="majorBidi" w:cstheme="majorBidi"/>
        </w:rPr>
        <w:t>].</w:t>
      </w:r>
    </w:p>
  </w:footnote>
  <w:footnote w:id="525">
    <w:p w14:paraId="0A12089A" w14:textId="09E0B7B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_Ref13493438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5.5.52</w:t>
      </w:r>
      <w:r w:rsidRPr="00675D56">
        <w:rPr>
          <w:rFonts w:asciiTheme="majorBidi" w:hAnsiTheme="majorBidi" w:cstheme="majorBidi"/>
        </w:rPr>
        <w:fldChar w:fldCharType="end"/>
      </w:r>
      <w:r w:rsidRPr="00675D56">
        <w:rPr>
          <w:rFonts w:asciiTheme="majorBidi" w:hAnsiTheme="majorBidi" w:cstheme="majorBidi"/>
        </w:rPr>
        <w:t>] in relation to discussion about its application to trusts, [</w:t>
      </w:r>
      <w:r w:rsidRPr="00675D56">
        <w:rPr>
          <w:rFonts w:asciiTheme="majorBidi" w:hAnsiTheme="majorBidi" w:cstheme="majorBidi"/>
        </w:rPr>
        <w:fldChar w:fldCharType="begin"/>
      </w:r>
      <w:r w:rsidRPr="00675D56">
        <w:rPr>
          <w:rFonts w:asciiTheme="majorBidi" w:hAnsiTheme="majorBidi" w:cstheme="majorBidi"/>
        </w:rPr>
        <w:instrText xml:space="preserve"> REF _Ref13493184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5.5.51</w:t>
      </w:r>
      <w:r w:rsidRPr="00675D56">
        <w:rPr>
          <w:rFonts w:asciiTheme="majorBidi" w:hAnsiTheme="majorBidi" w:cstheme="majorBidi"/>
        </w:rPr>
        <w:fldChar w:fldCharType="end"/>
      </w:r>
      <w:r w:rsidRPr="00675D56">
        <w:rPr>
          <w:rFonts w:asciiTheme="majorBidi" w:hAnsiTheme="majorBidi" w:cstheme="majorBidi"/>
        </w:rPr>
        <w:t>] about its application to superannuation, [</w:t>
      </w:r>
      <w:r w:rsidRPr="00675D56">
        <w:rPr>
          <w:rFonts w:asciiTheme="majorBidi" w:hAnsiTheme="majorBidi" w:cstheme="majorBidi"/>
        </w:rPr>
        <w:fldChar w:fldCharType="begin"/>
      </w:r>
      <w:r w:rsidRPr="00675D56">
        <w:rPr>
          <w:rFonts w:asciiTheme="majorBidi" w:hAnsiTheme="majorBidi" w:cstheme="majorBidi"/>
        </w:rPr>
        <w:instrText xml:space="preserve"> REF _Ref13504565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5.5.49</w:t>
      </w:r>
      <w:r w:rsidRPr="00675D56">
        <w:rPr>
          <w:rFonts w:asciiTheme="majorBidi" w:hAnsiTheme="majorBidi" w:cstheme="majorBidi"/>
        </w:rPr>
        <w:fldChar w:fldCharType="end"/>
      </w:r>
      <w:r w:rsidRPr="00675D56">
        <w:rPr>
          <w:rFonts w:asciiTheme="majorBidi" w:hAnsiTheme="majorBidi" w:cstheme="majorBidi"/>
        </w:rPr>
        <w:t>] about its application to joint tenancy properties and [</w:t>
      </w:r>
      <w:r w:rsidRPr="00675D56">
        <w:rPr>
          <w:rFonts w:asciiTheme="majorBidi" w:hAnsiTheme="majorBidi" w:cstheme="majorBidi"/>
        </w:rPr>
        <w:fldChar w:fldCharType="begin"/>
      </w:r>
      <w:r w:rsidRPr="00675D56">
        <w:rPr>
          <w:rFonts w:asciiTheme="majorBidi" w:hAnsiTheme="majorBidi" w:cstheme="majorBidi"/>
        </w:rPr>
        <w:instrText xml:space="preserve"> REF _Ref13493638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5.7.9</w:t>
      </w:r>
      <w:r w:rsidRPr="00675D56">
        <w:rPr>
          <w:rFonts w:asciiTheme="majorBidi" w:hAnsiTheme="majorBidi" w:cstheme="majorBidi"/>
        </w:rPr>
        <w:fldChar w:fldCharType="end"/>
      </w:r>
      <w:r w:rsidRPr="00675D56">
        <w:rPr>
          <w:rFonts w:asciiTheme="majorBidi" w:hAnsiTheme="majorBidi" w:cstheme="majorBidi"/>
        </w:rPr>
        <w:t xml:space="preserve">] on the fact that it incorporates omissions as well as acts. </w:t>
      </w:r>
    </w:p>
  </w:footnote>
  <w:footnote w:id="526">
    <w:p w14:paraId="14E9F689" w14:textId="3E7000C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_Ref13515732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3.2</w:t>
      </w:r>
      <w:r w:rsidRPr="00675D56">
        <w:rPr>
          <w:rFonts w:asciiTheme="majorBidi" w:hAnsiTheme="majorBidi" w:cstheme="majorBidi"/>
        </w:rPr>
        <w:fldChar w:fldCharType="end"/>
      </w:r>
      <w:r w:rsidRPr="00675D56">
        <w:rPr>
          <w:rFonts w:asciiTheme="majorBidi" w:hAnsiTheme="majorBidi" w:cstheme="majorBidi"/>
        </w:rPr>
        <w:t>], [</w:t>
      </w:r>
      <w:r w:rsidRPr="00675D56">
        <w:rPr>
          <w:rFonts w:asciiTheme="majorBidi" w:hAnsiTheme="majorBidi" w:cstheme="majorBidi"/>
        </w:rPr>
        <w:fldChar w:fldCharType="begin"/>
      </w:r>
      <w:r w:rsidRPr="00675D56">
        <w:rPr>
          <w:rFonts w:asciiTheme="majorBidi" w:hAnsiTheme="majorBidi" w:cstheme="majorBidi"/>
        </w:rPr>
        <w:instrText xml:space="preserve"> REF _Ref13515745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3.4</w:t>
      </w:r>
      <w:r w:rsidRPr="00675D56">
        <w:rPr>
          <w:rFonts w:asciiTheme="majorBidi" w:hAnsiTheme="majorBidi" w:cstheme="majorBidi"/>
        </w:rPr>
        <w:fldChar w:fldCharType="end"/>
      </w:r>
      <w:r w:rsidRPr="00675D56">
        <w:rPr>
          <w:rFonts w:asciiTheme="majorBidi" w:hAnsiTheme="majorBidi" w:cstheme="majorBidi"/>
        </w:rPr>
        <w:t>].</w:t>
      </w:r>
    </w:p>
  </w:footnote>
  <w:footnote w:id="527">
    <w:p w14:paraId="074D3DB0" w14:textId="29F130E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Dependants Relief Act 2002</w:t>
      </w:r>
      <w:r w:rsidRPr="00675D56">
        <w:rPr>
          <w:rFonts w:asciiTheme="majorBidi" w:hAnsiTheme="majorBidi" w:cstheme="majorBidi"/>
        </w:rPr>
        <w:t>.</w:t>
      </w:r>
    </w:p>
  </w:footnote>
  <w:footnote w:id="528">
    <w:p w14:paraId="3CCADA42" w14:textId="24EE363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shd w:val="clear" w:color="auto" w:fill="FFFFFF"/>
        </w:rPr>
        <w:t>Succession Law Reform Act 1990</w:t>
      </w:r>
      <w:r w:rsidRPr="00675D56">
        <w:rPr>
          <w:rFonts w:asciiTheme="majorBidi" w:hAnsiTheme="majorBidi" w:cstheme="majorBidi"/>
          <w:shd w:val="clear" w:color="auto" w:fill="FFFFFF"/>
        </w:rPr>
        <w:t xml:space="preserve"> (Ont) Part V.</w:t>
      </w:r>
    </w:p>
  </w:footnote>
  <w:footnote w:id="529">
    <w:p w14:paraId="0EFAB83A" w14:textId="74C2618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See [</w:t>
      </w:r>
      <w:r w:rsidRPr="00675D56">
        <w:rPr>
          <w:rFonts w:asciiTheme="majorBidi" w:hAnsiTheme="majorBidi" w:cstheme="majorBidi"/>
        </w:rPr>
        <w:fldChar w:fldCharType="begin"/>
      </w:r>
      <w:r w:rsidRPr="00675D56">
        <w:rPr>
          <w:rFonts w:asciiTheme="majorBidi" w:hAnsiTheme="majorBidi" w:cstheme="majorBidi"/>
        </w:rPr>
        <w:instrText xml:space="preserve"> REF _Ref13504565 \r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5.5.49</w:t>
      </w:r>
      <w:r w:rsidRPr="00675D56">
        <w:rPr>
          <w:rFonts w:asciiTheme="majorBidi" w:hAnsiTheme="majorBidi" w:cstheme="majorBidi"/>
        </w:rPr>
        <w:fldChar w:fldCharType="end"/>
      </w:r>
      <w:r w:rsidRPr="00675D56">
        <w:rPr>
          <w:rFonts w:asciiTheme="majorBidi" w:hAnsiTheme="majorBidi" w:cstheme="majorBidi"/>
        </w:rPr>
        <w:t>].</w:t>
      </w:r>
    </w:p>
  </w:footnote>
  <w:footnote w:id="530">
    <w:p w14:paraId="6CA33733" w14:textId="278CCBC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Including transfers of property to joint tenancy, deposits into joint bank accounts, transfers of property for nominal or no consideration, or designations or changes of beneficiaries of a life insurance policy or pension fund.</w:t>
      </w:r>
    </w:p>
  </w:footnote>
  <w:footnote w:id="531">
    <w:p w14:paraId="3625EC2C" w14:textId="07B4E25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t xml:space="preserve">WALRC (n </w:t>
      </w:r>
      <w:r w:rsidRPr="00675D56">
        <w:rPr>
          <w:rFonts w:asciiTheme="majorBidi" w:hAnsiTheme="majorBidi" w:cstheme="majorBidi"/>
        </w:rPr>
        <w:fldChar w:fldCharType="begin"/>
      </w:r>
      <w:r w:rsidRPr="00675D56">
        <w:rPr>
          <w:rFonts w:asciiTheme="majorBidi" w:hAnsiTheme="majorBidi" w:cstheme="majorBidi"/>
        </w:rPr>
        <w:instrText xml:space="preserve"> NOTEREF _Ref13343870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186</w:t>
      </w:r>
      <w:r w:rsidRPr="00675D56">
        <w:rPr>
          <w:rFonts w:asciiTheme="majorBidi" w:hAnsiTheme="majorBidi" w:cstheme="majorBidi"/>
        </w:rPr>
        <w:fldChar w:fldCharType="end"/>
      </w:r>
      <w:r w:rsidRPr="00675D56">
        <w:rPr>
          <w:rFonts w:asciiTheme="majorBidi" w:hAnsiTheme="majorBidi" w:cstheme="majorBidi"/>
        </w:rPr>
        <w:t>).</w:t>
      </w:r>
    </w:p>
  </w:footnote>
  <w:footnote w:id="532">
    <w:p w14:paraId="06ECDA49" w14:textId="645B696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See NSW </w:t>
      </w:r>
      <w:r w:rsidRPr="00675D56">
        <w:rPr>
          <w:rFonts w:asciiTheme="majorBidi" w:hAnsiTheme="majorBidi" w:cstheme="majorBidi"/>
          <w:i/>
          <w:iCs/>
        </w:rPr>
        <w:t>Succession Act</w:t>
      </w:r>
      <w:r w:rsidRPr="00675D56">
        <w:rPr>
          <w:rFonts w:asciiTheme="majorBidi" w:hAnsiTheme="majorBidi" w:cstheme="majorBidi"/>
        </w:rPr>
        <w:t xml:space="preserve"> s 95.</w:t>
      </w:r>
    </w:p>
  </w:footnote>
  <w:footnote w:id="533">
    <w:p w14:paraId="50266E6F" w14:textId="38A1599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ss 1(1)(a), (1B); NSW </w:t>
      </w:r>
      <w:r w:rsidRPr="00675D56">
        <w:rPr>
          <w:rFonts w:asciiTheme="majorBidi" w:hAnsiTheme="majorBidi" w:cstheme="majorBidi"/>
          <w:i/>
          <w:iCs/>
        </w:rPr>
        <w:t>Succession Act</w:t>
      </w:r>
      <w:r w:rsidRPr="00675D56">
        <w:rPr>
          <w:rFonts w:asciiTheme="majorBidi" w:hAnsiTheme="majorBidi" w:cstheme="majorBidi"/>
        </w:rPr>
        <w:t xml:space="preserve"> ss 57(1)(a), 57(1)(b).</w:t>
      </w:r>
    </w:p>
  </w:footnote>
  <w:footnote w:id="534">
    <w:p w14:paraId="6D678232" w14:textId="3D39D589"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1(1)(b); NSW </w:t>
      </w:r>
      <w:r w:rsidRPr="00675D56">
        <w:rPr>
          <w:rFonts w:asciiTheme="majorBidi" w:hAnsiTheme="majorBidi" w:cstheme="majorBidi"/>
          <w:i/>
          <w:iCs/>
        </w:rPr>
        <w:t>Succession Act</w:t>
      </w:r>
      <w:r w:rsidRPr="00675D56">
        <w:rPr>
          <w:rFonts w:asciiTheme="majorBidi" w:hAnsiTheme="majorBidi" w:cstheme="majorBidi"/>
        </w:rPr>
        <w:t xml:space="preserve"> s 57(1)(d).</w:t>
      </w:r>
    </w:p>
  </w:footnote>
  <w:footnote w:id="535">
    <w:p w14:paraId="36FAAB41" w14:textId="48EBF7F5"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ss 1(1)(c), (d); NSW </w:t>
      </w:r>
      <w:r w:rsidRPr="00675D56">
        <w:rPr>
          <w:rFonts w:asciiTheme="majorBidi" w:hAnsiTheme="majorBidi" w:cstheme="majorBidi"/>
          <w:i/>
          <w:iCs/>
        </w:rPr>
        <w:t>Succession Act</w:t>
      </w:r>
      <w:r w:rsidRPr="00675D56">
        <w:rPr>
          <w:rFonts w:asciiTheme="majorBidi" w:hAnsiTheme="majorBidi" w:cstheme="majorBidi"/>
        </w:rPr>
        <w:t xml:space="preserve"> s 57(1)(c).</w:t>
      </w:r>
    </w:p>
  </w:footnote>
  <w:footnote w:id="536">
    <w:p w14:paraId="4988B674" w14:textId="7C7434DC"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1(1)(e); NSW </w:t>
      </w:r>
      <w:r w:rsidRPr="00675D56">
        <w:rPr>
          <w:rFonts w:asciiTheme="majorBidi" w:hAnsiTheme="majorBidi" w:cstheme="majorBidi"/>
          <w:i/>
          <w:iCs/>
        </w:rPr>
        <w:t>Succession Act</w:t>
      </w:r>
      <w:r w:rsidRPr="00675D56">
        <w:rPr>
          <w:rFonts w:asciiTheme="majorBidi" w:hAnsiTheme="majorBidi" w:cstheme="majorBidi"/>
        </w:rPr>
        <w:t xml:space="preserve"> s 57(1)(e).</w:t>
      </w:r>
    </w:p>
  </w:footnote>
  <w:footnote w:id="537">
    <w:p w14:paraId="1CCC51D1" w14:textId="4CEF1E5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NSW </w:t>
      </w:r>
      <w:r w:rsidRPr="00675D56">
        <w:rPr>
          <w:rFonts w:asciiTheme="majorBidi" w:hAnsiTheme="majorBidi" w:cstheme="majorBidi"/>
          <w:i/>
          <w:iCs/>
        </w:rPr>
        <w:t xml:space="preserve">Succession Act </w:t>
      </w:r>
      <w:r w:rsidRPr="00675D56">
        <w:rPr>
          <w:rFonts w:asciiTheme="majorBidi" w:hAnsiTheme="majorBidi" w:cstheme="majorBidi"/>
        </w:rPr>
        <w:t>s 57(1)(f).</w:t>
      </w:r>
    </w:p>
  </w:footnote>
  <w:footnote w:id="538">
    <w:p w14:paraId="656B71F3" w14:textId="2196CF6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9(1); NSW </w:t>
      </w:r>
      <w:r w:rsidRPr="00675D56">
        <w:rPr>
          <w:rFonts w:asciiTheme="majorBidi" w:hAnsiTheme="majorBidi" w:cstheme="majorBidi"/>
          <w:i/>
          <w:iCs/>
        </w:rPr>
        <w:t>Succession Act</w:t>
      </w:r>
      <w:r w:rsidRPr="00675D56">
        <w:rPr>
          <w:rFonts w:asciiTheme="majorBidi" w:hAnsiTheme="majorBidi" w:cstheme="majorBidi"/>
        </w:rPr>
        <w:t xml:space="preserve"> s 76(2)(b).</w:t>
      </w:r>
    </w:p>
  </w:footnote>
  <w:footnote w:id="539">
    <w:p w14:paraId="65FF6BDD" w14:textId="5F1C767D" w:rsidR="00C61533" w:rsidRPr="00675D56" w:rsidRDefault="00C61533" w:rsidP="005E4B89">
      <w:pPr>
        <w:pStyle w:val="FootnoteTextTLRI"/>
        <w:rPr>
          <w:rFonts w:asciiTheme="majorBidi" w:hAnsiTheme="majorBidi" w:cstheme="majorBidi"/>
          <w:u w:val="single"/>
        </w:rPr>
      </w:pPr>
      <w:r w:rsidRPr="00675D56">
        <w:rPr>
          <w:rStyle w:val="FootnoteReference"/>
          <w:rFonts w:asciiTheme="majorBidi" w:hAnsiTheme="majorBidi" w:cstheme="majorBidi"/>
        </w:rPr>
        <w:footnoteRef/>
      </w:r>
      <w:r w:rsidRPr="00675D56">
        <w:rPr>
          <w:rFonts w:asciiTheme="majorBidi" w:hAnsiTheme="majorBidi" w:cstheme="majorBidi"/>
        </w:rPr>
        <w:tab/>
        <w:t xml:space="preserve">NSW </w:t>
      </w:r>
      <w:r w:rsidRPr="00675D56">
        <w:rPr>
          <w:rFonts w:asciiTheme="majorBidi" w:hAnsiTheme="majorBidi" w:cstheme="majorBidi"/>
          <w:i/>
          <w:iCs/>
        </w:rPr>
        <w:t xml:space="preserve">Succession Act </w:t>
      </w:r>
      <w:r w:rsidRPr="00675D56">
        <w:rPr>
          <w:rFonts w:asciiTheme="majorBidi" w:hAnsiTheme="majorBidi" w:cstheme="majorBidi"/>
        </w:rPr>
        <w:t>s 76(2)(e).</w:t>
      </w:r>
    </w:p>
  </w:footnote>
  <w:footnote w:id="540">
    <w:p w14:paraId="12D9EF67" w14:textId="562F24D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13; </w:t>
      </w:r>
      <w:r w:rsidRPr="00675D56">
        <w:rPr>
          <w:rFonts w:asciiTheme="majorBidi" w:hAnsiTheme="majorBidi" w:cstheme="majorBidi"/>
          <w:i/>
          <w:iCs/>
        </w:rPr>
        <w:t>NSW Succession Act</w:t>
      </w:r>
      <w:r w:rsidRPr="00675D56">
        <w:rPr>
          <w:rFonts w:asciiTheme="majorBidi" w:hAnsiTheme="majorBidi" w:cstheme="majorBidi"/>
        </w:rPr>
        <w:t xml:space="preserve"> s 76(2)(c).</w:t>
      </w:r>
    </w:p>
  </w:footnote>
  <w:footnote w:id="541">
    <w:p w14:paraId="4DC20E65" w14:textId="13C2B77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NSW </w:t>
      </w:r>
      <w:r w:rsidRPr="00675D56">
        <w:rPr>
          <w:rFonts w:asciiTheme="majorBidi" w:hAnsiTheme="majorBidi" w:cstheme="majorBidi"/>
          <w:i/>
          <w:iCs/>
        </w:rPr>
        <w:t xml:space="preserve">Succession Act </w:t>
      </w:r>
      <w:r w:rsidRPr="00675D56">
        <w:rPr>
          <w:rFonts w:asciiTheme="majorBidi" w:hAnsiTheme="majorBidi" w:cstheme="majorBidi"/>
        </w:rPr>
        <w:t>s 76(2)(d).</w:t>
      </w:r>
    </w:p>
  </w:footnote>
  <w:footnote w:id="542">
    <w:p w14:paraId="28AF1993" w14:textId="31C8DF8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8(2); NSW </w:t>
      </w:r>
      <w:r w:rsidRPr="00675D56">
        <w:rPr>
          <w:rFonts w:asciiTheme="majorBidi" w:hAnsiTheme="majorBidi" w:cstheme="majorBidi"/>
          <w:i/>
          <w:iCs/>
        </w:rPr>
        <w:t>Succession Act</w:t>
      </w:r>
      <w:r w:rsidRPr="00675D56">
        <w:rPr>
          <w:rFonts w:asciiTheme="majorBidi" w:hAnsiTheme="majorBidi" w:cstheme="majorBidi"/>
        </w:rPr>
        <w:t xml:space="preserve"> s 75(1).</w:t>
      </w:r>
    </w:p>
  </w:footnote>
  <w:footnote w:id="543">
    <w:p w14:paraId="6074F0EB" w14:textId="10977858"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ss 10, 12; </w:t>
      </w:r>
      <w:r w:rsidRPr="00675D56">
        <w:rPr>
          <w:rFonts w:asciiTheme="majorBidi" w:hAnsiTheme="majorBidi" w:cstheme="majorBidi"/>
          <w:i/>
          <w:iCs/>
        </w:rPr>
        <w:t>NSW Succession Act</w:t>
      </w:r>
      <w:r w:rsidRPr="00675D56">
        <w:rPr>
          <w:rFonts w:asciiTheme="majorBidi" w:hAnsiTheme="majorBidi" w:cstheme="majorBidi"/>
        </w:rPr>
        <w:t xml:space="preserve"> s 75(1).</w:t>
      </w:r>
    </w:p>
  </w:footnote>
  <w:footnote w:id="544">
    <w:p w14:paraId="44304B51" w14:textId="2C66601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ss 11, 12; NSW </w:t>
      </w:r>
      <w:r w:rsidRPr="00675D56">
        <w:rPr>
          <w:rFonts w:asciiTheme="majorBidi" w:hAnsiTheme="majorBidi" w:cstheme="majorBidi"/>
          <w:i/>
          <w:iCs/>
        </w:rPr>
        <w:t>Succession Act</w:t>
      </w:r>
      <w:r w:rsidRPr="00675D56">
        <w:rPr>
          <w:rFonts w:asciiTheme="majorBidi" w:hAnsiTheme="majorBidi" w:cstheme="majorBidi"/>
        </w:rPr>
        <w:t xml:space="preserve"> s 76(2)(f).</w:t>
      </w:r>
    </w:p>
  </w:footnote>
  <w:footnote w:id="545">
    <w:p w14:paraId="3370A9AC" w14:textId="445B548B"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NSW </w:t>
      </w:r>
      <w:r w:rsidRPr="00675D56">
        <w:rPr>
          <w:rFonts w:asciiTheme="majorBidi" w:hAnsiTheme="majorBidi" w:cstheme="majorBidi"/>
          <w:i/>
          <w:iCs/>
        </w:rPr>
        <w:t>Succession Act</w:t>
      </w:r>
      <w:r w:rsidRPr="00675D56">
        <w:rPr>
          <w:rFonts w:asciiTheme="majorBidi" w:hAnsiTheme="majorBidi" w:cstheme="majorBidi"/>
        </w:rPr>
        <w:t xml:space="preserve"> s 75(1).</w:t>
      </w:r>
    </w:p>
  </w:footnote>
  <w:footnote w:id="546">
    <w:p w14:paraId="3EEE217E" w14:textId="179C8E6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Dependants’ Relief Act</w:t>
      </w:r>
      <w:r w:rsidRPr="00675D56">
        <w:rPr>
          <w:rFonts w:asciiTheme="majorBidi" w:hAnsiTheme="majorBidi" w:cstheme="majorBidi"/>
        </w:rPr>
        <w:t>,</w:t>
      </w:r>
      <w:r w:rsidRPr="00675D56">
        <w:rPr>
          <w:rFonts w:asciiTheme="majorBidi" w:hAnsiTheme="majorBidi" w:cstheme="majorBidi"/>
          <w:i/>
          <w:iCs/>
        </w:rPr>
        <w:t xml:space="preserve"> </w:t>
      </w:r>
      <w:r w:rsidRPr="00675D56">
        <w:rPr>
          <w:rFonts w:asciiTheme="majorBidi" w:hAnsiTheme="majorBidi" w:cstheme="majorBidi"/>
        </w:rPr>
        <w:t>SS</w:t>
      </w:r>
      <w:r w:rsidRPr="00675D56">
        <w:rPr>
          <w:rFonts w:asciiTheme="majorBidi" w:hAnsiTheme="majorBidi" w:cstheme="majorBidi"/>
          <w:i/>
          <w:iCs/>
        </w:rPr>
        <w:t xml:space="preserve"> </w:t>
      </w:r>
      <w:r w:rsidRPr="00675D56">
        <w:rPr>
          <w:rFonts w:asciiTheme="majorBidi" w:hAnsiTheme="majorBidi" w:cstheme="majorBidi"/>
        </w:rPr>
        <w:t>1996, c D-25.01 (‘</w:t>
      </w:r>
      <w:r w:rsidRPr="00675D56">
        <w:rPr>
          <w:rFonts w:asciiTheme="majorBidi" w:hAnsiTheme="majorBidi" w:cstheme="majorBidi"/>
          <w:i/>
          <w:iCs/>
        </w:rPr>
        <w:t>Dependants’ Relief Act</w:t>
      </w:r>
      <w:r w:rsidRPr="00675D56">
        <w:rPr>
          <w:rFonts w:asciiTheme="majorBidi" w:hAnsiTheme="majorBidi" w:cstheme="majorBidi"/>
        </w:rPr>
        <w:t xml:space="preserve"> (Sask)’).</w:t>
      </w:r>
    </w:p>
  </w:footnote>
  <w:footnote w:id="547">
    <w:p w14:paraId="2A273D98" w14:textId="6C104C6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shd w:val="clear" w:color="auto" w:fill="FFFFFF"/>
        </w:rPr>
        <w:t>Succession Law Reform Act</w:t>
      </w:r>
      <w:r w:rsidRPr="00675D56">
        <w:rPr>
          <w:rFonts w:asciiTheme="majorBidi" w:hAnsiTheme="majorBidi" w:cstheme="majorBidi"/>
          <w:shd w:val="clear" w:color="auto" w:fill="FFFFFF"/>
        </w:rPr>
        <w:t>,</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RSO 1990, c S.26, Part V (‘</w:t>
      </w:r>
      <w:r w:rsidRPr="00675D56">
        <w:rPr>
          <w:rFonts w:asciiTheme="majorBidi" w:hAnsiTheme="majorBidi" w:cstheme="majorBidi"/>
          <w:i/>
          <w:iCs/>
          <w:shd w:val="clear" w:color="auto" w:fill="FFFFFF"/>
        </w:rPr>
        <w:t>Succession Law Reform Act</w:t>
      </w:r>
      <w:r w:rsidRPr="00675D56">
        <w:rPr>
          <w:rFonts w:asciiTheme="majorBidi" w:hAnsiTheme="majorBidi" w:cstheme="majorBidi"/>
          <w:shd w:val="clear" w:color="auto" w:fill="FFFFFF"/>
        </w:rPr>
        <w:t xml:space="preserve"> (Ont)’).</w:t>
      </w:r>
    </w:p>
  </w:footnote>
  <w:footnote w:id="548">
    <w:p w14:paraId="356104A7" w14:textId="611D3C7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shd w:val="clear" w:color="auto" w:fill="FFFFFF"/>
        </w:rPr>
        <w:t>Wills, Estates and Succession Act</w:t>
      </w:r>
      <w:r w:rsidRPr="00675D56">
        <w:rPr>
          <w:rFonts w:asciiTheme="majorBidi" w:hAnsiTheme="majorBidi" w:cstheme="majorBidi"/>
          <w:shd w:val="clear" w:color="auto" w:fill="FFFFFF"/>
        </w:rPr>
        <w:t>, SBC</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2009, c 13, Pt 4, Div 6 (‘</w:t>
      </w:r>
      <w:r w:rsidRPr="00675D56">
        <w:rPr>
          <w:rFonts w:asciiTheme="majorBidi" w:hAnsiTheme="majorBidi" w:cstheme="majorBidi"/>
          <w:i/>
          <w:iCs/>
          <w:shd w:val="clear" w:color="auto" w:fill="FFFFFF"/>
        </w:rPr>
        <w:t>Wills, Estates and Succession Act</w:t>
      </w:r>
      <w:r w:rsidRPr="00675D56">
        <w:rPr>
          <w:rFonts w:asciiTheme="majorBidi" w:hAnsiTheme="majorBidi" w:cstheme="majorBidi"/>
          <w:shd w:val="clear" w:color="auto" w:fill="FFFFFF"/>
        </w:rPr>
        <w:t xml:space="preserve"> (BC)’).</w:t>
      </w:r>
    </w:p>
  </w:footnote>
  <w:footnote w:id="549">
    <w:p w14:paraId="4ADBB590" w14:textId="1D0D4C1A"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Testators’ Family Maintenance Act</w:t>
      </w:r>
      <w:r w:rsidRPr="00675D56">
        <w:rPr>
          <w:rFonts w:asciiTheme="majorBidi" w:hAnsiTheme="majorBidi" w:cstheme="majorBidi"/>
        </w:rPr>
        <w:t>, RSNS 1989, c 465, s 1 (‘</w:t>
      </w:r>
      <w:r w:rsidRPr="00675D56">
        <w:rPr>
          <w:rFonts w:asciiTheme="majorBidi" w:hAnsiTheme="majorBidi" w:cstheme="majorBidi"/>
          <w:i/>
          <w:iCs/>
        </w:rPr>
        <w:t>Testators’ Family Maintenance Act</w:t>
      </w:r>
      <w:r w:rsidRPr="00675D56">
        <w:rPr>
          <w:rFonts w:asciiTheme="majorBidi" w:hAnsiTheme="majorBidi" w:cstheme="majorBidi"/>
        </w:rPr>
        <w:t xml:space="preserve"> (NS)’).</w:t>
      </w:r>
    </w:p>
  </w:footnote>
  <w:footnote w:id="550">
    <w:p w14:paraId="6F470CB2" w14:textId="4CC04BB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Wills and Succession Act</w:t>
      </w:r>
      <w:r w:rsidRPr="00675D56">
        <w:rPr>
          <w:rFonts w:asciiTheme="majorBidi" w:hAnsiTheme="majorBidi" w:cstheme="majorBidi"/>
        </w:rPr>
        <w:t>, SA 2010, c.W 12.2, Part 5 (‘</w:t>
      </w:r>
      <w:r w:rsidRPr="00675D56">
        <w:rPr>
          <w:rFonts w:asciiTheme="majorBidi" w:hAnsiTheme="majorBidi" w:cstheme="majorBidi"/>
          <w:i/>
          <w:iCs/>
        </w:rPr>
        <w:t>Wills and Succession Act</w:t>
      </w:r>
      <w:r w:rsidRPr="00675D56">
        <w:rPr>
          <w:rFonts w:asciiTheme="majorBidi" w:hAnsiTheme="majorBidi" w:cstheme="majorBidi"/>
        </w:rPr>
        <w:t xml:space="preserve"> (Alta)’).</w:t>
      </w:r>
    </w:p>
  </w:footnote>
  <w:footnote w:id="551">
    <w:p w14:paraId="2F84452D" w14:textId="7AC9F57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The Dependants Relief Act</w:t>
      </w:r>
      <w:r w:rsidRPr="00675D56">
        <w:rPr>
          <w:rFonts w:asciiTheme="majorBidi" w:hAnsiTheme="majorBidi" w:cstheme="majorBidi"/>
        </w:rPr>
        <w:t>,</w:t>
      </w:r>
      <w:r w:rsidRPr="00675D56">
        <w:rPr>
          <w:rFonts w:asciiTheme="majorBidi" w:hAnsiTheme="majorBidi" w:cstheme="majorBidi"/>
          <w:i/>
          <w:iCs/>
        </w:rPr>
        <w:t xml:space="preserve"> </w:t>
      </w:r>
      <w:r w:rsidRPr="00675D56">
        <w:rPr>
          <w:rFonts w:asciiTheme="majorBidi" w:hAnsiTheme="majorBidi" w:cstheme="majorBidi"/>
        </w:rPr>
        <w:t>CCSM 1990, c D37 (‘</w:t>
      </w:r>
      <w:r w:rsidRPr="00675D56">
        <w:rPr>
          <w:rFonts w:asciiTheme="majorBidi" w:hAnsiTheme="majorBidi" w:cstheme="majorBidi"/>
          <w:i/>
          <w:iCs/>
        </w:rPr>
        <w:t>The Dependants Relief Act</w:t>
      </w:r>
      <w:r w:rsidRPr="00675D56">
        <w:rPr>
          <w:rFonts w:asciiTheme="majorBidi" w:hAnsiTheme="majorBidi" w:cstheme="majorBidi"/>
        </w:rPr>
        <w:t xml:space="preserve"> (Man)’).</w:t>
      </w:r>
    </w:p>
  </w:footnote>
  <w:footnote w:id="552">
    <w:p w14:paraId="11CE3869" w14:textId="711243B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Provision for Dependants Act</w:t>
      </w:r>
      <w:r w:rsidRPr="00675D56">
        <w:rPr>
          <w:rFonts w:asciiTheme="majorBidi" w:hAnsiTheme="majorBidi" w:cstheme="majorBidi"/>
        </w:rPr>
        <w:t>, RSNB 2012, c 111 (‘</w:t>
      </w:r>
      <w:r w:rsidRPr="00675D56">
        <w:rPr>
          <w:rFonts w:asciiTheme="majorBidi" w:hAnsiTheme="majorBidi" w:cstheme="majorBidi"/>
          <w:i/>
          <w:iCs/>
        </w:rPr>
        <w:t>Provision for Dependants Act</w:t>
      </w:r>
      <w:r w:rsidRPr="00675D56">
        <w:rPr>
          <w:rFonts w:asciiTheme="majorBidi" w:hAnsiTheme="majorBidi" w:cstheme="majorBidi"/>
        </w:rPr>
        <w:t xml:space="preserve"> (NB)’).</w:t>
      </w:r>
    </w:p>
  </w:footnote>
  <w:footnote w:id="553">
    <w:p w14:paraId="5D9F603B" w14:textId="23538F1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i/>
          <w:iCs/>
        </w:rPr>
        <w:tab/>
        <w:t>Dependants Relief Act</w:t>
      </w:r>
      <w:r w:rsidRPr="00675D56">
        <w:rPr>
          <w:rFonts w:asciiTheme="majorBidi" w:hAnsiTheme="majorBidi" w:cstheme="majorBidi"/>
        </w:rPr>
        <w:t>,</w:t>
      </w:r>
      <w:r w:rsidRPr="00675D56">
        <w:rPr>
          <w:rFonts w:asciiTheme="majorBidi" w:hAnsiTheme="majorBidi" w:cstheme="majorBidi"/>
          <w:i/>
          <w:iCs/>
        </w:rPr>
        <w:t xml:space="preserve"> </w:t>
      </w:r>
      <w:r w:rsidRPr="00675D56">
        <w:rPr>
          <w:rFonts w:asciiTheme="majorBidi" w:hAnsiTheme="majorBidi" w:cstheme="majorBidi"/>
        </w:rPr>
        <w:t>RSY 2002, c 56 (‘</w:t>
      </w:r>
      <w:r w:rsidRPr="00675D56">
        <w:rPr>
          <w:rFonts w:asciiTheme="majorBidi" w:hAnsiTheme="majorBidi" w:cstheme="majorBidi"/>
          <w:i/>
          <w:iCs/>
        </w:rPr>
        <w:t>Dependants Relief Act</w:t>
      </w:r>
      <w:r w:rsidRPr="00675D56">
        <w:rPr>
          <w:rFonts w:asciiTheme="majorBidi" w:hAnsiTheme="majorBidi" w:cstheme="majorBidi"/>
        </w:rPr>
        <w:t xml:space="preserve"> (YT)’).</w:t>
      </w:r>
    </w:p>
  </w:footnote>
  <w:footnote w:id="554">
    <w:p w14:paraId="0188F996" w14:textId="627FEA7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Family Relief Act</w:t>
      </w:r>
      <w:r w:rsidRPr="00675D56">
        <w:rPr>
          <w:rFonts w:asciiTheme="majorBidi" w:hAnsiTheme="majorBidi" w:cstheme="majorBidi"/>
        </w:rPr>
        <w:t>, RSNL1990 c F-3 (‘</w:t>
      </w:r>
      <w:r w:rsidRPr="00675D56">
        <w:rPr>
          <w:rFonts w:asciiTheme="majorBidi" w:hAnsiTheme="majorBidi" w:cstheme="majorBidi"/>
          <w:i/>
          <w:iCs/>
        </w:rPr>
        <w:t xml:space="preserve">Family Relief Act </w:t>
      </w:r>
      <w:r w:rsidRPr="00675D56">
        <w:rPr>
          <w:rFonts w:asciiTheme="majorBidi" w:hAnsiTheme="majorBidi" w:cstheme="majorBidi"/>
        </w:rPr>
        <w:t>(Nfld)’).</w:t>
      </w:r>
    </w:p>
  </w:footnote>
  <w:footnote w:id="555">
    <w:p w14:paraId="1805357E" w14:textId="4C505375"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1(1)(a), (1B); </w:t>
      </w:r>
      <w:r w:rsidRPr="00675D56">
        <w:rPr>
          <w:rFonts w:asciiTheme="majorBidi" w:hAnsiTheme="majorBidi" w:cstheme="majorBidi"/>
          <w:i/>
          <w:iCs/>
        </w:rPr>
        <w:t xml:space="preserve">Uniform Dependants’ Relief Act </w:t>
      </w:r>
      <w:r w:rsidRPr="00675D56">
        <w:rPr>
          <w:rFonts w:asciiTheme="majorBidi" w:hAnsiTheme="majorBidi" w:cstheme="majorBidi"/>
        </w:rPr>
        <w:t xml:space="preserve">(1974) (Canada) ss 1(d)(i), (iv); </w:t>
      </w:r>
      <w:r w:rsidRPr="00675D56">
        <w:rPr>
          <w:rFonts w:asciiTheme="majorBidi" w:hAnsiTheme="majorBidi" w:cstheme="majorBidi"/>
          <w:i/>
          <w:iCs/>
        </w:rPr>
        <w:t xml:space="preserve">Dependants’ Relief Act </w:t>
      </w:r>
      <w:r w:rsidRPr="00675D56">
        <w:rPr>
          <w:rFonts w:asciiTheme="majorBidi" w:hAnsiTheme="majorBidi" w:cstheme="majorBidi"/>
        </w:rPr>
        <w:t>(Sask)</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_Ref13561348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545</w:t>
      </w:r>
      <w:r w:rsidRPr="00675D56">
        <w:rPr>
          <w:rFonts w:asciiTheme="majorBidi" w:hAnsiTheme="majorBidi" w:cstheme="majorBidi"/>
        </w:rPr>
        <w:fldChar w:fldCharType="end"/>
      </w:r>
      <w:r w:rsidRPr="00675D56">
        <w:rPr>
          <w:rFonts w:asciiTheme="majorBidi" w:hAnsiTheme="majorBidi" w:cstheme="majorBidi"/>
        </w:rPr>
        <w:t xml:space="preserve">) s 2(1) definition of ‘dependant’; </w:t>
      </w:r>
      <w:r w:rsidRPr="00675D56">
        <w:rPr>
          <w:rFonts w:asciiTheme="majorBidi" w:hAnsiTheme="majorBidi" w:cstheme="majorBidi"/>
          <w:i/>
          <w:iCs/>
          <w:shd w:val="clear" w:color="auto" w:fill="FFFFFF"/>
        </w:rPr>
        <w:t xml:space="preserve">Succession Law Reform Act </w:t>
      </w:r>
      <w:r w:rsidRPr="00675D56">
        <w:rPr>
          <w:rFonts w:asciiTheme="majorBidi" w:hAnsiTheme="majorBidi" w:cstheme="majorBidi"/>
          <w:shd w:val="clear" w:color="auto" w:fill="FFFFFF"/>
        </w:rPr>
        <w:t>(Ont)</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 xml:space="preserve">(n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s 57(1) definition of ‘dependant’; </w:t>
      </w:r>
      <w:r w:rsidRPr="00675D56">
        <w:rPr>
          <w:rFonts w:asciiTheme="majorBidi" w:hAnsiTheme="majorBidi" w:cstheme="majorBidi"/>
          <w:i/>
          <w:iCs/>
          <w:shd w:val="clear" w:color="auto" w:fill="FFFFFF"/>
        </w:rPr>
        <w:t xml:space="preserve">Wills, Estates and Succession Act </w:t>
      </w:r>
      <w:r w:rsidRPr="00675D56">
        <w:rPr>
          <w:rFonts w:asciiTheme="majorBidi" w:hAnsiTheme="majorBidi" w:cstheme="majorBidi"/>
          <w:shd w:val="clear" w:color="auto" w:fill="FFFFFF"/>
        </w:rPr>
        <w:t>(BC)</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 xml:space="preserve">(n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_Ref13561415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547</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s 60; </w:t>
      </w:r>
      <w:r w:rsidRPr="00675D56">
        <w:rPr>
          <w:rFonts w:asciiTheme="majorBidi" w:hAnsiTheme="majorBidi" w:cstheme="majorBidi"/>
          <w:i/>
          <w:iCs/>
          <w:color w:val="000000"/>
        </w:rPr>
        <w:t xml:space="preserve">Testators’ Family Maintenance Act </w:t>
      </w:r>
      <w:r w:rsidRPr="00675D56">
        <w:rPr>
          <w:rFonts w:asciiTheme="majorBidi" w:hAnsiTheme="majorBidi" w:cstheme="majorBidi"/>
          <w:color w:val="000000"/>
        </w:rPr>
        <w:t xml:space="preserve">(NS) (n </w:t>
      </w:r>
      <w:r w:rsidRPr="00675D56">
        <w:rPr>
          <w:rFonts w:asciiTheme="majorBidi" w:hAnsiTheme="majorBidi" w:cstheme="majorBidi"/>
          <w:color w:val="000000"/>
        </w:rPr>
        <w:fldChar w:fldCharType="begin"/>
      </w:r>
      <w:r w:rsidRPr="00675D56">
        <w:rPr>
          <w:rFonts w:asciiTheme="majorBidi" w:hAnsiTheme="majorBidi" w:cstheme="majorBidi"/>
          <w:color w:val="000000"/>
        </w:rPr>
        <w:instrText xml:space="preserve"> NOTEREF _Ref13561441 \h </w:instrText>
      </w:r>
      <w:r>
        <w:rPr>
          <w:rFonts w:asciiTheme="majorBidi" w:hAnsiTheme="majorBidi" w:cstheme="majorBidi"/>
          <w:color w:val="000000"/>
        </w:rPr>
        <w:instrText xml:space="preserve"> \* MERGEFORMAT </w:instrText>
      </w:r>
      <w:r w:rsidRPr="00675D56">
        <w:rPr>
          <w:rFonts w:asciiTheme="majorBidi" w:hAnsiTheme="majorBidi" w:cstheme="majorBidi"/>
          <w:color w:val="000000"/>
        </w:rPr>
      </w:r>
      <w:r w:rsidRPr="00675D56">
        <w:rPr>
          <w:rFonts w:asciiTheme="majorBidi" w:hAnsiTheme="majorBidi" w:cstheme="majorBidi"/>
          <w:color w:val="000000"/>
        </w:rPr>
        <w:fldChar w:fldCharType="separate"/>
      </w:r>
      <w:r>
        <w:rPr>
          <w:rFonts w:asciiTheme="majorBidi" w:hAnsiTheme="majorBidi" w:cstheme="majorBidi"/>
          <w:color w:val="000000"/>
        </w:rPr>
        <w:t>548</w:t>
      </w:r>
      <w:r w:rsidRPr="00675D56">
        <w:rPr>
          <w:rFonts w:asciiTheme="majorBidi" w:hAnsiTheme="majorBidi" w:cstheme="majorBidi"/>
          <w:color w:val="000000"/>
        </w:rPr>
        <w:fldChar w:fldCharType="end"/>
      </w:r>
      <w:r w:rsidRPr="00675D56">
        <w:rPr>
          <w:rFonts w:asciiTheme="majorBidi" w:hAnsiTheme="majorBidi" w:cstheme="majorBidi"/>
          <w:color w:val="000000"/>
        </w:rPr>
        <w:t xml:space="preserve">) s 2(1)(b) definition of ‘dependant’; </w:t>
      </w:r>
      <w:r w:rsidRPr="00675D56">
        <w:rPr>
          <w:rFonts w:asciiTheme="majorBidi" w:hAnsiTheme="majorBidi" w:cstheme="majorBidi"/>
          <w:i/>
          <w:iCs/>
        </w:rPr>
        <w:t xml:space="preserve">Wills and Succession Act </w:t>
      </w:r>
      <w:r w:rsidRPr="00675D56">
        <w:rPr>
          <w:rFonts w:asciiTheme="majorBidi" w:hAnsiTheme="majorBidi" w:cstheme="majorBidi"/>
        </w:rPr>
        <w:t>(Alta)</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_Ref13561482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549</w:t>
      </w:r>
      <w:r w:rsidRPr="00675D56">
        <w:rPr>
          <w:rFonts w:asciiTheme="majorBidi" w:hAnsiTheme="majorBidi" w:cstheme="majorBidi"/>
        </w:rPr>
        <w:fldChar w:fldCharType="end"/>
      </w:r>
      <w:r w:rsidRPr="00675D56">
        <w:rPr>
          <w:rFonts w:asciiTheme="majorBidi" w:hAnsiTheme="majorBidi" w:cstheme="majorBidi"/>
        </w:rPr>
        <w:t>) s 72(b)(i);</w:t>
      </w:r>
      <w:r w:rsidRPr="00675D56">
        <w:rPr>
          <w:rFonts w:asciiTheme="majorBidi" w:hAnsiTheme="majorBidi" w:cstheme="majorBidi"/>
          <w:i/>
          <w:iCs/>
        </w:rPr>
        <w:t xml:space="preserve"> The Dependants Relief Act </w:t>
      </w:r>
      <w:r w:rsidRPr="00675D56">
        <w:rPr>
          <w:rFonts w:asciiTheme="majorBidi" w:hAnsiTheme="majorBidi" w:cstheme="majorBidi"/>
        </w:rPr>
        <w:t>(Man)</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_Ref13561508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550</w:t>
      </w:r>
      <w:r w:rsidRPr="00675D56">
        <w:rPr>
          <w:rFonts w:asciiTheme="majorBidi" w:hAnsiTheme="majorBidi" w:cstheme="majorBidi"/>
        </w:rPr>
        <w:fldChar w:fldCharType="end"/>
      </w:r>
      <w:r w:rsidRPr="00675D56">
        <w:rPr>
          <w:rFonts w:asciiTheme="majorBidi" w:hAnsiTheme="majorBidi" w:cstheme="majorBidi"/>
        </w:rPr>
        <w:t>) s 1 definition of ‘dependant’;</w:t>
      </w:r>
      <w:r w:rsidRPr="00675D56">
        <w:rPr>
          <w:rFonts w:asciiTheme="majorBidi" w:hAnsiTheme="majorBidi" w:cstheme="majorBidi"/>
          <w:i/>
          <w:iCs/>
        </w:rPr>
        <w:t xml:space="preserve"> Provision for Dependants Act </w:t>
      </w:r>
      <w:r w:rsidRPr="00675D56">
        <w:rPr>
          <w:rFonts w:asciiTheme="majorBidi" w:hAnsiTheme="majorBidi" w:cstheme="majorBidi"/>
        </w:rPr>
        <w:t>(NB)</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_Ref13561527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551</w:t>
      </w:r>
      <w:r w:rsidRPr="00675D56">
        <w:rPr>
          <w:rFonts w:asciiTheme="majorBidi" w:hAnsiTheme="majorBidi" w:cstheme="majorBidi"/>
        </w:rPr>
        <w:fldChar w:fldCharType="end"/>
      </w:r>
      <w:r w:rsidRPr="00675D56">
        <w:rPr>
          <w:rFonts w:asciiTheme="majorBidi" w:hAnsiTheme="majorBidi" w:cstheme="majorBidi"/>
        </w:rPr>
        <w:t xml:space="preserve">) s 1 definition of ‘dependant’; </w:t>
      </w:r>
      <w:r w:rsidRPr="00675D56">
        <w:rPr>
          <w:rFonts w:asciiTheme="majorBidi" w:hAnsiTheme="majorBidi" w:cstheme="majorBidi"/>
          <w:i/>
          <w:iCs/>
        </w:rPr>
        <w:t xml:space="preserve">Dependants Relief Act </w:t>
      </w:r>
      <w:r w:rsidRPr="00675D56">
        <w:rPr>
          <w:rFonts w:asciiTheme="majorBidi" w:hAnsiTheme="majorBidi" w:cstheme="majorBidi"/>
        </w:rPr>
        <w:t>(YT)</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s 1 definition of ‘dependant’;</w:t>
      </w:r>
      <w:r w:rsidRPr="00675D56">
        <w:rPr>
          <w:rFonts w:asciiTheme="majorBidi" w:hAnsiTheme="majorBidi" w:cstheme="majorBidi"/>
          <w:i/>
          <w:iCs/>
        </w:rPr>
        <w:t xml:space="preserve"> Family Relief Act </w:t>
      </w:r>
      <w:r w:rsidRPr="00675D56">
        <w:rPr>
          <w:rFonts w:asciiTheme="majorBidi" w:hAnsiTheme="majorBidi" w:cstheme="majorBidi"/>
        </w:rPr>
        <w:t>(Nfld)</w:t>
      </w:r>
      <w:r w:rsidRPr="00675D56">
        <w:rPr>
          <w:rFonts w:asciiTheme="majorBidi" w:hAnsiTheme="majorBidi" w:cstheme="majorBidi"/>
          <w:i/>
          <w:iCs/>
        </w:rPr>
        <w:t xml:space="preserve"> </w:t>
      </w:r>
      <w:r w:rsidRPr="00675D56">
        <w:rPr>
          <w:rFonts w:asciiTheme="majorBidi" w:hAnsiTheme="majorBidi" w:cstheme="majorBidi"/>
        </w:rPr>
        <w:t>(n</w:t>
      </w:r>
      <w:r w:rsidRPr="00675D56">
        <w:rPr>
          <w:rFonts w:asciiTheme="majorBidi" w:hAnsiTheme="majorBidi" w:cstheme="majorBidi"/>
          <w:i/>
          <w:iCs/>
        </w:rPr>
        <w:t xml:space="preserve"> </w:t>
      </w:r>
      <w:r w:rsidRPr="00675D56">
        <w:rPr>
          <w:rFonts w:asciiTheme="majorBidi" w:hAnsiTheme="majorBidi" w:cstheme="majorBidi"/>
        </w:rPr>
        <w:fldChar w:fldCharType="begin"/>
      </w:r>
      <w:r w:rsidRPr="00675D56">
        <w:rPr>
          <w:rFonts w:asciiTheme="majorBidi" w:hAnsiTheme="majorBidi" w:cstheme="majorBidi"/>
        </w:rPr>
        <w:instrText xml:space="preserve"> NOTEREF _Ref13561595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553</w:t>
      </w:r>
      <w:r w:rsidRPr="00675D56">
        <w:rPr>
          <w:rFonts w:asciiTheme="majorBidi" w:hAnsiTheme="majorBidi" w:cstheme="majorBidi"/>
        </w:rPr>
        <w:fldChar w:fldCharType="end"/>
      </w:r>
      <w:r w:rsidRPr="00675D56">
        <w:rPr>
          <w:rFonts w:asciiTheme="majorBidi" w:hAnsiTheme="majorBidi" w:cstheme="majorBidi"/>
        </w:rPr>
        <w:t>) s 2(c) definition of ‘dependant’.</w:t>
      </w:r>
    </w:p>
  </w:footnote>
  <w:footnote w:id="556">
    <w:p w14:paraId="25C3E60F" w14:textId="4EDE8363"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1(1)(b); </w:t>
      </w:r>
      <w:r w:rsidRPr="00675D56">
        <w:rPr>
          <w:rFonts w:asciiTheme="majorBidi" w:hAnsiTheme="majorBidi" w:cstheme="majorBidi"/>
          <w:i/>
          <w:iCs/>
        </w:rPr>
        <w:t xml:space="preserve">Uniform Dependants’ Relief Act </w:t>
      </w:r>
      <w:r w:rsidRPr="00675D56">
        <w:rPr>
          <w:rFonts w:asciiTheme="majorBidi" w:hAnsiTheme="majorBidi" w:cstheme="majorBidi"/>
        </w:rPr>
        <w:t xml:space="preserve">(1974) (Canada) s 1(d)(v); </w:t>
      </w:r>
      <w:r w:rsidRPr="00675D56">
        <w:rPr>
          <w:rFonts w:asciiTheme="majorBidi" w:hAnsiTheme="majorBidi" w:cstheme="majorBidi"/>
          <w:i/>
          <w:iCs/>
        </w:rPr>
        <w:t xml:space="preserve">The Dependants Relief Act </w:t>
      </w:r>
      <w:r w:rsidRPr="00675D56">
        <w:rPr>
          <w:rFonts w:asciiTheme="majorBidi" w:hAnsiTheme="majorBidi" w:cstheme="majorBidi"/>
        </w:rPr>
        <w:t>(Man)</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_Ref13561508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550</w:t>
      </w:r>
      <w:r w:rsidRPr="00675D56">
        <w:rPr>
          <w:rFonts w:asciiTheme="majorBidi" w:hAnsiTheme="majorBidi" w:cstheme="majorBidi"/>
        </w:rPr>
        <w:fldChar w:fldCharType="end"/>
      </w:r>
      <w:r w:rsidRPr="00675D56">
        <w:rPr>
          <w:rFonts w:asciiTheme="majorBidi" w:hAnsiTheme="majorBidi" w:cstheme="majorBidi"/>
        </w:rPr>
        <w:t xml:space="preserve">) s 1 definition of ‘dependant’; </w:t>
      </w:r>
      <w:r w:rsidRPr="00675D56">
        <w:rPr>
          <w:rFonts w:asciiTheme="majorBidi" w:hAnsiTheme="majorBidi" w:cstheme="majorBidi"/>
          <w:i/>
          <w:iCs/>
        </w:rPr>
        <w:t xml:space="preserve">Dependants Relief Act </w:t>
      </w:r>
      <w:r w:rsidRPr="00675D56">
        <w:rPr>
          <w:rFonts w:asciiTheme="majorBidi" w:hAnsiTheme="majorBidi" w:cstheme="majorBidi"/>
        </w:rPr>
        <w:t xml:space="preserve">(YT)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w:t>
      </w:r>
      <w:r w:rsidRPr="00675D56">
        <w:rPr>
          <w:rFonts w:asciiTheme="majorBidi" w:hAnsiTheme="majorBidi" w:cstheme="majorBidi"/>
          <w:i/>
          <w:iCs/>
        </w:rPr>
        <w:t xml:space="preserve"> </w:t>
      </w:r>
      <w:r w:rsidRPr="00675D56">
        <w:rPr>
          <w:rFonts w:asciiTheme="majorBidi" w:hAnsiTheme="majorBidi" w:cstheme="majorBidi"/>
        </w:rPr>
        <w:t>s 1 definition of ‘dependant’.</w:t>
      </w:r>
    </w:p>
  </w:footnote>
  <w:footnote w:id="557">
    <w:p w14:paraId="3D75BE34" w14:textId="5B027B4C"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ss 1(1)(c), (d); </w:t>
      </w:r>
      <w:r w:rsidRPr="00675D56">
        <w:rPr>
          <w:rFonts w:asciiTheme="majorBidi" w:hAnsiTheme="majorBidi" w:cstheme="majorBidi"/>
          <w:i/>
          <w:iCs/>
        </w:rPr>
        <w:t xml:space="preserve">Uniform Dependants’ Relief Act </w:t>
      </w:r>
      <w:r w:rsidRPr="00675D56">
        <w:rPr>
          <w:rFonts w:asciiTheme="majorBidi" w:hAnsiTheme="majorBidi" w:cstheme="majorBidi"/>
        </w:rPr>
        <w:t xml:space="preserve">(1974) (Canada) ss 1(d)(ii), (iii); </w:t>
      </w:r>
      <w:r w:rsidRPr="00675D56">
        <w:rPr>
          <w:rFonts w:asciiTheme="majorBidi" w:hAnsiTheme="majorBidi" w:cstheme="majorBidi"/>
          <w:i/>
          <w:iCs/>
        </w:rPr>
        <w:t xml:space="preserve">Dependants’ Relief Act </w:t>
      </w:r>
      <w:r w:rsidRPr="00675D56">
        <w:rPr>
          <w:rFonts w:asciiTheme="majorBidi" w:hAnsiTheme="majorBidi" w:cstheme="majorBidi"/>
        </w:rPr>
        <w:t>(Sask)</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_Ref13561348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545</w:t>
      </w:r>
      <w:r w:rsidRPr="00675D56">
        <w:rPr>
          <w:rFonts w:asciiTheme="majorBidi" w:hAnsiTheme="majorBidi" w:cstheme="majorBidi"/>
        </w:rPr>
        <w:fldChar w:fldCharType="end"/>
      </w:r>
      <w:r w:rsidRPr="00675D56">
        <w:rPr>
          <w:rFonts w:asciiTheme="majorBidi" w:hAnsiTheme="majorBidi" w:cstheme="majorBidi"/>
        </w:rPr>
        <w:t xml:space="preserve">) s 2(1) definition of ‘dependant’; </w:t>
      </w:r>
      <w:r w:rsidRPr="00675D56">
        <w:rPr>
          <w:rFonts w:asciiTheme="majorBidi" w:hAnsiTheme="majorBidi" w:cstheme="majorBidi"/>
          <w:i/>
          <w:iCs/>
          <w:shd w:val="clear" w:color="auto" w:fill="FFFFFF"/>
        </w:rPr>
        <w:t xml:space="preserve">Succession Law Reform Act </w:t>
      </w:r>
      <w:r w:rsidRPr="00675D56">
        <w:rPr>
          <w:rFonts w:asciiTheme="majorBidi" w:hAnsiTheme="majorBidi" w:cstheme="majorBidi"/>
          <w:shd w:val="clear" w:color="auto" w:fill="FFFFFF"/>
        </w:rPr>
        <w:t>(Ont)</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 xml:space="preserve">(n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s 57(1) definition of ‘dependant’; </w:t>
      </w:r>
      <w:r w:rsidRPr="00675D56">
        <w:rPr>
          <w:rFonts w:asciiTheme="majorBidi" w:hAnsiTheme="majorBidi" w:cstheme="majorBidi"/>
          <w:i/>
          <w:iCs/>
          <w:shd w:val="clear" w:color="auto" w:fill="FFFFFF"/>
        </w:rPr>
        <w:t xml:space="preserve">Wills, Estates and Succession Act </w:t>
      </w:r>
      <w:r w:rsidRPr="00675D56">
        <w:rPr>
          <w:rFonts w:asciiTheme="majorBidi" w:hAnsiTheme="majorBidi" w:cstheme="majorBidi"/>
          <w:shd w:val="clear" w:color="auto" w:fill="FFFFFF"/>
        </w:rPr>
        <w:t xml:space="preserve">(BC) (n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_Ref13561415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547</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 xml:space="preserve">s 60; </w:t>
      </w:r>
      <w:r w:rsidRPr="00675D56">
        <w:rPr>
          <w:rFonts w:asciiTheme="majorBidi" w:hAnsiTheme="majorBidi" w:cstheme="majorBidi"/>
          <w:i/>
          <w:iCs/>
          <w:color w:val="000000"/>
        </w:rPr>
        <w:t xml:space="preserve">Testators’ Family Maintenance Act </w:t>
      </w:r>
      <w:r w:rsidRPr="00675D56">
        <w:rPr>
          <w:rFonts w:asciiTheme="majorBidi" w:hAnsiTheme="majorBidi" w:cstheme="majorBidi"/>
          <w:color w:val="000000"/>
        </w:rPr>
        <w:t xml:space="preserve">(NS) (n </w:t>
      </w:r>
      <w:r w:rsidRPr="00675D56">
        <w:rPr>
          <w:rFonts w:asciiTheme="majorBidi" w:hAnsiTheme="majorBidi" w:cstheme="majorBidi"/>
          <w:color w:val="000000"/>
        </w:rPr>
        <w:fldChar w:fldCharType="begin"/>
      </w:r>
      <w:r w:rsidRPr="00675D56">
        <w:rPr>
          <w:rFonts w:asciiTheme="majorBidi" w:hAnsiTheme="majorBidi" w:cstheme="majorBidi"/>
          <w:color w:val="000000"/>
        </w:rPr>
        <w:instrText xml:space="preserve"> NOTEREF _Ref13561441 \h </w:instrText>
      </w:r>
      <w:r>
        <w:rPr>
          <w:rFonts w:asciiTheme="majorBidi" w:hAnsiTheme="majorBidi" w:cstheme="majorBidi"/>
          <w:color w:val="000000"/>
        </w:rPr>
        <w:instrText xml:space="preserve"> \* MERGEFORMAT </w:instrText>
      </w:r>
      <w:r w:rsidRPr="00675D56">
        <w:rPr>
          <w:rFonts w:asciiTheme="majorBidi" w:hAnsiTheme="majorBidi" w:cstheme="majorBidi"/>
          <w:color w:val="000000"/>
        </w:rPr>
      </w:r>
      <w:r w:rsidRPr="00675D56">
        <w:rPr>
          <w:rFonts w:asciiTheme="majorBidi" w:hAnsiTheme="majorBidi" w:cstheme="majorBidi"/>
          <w:color w:val="000000"/>
        </w:rPr>
        <w:fldChar w:fldCharType="separate"/>
      </w:r>
      <w:r>
        <w:rPr>
          <w:rFonts w:asciiTheme="majorBidi" w:hAnsiTheme="majorBidi" w:cstheme="majorBidi"/>
          <w:color w:val="000000"/>
        </w:rPr>
        <w:t>548</w:t>
      </w:r>
      <w:r w:rsidRPr="00675D56">
        <w:rPr>
          <w:rFonts w:asciiTheme="majorBidi" w:hAnsiTheme="majorBidi" w:cstheme="majorBidi"/>
          <w:color w:val="000000"/>
        </w:rPr>
        <w:fldChar w:fldCharType="end"/>
      </w:r>
      <w:r w:rsidRPr="00675D56">
        <w:rPr>
          <w:rFonts w:asciiTheme="majorBidi" w:hAnsiTheme="majorBidi" w:cstheme="majorBidi"/>
          <w:color w:val="000000"/>
        </w:rPr>
        <w:t xml:space="preserve">) s 2(1)(b) definition of ‘dependant’; </w:t>
      </w:r>
      <w:r w:rsidRPr="00675D56">
        <w:rPr>
          <w:rFonts w:asciiTheme="majorBidi" w:hAnsiTheme="majorBidi" w:cstheme="majorBidi"/>
          <w:i/>
          <w:iCs/>
        </w:rPr>
        <w:t xml:space="preserve">Wills and Succession Act </w:t>
      </w:r>
      <w:r w:rsidRPr="00675D56">
        <w:rPr>
          <w:rFonts w:asciiTheme="majorBidi" w:hAnsiTheme="majorBidi" w:cstheme="majorBidi"/>
        </w:rPr>
        <w:t>(Alta)</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_Ref13561482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549</w:t>
      </w:r>
      <w:r w:rsidRPr="00675D56">
        <w:rPr>
          <w:rFonts w:asciiTheme="majorBidi" w:hAnsiTheme="majorBidi" w:cstheme="majorBidi"/>
        </w:rPr>
        <w:fldChar w:fldCharType="end"/>
      </w:r>
      <w:r w:rsidRPr="00675D56">
        <w:rPr>
          <w:rFonts w:asciiTheme="majorBidi" w:hAnsiTheme="majorBidi" w:cstheme="majorBidi"/>
        </w:rPr>
        <w:t>) ss 72(b)(iii), (iv), (v);</w:t>
      </w:r>
      <w:r w:rsidRPr="00675D56">
        <w:rPr>
          <w:rFonts w:asciiTheme="majorBidi" w:hAnsiTheme="majorBidi" w:cstheme="majorBidi"/>
          <w:i/>
          <w:iCs/>
        </w:rPr>
        <w:t xml:space="preserve"> The Dependants Relief Act </w:t>
      </w:r>
      <w:r w:rsidRPr="00675D56">
        <w:rPr>
          <w:rFonts w:asciiTheme="majorBidi" w:hAnsiTheme="majorBidi" w:cstheme="majorBidi"/>
        </w:rPr>
        <w:t xml:space="preserve">(Man)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_Ref13561508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550</w:t>
      </w:r>
      <w:r w:rsidRPr="00675D56">
        <w:rPr>
          <w:rFonts w:asciiTheme="majorBidi" w:hAnsiTheme="majorBidi" w:cstheme="majorBidi"/>
        </w:rPr>
        <w:fldChar w:fldCharType="end"/>
      </w:r>
      <w:r w:rsidRPr="00675D56">
        <w:rPr>
          <w:rFonts w:asciiTheme="majorBidi" w:hAnsiTheme="majorBidi" w:cstheme="majorBidi"/>
        </w:rPr>
        <w:t>)</w:t>
      </w:r>
      <w:r w:rsidRPr="00675D56">
        <w:rPr>
          <w:rFonts w:asciiTheme="majorBidi" w:hAnsiTheme="majorBidi" w:cstheme="majorBidi"/>
          <w:i/>
          <w:iCs/>
        </w:rPr>
        <w:t xml:space="preserve"> </w:t>
      </w:r>
      <w:r w:rsidRPr="00675D56">
        <w:rPr>
          <w:rFonts w:asciiTheme="majorBidi" w:hAnsiTheme="majorBidi" w:cstheme="majorBidi"/>
        </w:rPr>
        <w:t xml:space="preserve">s 1 definition of ‘dependant’; </w:t>
      </w:r>
      <w:r w:rsidRPr="00675D56">
        <w:rPr>
          <w:rFonts w:asciiTheme="majorBidi" w:hAnsiTheme="majorBidi" w:cstheme="majorBidi"/>
          <w:i/>
          <w:iCs/>
        </w:rPr>
        <w:t xml:space="preserve">Provision for Dependants Act </w:t>
      </w:r>
      <w:r w:rsidRPr="00675D56">
        <w:rPr>
          <w:rFonts w:asciiTheme="majorBidi" w:hAnsiTheme="majorBidi" w:cstheme="majorBidi"/>
        </w:rPr>
        <w:t>(NB)</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_Ref13561527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551</w:t>
      </w:r>
      <w:r w:rsidRPr="00675D56">
        <w:rPr>
          <w:rFonts w:asciiTheme="majorBidi" w:hAnsiTheme="majorBidi" w:cstheme="majorBidi"/>
        </w:rPr>
        <w:fldChar w:fldCharType="end"/>
      </w:r>
      <w:r w:rsidRPr="00675D56">
        <w:rPr>
          <w:rFonts w:asciiTheme="majorBidi" w:hAnsiTheme="majorBidi" w:cstheme="majorBidi"/>
        </w:rPr>
        <w:t xml:space="preserve">) s 1 definition of ‘dependant’; </w:t>
      </w:r>
      <w:r w:rsidRPr="00675D56">
        <w:rPr>
          <w:rFonts w:asciiTheme="majorBidi" w:hAnsiTheme="majorBidi" w:cstheme="majorBidi"/>
          <w:i/>
          <w:iCs/>
        </w:rPr>
        <w:t xml:space="preserve">Dependants Relief Act </w:t>
      </w:r>
      <w:r w:rsidRPr="00675D56">
        <w:rPr>
          <w:rFonts w:asciiTheme="majorBidi" w:hAnsiTheme="majorBidi" w:cstheme="majorBidi"/>
        </w:rPr>
        <w:t>(YT)</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xml:space="preserve">) s 1 definition of ‘dependant’; </w:t>
      </w:r>
      <w:r w:rsidRPr="00675D56">
        <w:rPr>
          <w:rFonts w:asciiTheme="majorBidi" w:hAnsiTheme="majorBidi" w:cstheme="majorBidi"/>
          <w:i/>
          <w:iCs/>
        </w:rPr>
        <w:t xml:space="preserve">Family Relief Act </w:t>
      </w:r>
      <w:r w:rsidRPr="00675D56">
        <w:rPr>
          <w:rFonts w:asciiTheme="majorBidi" w:hAnsiTheme="majorBidi" w:cstheme="majorBidi"/>
        </w:rPr>
        <w:t>(Nfld)</w:t>
      </w:r>
      <w:r w:rsidRPr="00675D56">
        <w:rPr>
          <w:rFonts w:asciiTheme="majorBidi" w:hAnsiTheme="majorBidi" w:cstheme="majorBidi"/>
          <w:i/>
          <w:iCs/>
        </w:rPr>
        <w:t xml:space="preserve"> </w:t>
      </w:r>
      <w:r w:rsidRPr="00675D56">
        <w:rPr>
          <w:rFonts w:asciiTheme="majorBidi" w:hAnsiTheme="majorBidi" w:cstheme="majorBidi"/>
        </w:rPr>
        <w:t>(n</w:t>
      </w:r>
      <w:r w:rsidRPr="00675D56">
        <w:rPr>
          <w:rFonts w:asciiTheme="majorBidi" w:hAnsiTheme="majorBidi" w:cstheme="majorBidi"/>
          <w:i/>
          <w:iCs/>
        </w:rPr>
        <w:t xml:space="preserve"> </w:t>
      </w:r>
      <w:r w:rsidRPr="00675D56">
        <w:rPr>
          <w:rFonts w:asciiTheme="majorBidi" w:hAnsiTheme="majorBidi" w:cstheme="majorBidi"/>
        </w:rPr>
        <w:fldChar w:fldCharType="begin"/>
      </w:r>
      <w:r w:rsidRPr="00675D56">
        <w:rPr>
          <w:rFonts w:asciiTheme="majorBidi" w:hAnsiTheme="majorBidi" w:cstheme="majorBidi"/>
        </w:rPr>
        <w:instrText xml:space="preserve"> NOTEREF _Ref13561595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553</w:t>
      </w:r>
      <w:r w:rsidRPr="00675D56">
        <w:rPr>
          <w:rFonts w:asciiTheme="majorBidi" w:hAnsiTheme="majorBidi" w:cstheme="majorBidi"/>
        </w:rPr>
        <w:fldChar w:fldCharType="end"/>
      </w:r>
      <w:r w:rsidRPr="00675D56">
        <w:rPr>
          <w:rFonts w:asciiTheme="majorBidi" w:hAnsiTheme="majorBidi" w:cstheme="majorBidi"/>
        </w:rPr>
        <w:t>) s 2(c) definition of ‘dependant’.</w:t>
      </w:r>
    </w:p>
  </w:footnote>
  <w:footnote w:id="558">
    <w:p w14:paraId="6CDB4B51" w14:textId="13145F89" w:rsidR="00C61533" w:rsidRPr="00675D56" w:rsidRDefault="00C61533" w:rsidP="005E4B89">
      <w:pPr>
        <w:pStyle w:val="FootnoteTextTLRI"/>
        <w:rPr>
          <w:rFonts w:asciiTheme="majorBidi" w:hAnsiTheme="majorBidi" w:cstheme="majorBidi"/>
          <w:lang w:val="x-none"/>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1(1)(e); </w:t>
      </w:r>
      <w:r w:rsidRPr="00675D56">
        <w:rPr>
          <w:rFonts w:asciiTheme="majorBidi" w:hAnsiTheme="majorBidi" w:cstheme="majorBidi"/>
          <w:i/>
          <w:iCs/>
          <w:shd w:val="clear" w:color="auto" w:fill="FFFFFF"/>
        </w:rPr>
        <w:t>Succession Law Reform Act</w:t>
      </w:r>
      <w:r w:rsidRPr="00675D56">
        <w:rPr>
          <w:rFonts w:asciiTheme="majorBidi" w:hAnsiTheme="majorBidi" w:cstheme="majorBidi"/>
          <w:shd w:val="clear" w:color="auto" w:fill="FFFFFF"/>
        </w:rPr>
        <w:t xml:space="preserve"> (Ont) (n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s 57(1) definition of ‘dependant’; </w:t>
      </w:r>
      <w:r w:rsidRPr="00675D56">
        <w:rPr>
          <w:rFonts w:asciiTheme="majorBidi" w:hAnsiTheme="majorBidi" w:cstheme="majorBidi"/>
          <w:i/>
          <w:iCs/>
        </w:rPr>
        <w:t xml:space="preserve">Wills and Succession Act </w:t>
      </w:r>
      <w:r w:rsidRPr="00675D56">
        <w:rPr>
          <w:rFonts w:asciiTheme="majorBidi" w:hAnsiTheme="majorBidi" w:cstheme="majorBidi"/>
        </w:rPr>
        <w:t xml:space="preserve">(Alta)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_Ref13561482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549</w:t>
      </w:r>
      <w:r w:rsidRPr="00675D56">
        <w:rPr>
          <w:rFonts w:asciiTheme="majorBidi" w:hAnsiTheme="majorBidi" w:cstheme="majorBidi"/>
        </w:rPr>
        <w:fldChar w:fldCharType="end"/>
      </w:r>
      <w:r w:rsidRPr="00675D56">
        <w:rPr>
          <w:rFonts w:asciiTheme="majorBidi" w:hAnsiTheme="majorBidi" w:cstheme="majorBidi"/>
        </w:rPr>
        <w:t xml:space="preserve">) s 72(b)(vi); </w:t>
      </w:r>
      <w:r w:rsidRPr="00675D56">
        <w:rPr>
          <w:rFonts w:asciiTheme="majorBidi" w:hAnsiTheme="majorBidi" w:cstheme="majorBidi"/>
          <w:i/>
          <w:iCs/>
        </w:rPr>
        <w:t>The Dependants Relief Act</w:t>
      </w:r>
      <w:r w:rsidRPr="00675D56">
        <w:rPr>
          <w:rFonts w:asciiTheme="majorBidi" w:hAnsiTheme="majorBidi" w:cstheme="majorBidi"/>
        </w:rPr>
        <w:t xml:space="preserve"> (Man)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_Ref13561508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550</w:t>
      </w:r>
      <w:r w:rsidRPr="00675D56">
        <w:rPr>
          <w:rFonts w:asciiTheme="majorBidi" w:hAnsiTheme="majorBidi" w:cstheme="majorBidi"/>
        </w:rPr>
        <w:fldChar w:fldCharType="end"/>
      </w:r>
      <w:r w:rsidRPr="00675D56">
        <w:rPr>
          <w:rFonts w:asciiTheme="majorBidi" w:hAnsiTheme="majorBidi" w:cstheme="majorBidi"/>
        </w:rPr>
        <w:t xml:space="preserve">) s 1 definition of ‘dependant’; </w:t>
      </w:r>
      <w:r w:rsidRPr="00675D56">
        <w:rPr>
          <w:rFonts w:asciiTheme="majorBidi" w:hAnsiTheme="majorBidi" w:cstheme="majorBidi"/>
          <w:i/>
          <w:iCs/>
        </w:rPr>
        <w:t>Provision for Dependants Act</w:t>
      </w:r>
      <w:r w:rsidRPr="00675D56">
        <w:rPr>
          <w:rFonts w:asciiTheme="majorBidi" w:hAnsiTheme="majorBidi" w:cstheme="majorBidi"/>
        </w:rPr>
        <w:t xml:space="preserve"> (NB)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_Ref13561527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551</w:t>
      </w:r>
      <w:r w:rsidRPr="00675D56">
        <w:rPr>
          <w:rFonts w:asciiTheme="majorBidi" w:hAnsiTheme="majorBidi" w:cstheme="majorBidi"/>
        </w:rPr>
        <w:fldChar w:fldCharType="end"/>
      </w:r>
      <w:r w:rsidRPr="00675D56">
        <w:rPr>
          <w:rFonts w:asciiTheme="majorBidi" w:hAnsiTheme="majorBidi" w:cstheme="majorBidi"/>
        </w:rPr>
        <w:t xml:space="preserve">) s 1 definition of ‘dependant’; </w:t>
      </w:r>
      <w:r w:rsidRPr="00675D56">
        <w:rPr>
          <w:rFonts w:asciiTheme="majorBidi" w:hAnsiTheme="majorBidi" w:cstheme="majorBidi"/>
          <w:i/>
          <w:iCs/>
        </w:rPr>
        <w:t>Dependants Relief Act</w:t>
      </w:r>
      <w:r w:rsidRPr="00675D56">
        <w:rPr>
          <w:rFonts w:asciiTheme="majorBidi" w:hAnsiTheme="majorBidi" w:cstheme="majorBidi"/>
        </w:rPr>
        <w:t xml:space="preserve"> (YT)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s 1 definition of ‘dependant’.</w:t>
      </w:r>
    </w:p>
  </w:footnote>
  <w:footnote w:id="559">
    <w:p w14:paraId="62777C96" w14:textId="4DC6C922"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shd w:val="clear" w:color="auto" w:fill="FFFFFF"/>
        </w:rPr>
        <w:t xml:space="preserve">Succession Law Reform Act </w:t>
      </w:r>
      <w:r w:rsidRPr="00675D56">
        <w:rPr>
          <w:rFonts w:asciiTheme="majorBidi" w:hAnsiTheme="majorBidi" w:cstheme="majorBidi"/>
          <w:shd w:val="clear" w:color="auto" w:fill="FFFFFF"/>
        </w:rPr>
        <w:t>(Ont)</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 xml:space="preserve">(n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s 57(1) includes financially dependent parents and siblings within definition of ‘dependant’.</w:t>
      </w:r>
    </w:p>
  </w:footnote>
  <w:footnote w:id="560">
    <w:p w14:paraId="4109014C" w14:textId="24B2DB99"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9(1); </w:t>
      </w:r>
      <w:r w:rsidRPr="00675D56">
        <w:rPr>
          <w:rFonts w:asciiTheme="majorBidi" w:hAnsiTheme="majorBidi" w:cstheme="majorBidi"/>
          <w:i/>
          <w:iCs/>
          <w:shd w:val="clear" w:color="auto" w:fill="FFFFFF"/>
        </w:rPr>
        <w:t xml:space="preserve">Succession Law Reform Act </w:t>
      </w:r>
      <w:r w:rsidRPr="00675D56">
        <w:rPr>
          <w:rFonts w:asciiTheme="majorBidi" w:hAnsiTheme="majorBidi" w:cstheme="majorBidi"/>
          <w:shd w:val="clear" w:color="auto" w:fill="FFFFFF"/>
        </w:rPr>
        <w:t xml:space="preserve">(Ont) (n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w:t>
      </w:r>
      <w:r w:rsidRPr="00675D56">
        <w:rPr>
          <w:rFonts w:asciiTheme="majorBidi" w:hAnsiTheme="majorBidi" w:cstheme="majorBidi"/>
        </w:rPr>
        <w:t xml:space="preserve">s 72(1)(b); </w:t>
      </w:r>
      <w:r w:rsidRPr="00675D56">
        <w:rPr>
          <w:rFonts w:asciiTheme="majorBidi" w:hAnsiTheme="majorBidi" w:cstheme="majorBidi"/>
          <w:i/>
          <w:iCs/>
        </w:rPr>
        <w:t>Dependants Relief Act</w:t>
      </w:r>
      <w:r w:rsidRPr="00675D56">
        <w:rPr>
          <w:rFonts w:asciiTheme="majorBidi" w:hAnsiTheme="majorBidi" w:cstheme="majorBidi"/>
        </w:rPr>
        <w:t xml:space="preserve"> (YT)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s 20(1)(d).</w:t>
      </w:r>
    </w:p>
  </w:footnote>
  <w:footnote w:id="561">
    <w:p w14:paraId="10179D8C" w14:textId="024B5DE4"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shd w:val="clear" w:color="auto" w:fill="FFFFFF"/>
        </w:rPr>
        <w:t>Succession Law Reform Act</w:t>
      </w:r>
      <w:r w:rsidRPr="00675D56">
        <w:rPr>
          <w:rFonts w:asciiTheme="majorBidi" w:hAnsiTheme="majorBidi" w:cstheme="majorBidi"/>
          <w:shd w:val="clear" w:color="auto" w:fill="FFFFFF"/>
        </w:rPr>
        <w:t xml:space="preserve"> (Ont) (n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s 72(1)(g).</w:t>
      </w:r>
    </w:p>
  </w:footnote>
  <w:footnote w:id="562">
    <w:p w14:paraId="5EF6CADC" w14:textId="35F3C80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13; </w:t>
      </w:r>
      <w:r w:rsidRPr="00675D56">
        <w:rPr>
          <w:rFonts w:asciiTheme="majorBidi" w:hAnsiTheme="majorBidi" w:cstheme="majorBidi"/>
          <w:i/>
          <w:iCs/>
        </w:rPr>
        <w:t xml:space="preserve">Uniform Dependants’ Relief Act </w:t>
      </w:r>
      <w:r w:rsidRPr="00675D56">
        <w:rPr>
          <w:rFonts w:asciiTheme="majorBidi" w:hAnsiTheme="majorBidi" w:cstheme="majorBidi"/>
        </w:rPr>
        <w:t xml:space="preserve">(1974) (Canada) s 20(1); </w:t>
      </w:r>
      <w:r w:rsidRPr="00675D56">
        <w:rPr>
          <w:rFonts w:asciiTheme="majorBidi" w:hAnsiTheme="majorBidi" w:cstheme="majorBidi"/>
          <w:i/>
          <w:iCs/>
          <w:shd w:val="clear" w:color="auto" w:fill="FFFFFF"/>
        </w:rPr>
        <w:t xml:space="preserve">Succession Law Reform Act </w:t>
      </w:r>
      <w:r w:rsidRPr="00675D56">
        <w:rPr>
          <w:rFonts w:asciiTheme="majorBidi" w:hAnsiTheme="majorBidi" w:cstheme="majorBidi"/>
          <w:shd w:val="clear" w:color="auto" w:fill="FFFFFF"/>
        </w:rPr>
        <w:t>(Ont)</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 xml:space="preserve">(n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s 72(1)(e); </w:t>
      </w:r>
      <w:r w:rsidRPr="00675D56">
        <w:rPr>
          <w:rFonts w:asciiTheme="majorBidi" w:hAnsiTheme="majorBidi" w:cstheme="majorBidi"/>
          <w:i/>
          <w:iCs/>
        </w:rPr>
        <w:t xml:space="preserve">Dependants Relief Act </w:t>
      </w:r>
      <w:r w:rsidRPr="00675D56">
        <w:rPr>
          <w:rFonts w:asciiTheme="majorBidi" w:hAnsiTheme="majorBidi" w:cstheme="majorBidi"/>
        </w:rPr>
        <w:t>(YT)</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s 20(1)(e).</w:t>
      </w:r>
    </w:p>
  </w:footnote>
  <w:footnote w:id="563">
    <w:p w14:paraId="4B2C230E" w14:textId="20BBE54A" w:rsidR="00C61533" w:rsidRPr="00675D56" w:rsidRDefault="00C61533" w:rsidP="003470A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 xml:space="preserve">Uniform Dependants’ Relief Act </w:t>
      </w:r>
      <w:r w:rsidRPr="00675D56">
        <w:rPr>
          <w:rFonts w:asciiTheme="majorBidi" w:hAnsiTheme="majorBidi" w:cstheme="majorBidi"/>
        </w:rPr>
        <w:t xml:space="preserve">(1974) (Canada) s 20(1); </w:t>
      </w:r>
      <w:r w:rsidRPr="00675D56">
        <w:rPr>
          <w:rFonts w:asciiTheme="majorBidi" w:hAnsiTheme="majorBidi" w:cstheme="majorBidi"/>
          <w:i/>
          <w:iCs/>
          <w:shd w:val="clear" w:color="auto" w:fill="FFFFFF"/>
        </w:rPr>
        <w:t xml:space="preserve">Succession Law Reform Act </w:t>
      </w:r>
      <w:r w:rsidRPr="00675D56">
        <w:rPr>
          <w:rFonts w:asciiTheme="majorBidi" w:hAnsiTheme="majorBidi" w:cstheme="majorBidi"/>
          <w:shd w:val="clear" w:color="auto" w:fill="FFFFFF"/>
        </w:rPr>
        <w:t>(Ont)</w:t>
      </w:r>
      <w:r w:rsidRPr="00675D56">
        <w:rPr>
          <w:rFonts w:asciiTheme="majorBidi" w:hAnsiTheme="majorBidi" w:cstheme="majorBidi"/>
          <w:i/>
          <w:iCs/>
          <w:shd w:val="clear" w:color="auto" w:fill="FFFFFF"/>
        </w:rPr>
        <w:t xml:space="preserve"> </w:t>
      </w:r>
      <w:r w:rsidRPr="00675D56">
        <w:rPr>
          <w:rFonts w:asciiTheme="majorBidi" w:hAnsiTheme="majorBidi" w:cstheme="majorBidi"/>
          <w:shd w:val="clear" w:color="auto" w:fill="FFFFFF"/>
        </w:rPr>
        <w:t xml:space="preserve">(n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s 72(1)(f); </w:t>
      </w:r>
      <w:r w:rsidRPr="00675D56">
        <w:rPr>
          <w:rFonts w:asciiTheme="majorBidi" w:hAnsiTheme="majorBidi" w:cstheme="majorBidi"/>
          <w:i/>
          <w:iCs/>
        </w:rPr>
        <w:t xml:space="preserve">Dependants Relief Act </w:t>
      </w:r>
      <w:r w:rsidRPr="00675D56">
        <w:rPr>
          <w:rFonts w:asciiTheme="majorBidi" w:hAnsiTheme="majorBidi" w:cstheme="majorBidi"/>
        </w:rPr>
        <w:t>(YT)</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s 20(1)(f).</w:t>
      </w:r>
    </w:p>
  </w:footnote>
  <w:footnote w:id="564">
    <w:p w14:paraId="1F221924" w14:textId="10E05BFF" w:rsidR="00C61533" w:rsidRPr="00675D56" w:rsidRDefault="00C61533" w:rsidP="00837C77">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8(2); </w:t>
      </w:r>
      <w:r w:rsidRPr="00675D56">
        <w:rPr>
          <w:rFonts w:asciiTheme="majorBidi" w:hAnsiTheme="majorBidi" w:cstheme="majorBidi"/>
          <w:i/>
          <w:iCs/>
        </w:rPr>
        <w:t xml:space="preserve">Uniform Dependants’ Relief Act </w:t>
      </w:r>
      <w:r w:rsidRPr="00675D56">
        <w:rPr>
          <w:rFonts w:asciiTheme="majorBidi" w:hAnsiTheme="majorBidi" w:cstheme="majorBidi"/>
        </w:rPr>
        <w:t xml:space="preserve">(1974) (Canada) s 20(1); </w:t>
      </w:r>
      <w:r w:rsidRPr="00675D56">
        <w:rPr>
          <w:rFonts w:asciiTheme="majorBidi" w:hAnsiTheme="majorBidi" w:cstheme="majorBidi"/>
          <w:i/>
          <w:iCs/>
          <w:shd w:val="clear" w:color="auto" w:fill="FFFFFF"/>
        </w:rPr>
        <w:t xml:space="preserve">Succession Law Reform Act </w:t>
      </w:r>
      <w:r w:rsidRPr="00675D56">
        <w:rPr>
          <w:rFonts w:asciiTheme="majorBidi" w:hAnsiTheme="majorBidi" w:cstheme="majorBidi"/>
          <w:shd w:val="clear" w:color="auto" w:fill="FFFFFF"/>
        </w:rPr>
        <w:t>(Ont)</w:t>
      </w:r>
      <w:r w:rsidRPr="00675D56">
        <w:rPr>
          <w:rFonts w:asciiTheme="majorBidi" w:hAnsiTheme="majorBidi" w:cstheme="majorBidi"/>
          <w:i/>
          <w:iCs/>
          <w:shd w:val="clear" w:color="auto" w:fill="FFFFFF"/>
        </w:rPr>
        <w:t xml:space="preserve"> </w:t>
      </w:r>
      <w:r w:rsidRPr="00675D56">
        <w:rPr>
          <w:rFonts w:asciiTheme="majorBidi" w:hAnsiTheme="majorBidi" w:cstheme="majorBidi"/>
        </w:rPr>
        <w:t xml:space="preserve">s </w:t>
      </w:r>
      <w:r w:rsidRPr="00675D56">
        <w:rPr>
          <w:rFonts w:asciiTheme="majorBidi" w:hAnsiTheme="majorBidi" w:cstheme="majorBidi"/>
          <w:shd w:val="clear" w:color="auto" w:fill="FFFFFF"/>
        </w:rPr>
        <w:t xml:space="preserve">(n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w:t>
      </w:r>
      <w:r w:rsidRPr="00675D56">
        <w:rPr>
          <w:rFonts w:asciiTheme="majorBidi" w:hAnsiTheme="majorBidi" w:cstheme="majorBidi"/>
        </w:rPr>
        <w:t xml:space="preserve">72(1)(a); </w:t>
      </w:r>
      <w:r w:rsidRPr="00675D56">
        <w:rPr>
          <w:rFonts w:asciiTheme="majorBidi" w:hAnsiTheme="majorBidi" w:cstheme="majorBidi"/>
          <w:i/>
          <w:iCs/>
        </w:rPr>
        <w:t xml:space="preserve">Dependants Relief Act </w:t>
      </w:r>
      <w:r w:rsidRPr="00675D56">
        <w:rPr>
          <w:rFonts w:asciiTheme="majorBidi" w:hAnsiTheme="majorBidi" w:cstheme="majorBidi"/>
        </w:rPr>
        <w:t>(YT)</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s 20(1)(a).</w:t>
      </w:r>
    </w:p>
  </w:footnote>
  <w:footnote w:id="565">
    <w:p w14:paraId="45B4A94A" w14:textId="538020C2" w:rsidR="00C61533" w:rsidRPr="00675D56" w:rsidRDefault="00C61533" w:rsidP="00ED2ADB">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ss 10, 12; </w:t>
      </w:r>
      <w:r w:rsidRPr="00675D56">
        <w:rPr>
          <w:rFonts w:asciiTheme="majorBidi" w:hAnsiTheme="majorBidi" w:cstheme="majorBidi"/>
          <w:i/>
          <w:iCs/>
        </w:rPr>
        <w:t xml:space="preserve">Uniform Dependants’ Relief Act </w:t>
      </w:r>
      <w:r w:rsidRPr="00675D56">
        <w:rPr>
          <w:rFonts w:asciiTheme="majorBidi" w:hAnsiTheme="majorBidi" w:cstheme="majorBidi"/>
        </w:rPr>
        <w:t xml:space="preserve">(1974) (Canada) s 21(1); </w:t>
      </w:r>
      <w:r w:rsidRPr="00675D56">
        <w:rPr>
          <w:rFonts w:asciiTheme="majorBidi" w:hAnsiTheme="majorBidi" w:cstheme="majorBidi"/>
          <w:i/>
          <w:iCs/>
        </w:rPr>
        <w:t xml:space="preserve">Dependants Relief Act </w:t>
      </w:r>
      <w:r w:rsidRPr="00675D56">
        <w:rPr>
          <w:rFonts w:asciiTheme="majorBidi" w:hAnsiTheme="majorBidi" w:cstheme="majorBidi"/>
        </w:rPr>
        <w:t>(YT)</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s 21.</w:t>
      </w:r>
    </w:p>
  </w:footnote>
  <w:footnote w:id="566">
    <w:p w14:paraId="0C6EAEF8" w14:textId="3355A91C" w:rsidR="00C61533" w:rsidRPr="00675D56" w:rsidRDefault="00C61533" w:rsidP="000F5FCE">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ss 11, 12; </w:t>
      </w:r>
      <w:r w:rsidRPr="00675D56">
        <w:rPr>
          <w:rFonts w:asciiTheme="majorBidi" w:hAnsiTheme="majorBidi" w:cstheme="majorBidi"/>
          <w:i/>
          <w:iCs/>
        </w:rPr>
        <w:t xml:space="preserve">Uniform Dependants’ Relief Act </w:t>
      </w:r>
      <w:r w:rsidRPr="00675D56">
        <w:rPr>
          <w:rFonts w:asciiTheme="majorBidi" w:hAnsiTheme="majorBidi" w:cstheme="majorBidi"/>
        </w:rPr>
        <w:t xml:space="preserve">(1974) (Canada) s 15; </w:t>
      </w:r>
      <w:r w:rsidRPr="00675D56">
        <w:rPr>
          <w:rFonts w:asciiTheme="majorBidi" w:hAnsiTheme="majorBidi" w:cstheme="majorBidi"/>
          <w:i/>
          <w:iCs/>
          <w:shd w:val="clear" w:color="auto" w:fill="FFFFFF"/>
        </w:rPr>
        <w:t xml:space="preserve">Succession Law Reform Act </w:t>
      </w:r>
      <w:r w:rsidRPr="00675D56">
        <w:rPr>
          <w:rFonts w:asciiTheme="majorBidi" w:hAnsiTheme="majorBidi" w:cstheme="majorBidi"/>
          <w:shd w:val="clear" w:color="auto" w:fill="FFFFFF"/>
        </w:rPr>
        <w:t xml:space="preserve">(Ont) (n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w:t>
      </w:r>
      <w:r w:rsidRPr="00675D56">
        <w:rPr>
          <w:rFonts w:asciiTheme="majorBidi" w:hAnsiTheme="majorBidi" w:cstheme="majorBidi"/>
          <w:i/>
          <w:iCs/>
          <w:shd w:val="clear" w:color="auto" w:fill="FFFFFF"/>
        </w:rPr>
        <w:t xml:space="preserve"> </w:t>
      </w:r>
      <w:r w:rsidRPr="00675D56">
        <w:rPr>
          <w:rFonts w:asciiTheme="majorBidi" w:hAnsiTheme="majorBidi" w:cstheme="majorBidi"/>
        </w:rPr>
        <w:t xml:space="preserve">s 71; </w:t>
      </w:r>
      <w:r w:rsidRPr="00675D56">
        <w:rPr>
          <w:rFonts w:asciiTheme="majorBidi" w:hAnsiTheme="majorBidi" w:cstheme="majorBidi"/>
          <w:i/>
          <w:iCs/>
          <w:color w:val="000000"/>
        </w:rPr>
        <w:t xml:space="preserve">Testators’ Family Maintenance Act </w:t>
      </w:r>
      <w:r w:rsidRPr="00675D56">
        <w:rPr>
          <w:rFonts w:asciiTheme="majorBidi" w:hAnsiTheme="majorBidi" w:cstheme="majorBidi"/>
          <w:color w:val="000000"/>
        </w:rPr>
        <w:t xml:space="preserve">(NS) (n </w:t>
      </w:r>
      <w:r w:rsidRPr="00675D56">
        <w:rPr>
          <w:rFonts w:asciiTheme="majorBidi" w:hAnsiTheme="majorBidi" w:cstheme="majorBidi"/>
          <w:color w:val="000000"/>
        </w:rPr>
        <w:fldChar w:fldCharType="begin"/>
      </w:r>
      <w:r w:rsidRPr="00675D56">
        <w:rPr>
          <w:rFonts w:asciiTheme="majorBidi" w:hAnsiTheme="majorBidi" w:cstheme="majorBidi"/>
          <w:color w:val="000000"/>
        </w:rPr>
        <w:instrText xml:space="preserve"> NOTEREF _Ref13561441 \h </w:instrText>
      </w:r>
      <w:r>
        <w:rPr>
          <w:rFonts w:asciiTheme="majorBidi" w:hAnsiTheme="majorBidi" w:cstheme="majorBidi"/>
          <w:color w:val="000000"/>
        </w:rPr>
        <w:instrText xml:space="preserve"> \* MERGEFORMAT </w:instrText>
      </w:r>
      <w:r w:rsidRPr="00675D56">
        <w:rPr>
          <w:rFonts w:asciiTheme="majorBidi" w:hAnsiTheme="majorBidi" w:cstheme="majorBidi"/>
          <w:color w:val="000000"/>
        </w:rPr>
      </w:r>
      <w:r w:rsidRPr="00675D56">
        <w:rPr>
          <w:rFonts w:asciiTheme="majorBidi" w:hAnsiTheme="majorBidi" w:cstheme="majorBidi"/>
          <w:color w:val="000000"/>
        </w:rPr>
        <w:fldChar w:fldCharType="separate"/>
      </w:r>
      <w:r>
        <w:rPr>
          <w:rFonts w:asciiTheme="majorBidi" w:hAnsiTheme="majorBidi" w:cstheme="majorBidi"/>
          <w:color w:val="000000"/>
        </w:rPr>
        <w:t>548</w:t>
      </w:r>
      <w:r w:rsidRPr="00675D56">
        <w:rPr>
          <w:rFonts w:asciiTheme="majorBidi" w:hAnsiTheme="majorBidi" w:cstheme="majorBidi"/>
          <w:color w:val="000000"/>
        </w:rPr>
        <w:fldChar w:fldCharType="end"/>
      </w:r>
      <w:r w:rsidRPr="00675D56">
        <w:rPr>
          <w:rFonts w:asciiTheme="majorBidi" w:hAnsiTheme="majorBidi" w:cstheme="majorBidi"/>
          <w:color w:val="000000"/>
        </w:rPr>
        <w:t xml:space="preserve">) </w:t>
      </w:r>
      <w:r w:rsidRPr="00675D56">
        <w:rPr>
          <w:rFonts w:asciiTheme="majorBidi" w:hAnsiTheme="majorBidi" w:cstheme="majorBidi"/>
        </w:rPr>
        <w:t xml:space="preserve">s 16; </w:t>
      </w:r>
      <w:r w:rsidRPr="00675D56">
        <w:rPr>
          <w:rFonts w:asciiTheme="majorBidi" w:hAnsiTheme="majorBidi" w:cstheme="majorBidi"/>
          <w:i/>
          <w:iCs/>
        </w:rPr>
        <w:t xml:space="preserve">Dependants’ Relief Act </w:t>
      </w:r>
      <w:r w:rsidRPr="00675D56">
        <w:rPr>
          <w:rFonts w:asciiTheme="majorBidi" w:hAnsiTheme="majorBidi" w:cstheme="majorBidi"/>
        </w:rPr>
        <w:t>(Sask)</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_Ref13561348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545</w:t>
      </w:r>
      <w:r w:rsidRPr="00675D56">
        <w:rPr>
          <w:rFonts w:asciiTheme="majorBidi" w:hAnsiTheme="majorBidi" w:cstheme="majorBidi"/>
        </w:rPr>
        <w:fldChar w:fldCharType="end"/>
      </w:r>
      <w:r w:rsidRPr="00675D56">
        <w:rPr>
          <w:rFonts w:asciiTheme="majorBidi" w:hAnsiTheme="majorBidi" w:cstheme="majorBidi"/>
        </w:rPr>
        <w:t xml:space="preserve">) s 10; </w:t>
      </w:r>
      <w:r w:rsidRPr="00675D56">
        <w:rPr>
          <w:rFonts w:asciiTheme="majorBidi" w:hAnsiTheme="majorBidi" w:cstheme="majorBidi"/>
          <w:i/>
          <w:iCs/>
        </w:rPr>
        <w:t xml:space="preserve">Wills and Succession Act </w:t>
      </w:r>
      <w:r w:rsidRPr="00675D56">
        <w:rPr>
          <w:rFonts w:asciiTheme="majorBidi" w:hAnsiTheme="majorBidi" w:cstheme="majorBidi"/>
        </w:rPr>
        <w:t xml:space="preserve">(Alta)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_Ref13561482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549</w:t>
      </w:r>
      <w:r w:rsidRPr="00675D56">
        <w:rPr>
          <w:rFonts w:asciiTheme="majorBidi" w:hAnsiTheme="majorBidi" w:cstheme="majorBidi"/>
        </w:rPr>
        <w:fldChar w:fldCharType="end"/>
      </w:r>
      <w:r w:rsidRPr="00675D56">
        <w:rPr>
          <w:rFonts w:asciiTheme="majorBidi" w:hAnsiTheme="majorBidi" w:cstheme="majorBidi"/>
        </w:rPr>
        <w:t>)</w:t>
      </w:r>
      <w:r w:rsidRPr="00675D56">
        <w:rPr>
          <w:rFonts w:asciiTheme="majorBidi" w:hAnsiTheme="majorBidi" w:cstheme="majorBidi"/>
          <w:i/>
          <w:iCs/>
        </w:rPr>
        <w:t xml:space="preserve"> </w:t>
      </w:r>
      <w:r w:rsidRPr="00675D56">
        <w:rPr>
          <w:rFonts w:asciiTheme="majorBidi" w:hAnsiTheme="majorBidi" w:cstheme="majorBidi"/>
        </w:rPr>
        <w:t xml:space="preserve">s 102; </w:t>
      </w:r>
      <w:r w:rsidRPr="00675D56">
        <w:rPr>
          <w:rFonts w:asciiTheme="majorBidi" w:hAnsiTheme="majorBidi" w:cstheme="majorBidi"/>
          <w:i/>
          <w:iCs/>
        </w:rPr>
        <w:t xml:space="preserve">Dependants Relief Act </w:t>
      </w:r>
      <w:r w:rsidRPr="00675D56">
        <w:rPr>
          <w:rFonts w:asciiTheme="majorBidi" w:hAnsiTheme="majorBidi" w:cstheme="majorBidi"/>
        </w:rPr>
        <w:t>(YT)</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xml:space="preserve">) s 15; </w:t>
      </w:r>
      <w:r w:rsidRPr="00675D56">
        <w:rPr>
          <w:rFonts w:asciiTheme="majorBidi" w:hAnsiTheme="majorBidi" w:cstheme="majorBidi"/>
          <w:i/>
          <w:iCs/>
        </w:rPr>
        <w:t xml:space="preserve">Family Relief Act </w:t>
      </w:r>
      <w:r w:rsidRPr="00675D56">
        <w:rPr>
          <w:rFonts w:asciiTheme="majorBidi" w:hAnsiTheme="majorBidi" w:cstheme="majorBidi"/>
        </w:rPr>
        <w:t>(Nfld)</w:t>
      </w:r>
      <w:r w:rsidRPr="00675D56">
        <w:rPr>
          <w:rFonts w:asciiTheme="majorBidi" w:hAnsiTheme="majorBidi" w:cstheme="majorBidi"/>
          <w:i/>
          <w:iCs/>
        </w:rPr>
        <w:t xml:space="preserve"> </w:t>
      </w:r>
      <w:r w:rsidRPr="00675D56">
        <w:rPr>
          <w:rFonts w:asciiTheme="majorBidi" w:hAnsiTheme="majorBidi" w:cstheme="majorBidi"/>
        </w:rPr>
        <w:t>(n</w:t>
      </w:r>
      <w:r w:rsidRPr="00675D56">
        <w:rPr>
          <w:rFonts w:asciiTheme="majorBidi" w:hAnsiTheme="majorBidi" w:cstheme="majorBidi"/>
          <w:i/>
          <w:iCs/>
        </w:rPr>
        <w:t xml:space="preserve"> </w:t>
      </w:r>
      <w:r w:rsidRPr="00675D56">
        <w:rPr>
          <w:rFonts w:asciiTheme="majorBidi" w:hAnsiTheme="majorBidi" w:cstheme="majorBidi"/>
        </w:rPr>
        <w:fldChar w:fldCharType="begin"/>
      </w:r>
      <w:r w:rsidRPr="00675D56">
        <w:rPr>
          <w:rFonts w:asciiTheme="majorBidi" w:hAnsiTheme="majorBidi" w:cstheme="majorBidi"/>
        </w:rPr>
        <w:instrText xml:space="preserve"> NOTEREF _Ref13561595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553</w:t>
      </w:r>
      <w:r w:rsidRPr="00675D56">
        <w:rPr>
          <w:rFonts w:asciiTheme="majorBidi" w:hAnsiTheme="majorBidi" w:cstheme="majorBidi"/>
        </w:rPr>
        <w:fldChar w:fldCharType="end"/>
      </w:r>
      <w:r w:rsidRPr="00675D56">
        <w:rPr>
          <w:rFonts w:asciiTheme="majorBidi" w:hAnsiTheme="majorBidi" w:cstheme="majorBidi"/>
        </w:rPr>
        <w:t>) s 16.</w:t>
      </w:r>
    </w:p>
  </w:footnote>
  <w:footnote w:id="567">
    <w:p w14:paraId="25684BC7" w14:textId="1BB40A43" w:rsidR="00C61533" w:rsidRPr="00675D56" w:rsidRDefault="00C61533" w:rsidP="000F5FCE">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t xml:space="preserve">Note that the BCLI had proposed inclusion of a clause consistent with those operating in the majority of other jurisdictions, although this has not been included in subsequent legislative reforms: BCLI (n </w:t>
      </w:r>
      <w:r w:rsidRPr="00675D56">
        <w:rPr>
          <w:rFonts w:asciiTheme="majorBidi" w:hAnsiTheme="majorBidi" w:cstheme="majorBidi"/>
        </w:rPr>
        <w:fldChar w:fldCharType="begin"/>
      </w:r>
      <w:r w:rsidRPr="00675D56">
        <w:rPr>
          <w:rFonts w:asciiTheme="majorBidi" w:hAnsiTheme="majorBidi" w:cstheme="majorBidi"/>
        </w:rPr>
        <w:instrText xml:space="preserve"> NOTEREF _Ref13078127 \h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128</w:t>
      </w:r>
      <w:r w:rsidRPr="00675D56">
        <w:rPr>
          <w:rFonts w:asciiTheme="majorBidi" w:hAnsiTheme="majorBidi" w:cstheme="majorBidi"/>
        </w:rPr>
        <w:fldChar w:fldCharType="end"/>
      </w:r>
      <w:r w:rsidRPr="00675D56">
        <w:rPr>
          <w:rFonts w:asciiTheme="majorBidi" w:hAnsiTheme="majorBidi" w:cstheme="majorBidi"/>
        </w:rPr>
        <w:t>) 202.</w:t>
      </w:r>
    </w:p>
  </w:footnote>
  <w:footnote w:id="568">
    <w:p w14:paraId="5B9433B1" w14:textId="78A396AC"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 xml:space="preserve">Uniform Dependants’ Relief Act </w:t>
      </w:r>
      <w:r w:rsidRPr="00675D56">
        <w:rPr>
          <w:rFonts w:asciiTheme="majorBidi" w:hAnsiTheme="majorBidi" w:cstheme="majorBidi"/>
        </w:rPr>
        <w:t>(1974) (Canada) s 2.</w:t>
      </w:r>
    </w:p>
  </w:footnote>
  <w:footnote w:id="569">
    <w:p w14:paraId="7CEE13A0" w14:textId="7895F46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ab/>
      </w:r>
      <w:r w:rsidRPr="00675D56">
        <w:rPr>
          <w:rFonts w:asciiTheme="majorBidi" w:hAnsiTheme="majorBidi" w:cstheme="majorBidi"/>
          <w:i/>
          <w:iCs/>
        </w:rPr>
        <w:t xml:space="preserve">Dependants’ Relief Act </w:t>
      </w:r>
      <w:r w:rsidRPr="00675D56">
        <w:rPr>
          <w:rFonts w:asciiTheme="majorBidi" w:hAnsiTheme="majorBidi" w:cstheme="majorBidi"/>
        </w:rPr>
        <w:t>(Sask)</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_Ref13561348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545</w:t>
      </w:r>
      <w:r w:rsidRPr="00675D56">
        <w:rPr>
          <w:rFonts w:asciiTheme="majorBidi" w:hAnsiTheme="majorBidi" w:cstheme="majorBidi"/>
        </w:rPr>
        <w:fldChar w:fldCharType="end"/>
      </w:r>
      <w:r w:rsidRPr="00675D56">
        <w:rPr>
          <w:rFonts w:asciiTheme="majorBidi" w:hAnsiTheme="majorBidi" w:cstheme="majorBidi"/>
        </w:rPr>
        <w:t>) s 6(1).</w:t>
      </w:r>
    </w:p>
  </w:footnote>
  <w:footnote w:id="570">
    <w:p w14:paraId="5FE70ED4" w14:textId="2ED8F16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shd w:val="clear" w:color="auto" w:fill="FFFFFF"/>
        </w:rPr>
        <w:t>Succession Law Reform Act</w:t>
      </w:r>
      <w:r w:rsidRPr="00675D56">
        <w:rPr>
          <w:rFonts w:asciiTheme="majorBidi" w:hAnsiTheme="majorBidi" w:cstheme="majorBidi"/>
          <w:shd w:val="clear" w:color="auto" w:fill="FFFFFF"/>
        </w:rPr>
        <w:t xml:space="preserve"> (Ont) (n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s 58(1).</w:t>
      </w:r>
    </w:p>
  </w:footnote>
  <w:footnote w:id="571">
    <w:p w14:paraId="4FC673FE" w14:textId="11D5F71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shd w:val="clear" w:color="auto" w:fill="FFFFFF"/>
        </w:rPr>
        <w:t>Wills, Estates and Succession Act</w:t>
      </w:r>
      <w:r w:rsidRPr="00675D56">
        <w:rPr>
          <w:rFonts w:asciiTheme="majorBidi" w:hAnsiTheme="majorBidi" w:cstheme="majorBidi"/>
          <w:shd w:val="clear" w:color="auto" w:fill="FFFFFF"/>
        </w:rPr>
        <w:t xml:space="preserve"> (BC) (n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_Ref13561415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547</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s</w:t>
      </w:r>
      <w:r w:rsidRPr="00675D56">
        <w:rPr>
          <w:rFonts w:asciiTheme="majorBidi" w:hAnsiTheme="majorBidi" w:cstheme="majorBidi"/>
        </w:rPr>
        <w:t xml:space="preserve"> 60.</w:t>
      </w:r>
    </w:p>
  </w:footnote>
  <w:footnote w:id="572">
    <w:p w14:paraId="5A69C2C5" w14:textId="11EE761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Testators’ Family Maintenance Act</w:t>
      </w:r>
      <w:r w:rsidRPr="00675D56">
        <w:rPr>
          <w:rFonts w:asciiTheme="majorBidi" w:hAnsiTheme="majorBidi" w:cstheme="majorBidi"/>
        </w:rPr>
        <w:t xml:space="preserve"> (NS) </w:t>
      </w:r>
      <w:r w:rsidRPr="00675D56">
        <w:rPr>
          <w:rFonts w:asciiTheme="majorBidi" w:hAnsiTheme="majorBidi" w:cstheme="majorBidi"/>
          <w:color w:val="000000"/>
        </w:rPr>
        <w:t xml:space="preserve">(n </w:t>
      </w:r>
      <w:r w:rsidRPr="00675D56">
        <w:rPr>
          <w:rFonts w:asciiTheme="majorBidi" w:hAnsiTheme="majorBidi" w:cstheme="majorBidi"/>
          <w:color w:val="000000"/>
        </w:rPr>
        <w:fldChar w:fldCharType="begin"/>
      </w:r>
      <w:r w:rsidRPr="00675D56">
        <w:rPr>
          <w:rFonts w:asciiTheme="majorBidi" w:hAnsiTheme="majorBidi" w:cstheme="majorBidi"/>
          <w:color w:val="000000"/>
        </w:rPr>
        <w:instrText xml:space="preserve"> NOTEREF _Ref13561441 \h </w:instrText>
      </w:r>
      <w:r>
        <w:rPr>
          <w:rFonts w:asciiTheme="majorBidi" w:hAnsiTheme="majorBidi" w:cstheme="majorBidi"/>
          <w:color w:val="000000"/>
        </w:rPr>
        <w:instrText xml:space="preserve"> \* MERGEFORMAT </w:instrText>
      </w:r>
      <w:r w:rsidRPr="00675D56">
        <w:rPr>
          <w:rFonts w:asciiTheme="majorBidi" w:hAnsiTheme="majorBidi" w:cstheme="majorBidi"/>
          <w:color w:val="000000"/>
        </w:rPr>
      </w:r>
      <w:r w:rsidRPr="00675D56">
        <w:rPr>
          <w:rFonts w:asciiTheme="majorBidi" w:hAnsiTheme="majorBidi" w:cstheme="majorBidi"/>
          <w:color w:val="000000"/>
        </w:rPr>
        <w:fldChar w:fldCharType="separate"/>
      </w:r>
      <w:r>
        <w:rPr>
          <w:rFonts w:asciiTheme="majorBidi" w:hAnsiTheme="majorBidi" w:cstheme="majorBidi"/>
          <w:color w:val="000000"/>
        </w:rPr>
        <w:t>548</w:t>
      </w:r>
      <w:r w:rsidRPr="00675D56">
        <w:rPr>
          <w:rFonts w:asciiTheme="majorBidi" w:hAnsiTheme="majorBidi" w:cstheme="majorBidi"/>
          <w:color w:val="000000"/>
        </w:rPr>
        <w:fldChar w:fldCharType="end"/>
      </w:r>
      <w:r w:rsidRPr="00675D56">
        <w:rPr>
          <w:rFonts w:asciiTheme="majorBidi" w:hAnsiTheme="majorBidi" w:cstheme="majorBidi"/>
          <w:color w:val="000000"/>
        </w:rPr>
        <w:t xml:space="preserve">) </w:t>
      </w:r>
      <w:r w:rsidRPr="00675D56">
        <w:rPr>
          <w:rFonts w:asciiTheme="majorBidi" w:hAnsiTheme="majorBidi" w:cstheme="majorBidi"/>
        </w:rPr>
        <w:t>s 3(1).</w:t>
      </w:r>
    </w:p>
  </w:footnote>
  <w:footnote w:id="573">
    <w:p w14:paraId="3894F721" w14:textId="7D34DE56"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Wills and Succession Act</w:t>
      </w:r>
      <w:r w:rsidRPr="00675D56">
        <w:rPr>
          <w:rFonts w:asciiTheme="majorBidi" w:hAnsiTheme="majorBidi" w:cstheme="majorBidi"/>
        </w:rPr>
        <w:t xml:space="preserve"> (Alta)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_Ref13561482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549</w:t>
      </w:r>
      <w:r w:rsidRPr="00675D56">
        <w:rPr>
          <w:rFonts w:asciiTheme="majorBidi" w:hAnsiTheme="majorBidi" w:cstheme="majorBidi"/>
        </w:rPr>
        <w:fldChar w:fldCharType="end"/>
      </w:r>
      <w:r w:rsidRPr="00675D56">
        <w:rPr>
          <w:rFonts w:asciiTheme="majorBidi" w:hAnsiTheme="majorBidi" w:cstheme="majorBidi"/>
        </w:rPr>
        <w:t>) s 88(1).</w:t>
      </w:r>
    </w:p>
  </w:footnote>
  <w:footnote w:id="574">
    <w:p w14:paraId="3F07A04B" w14:textId="4449449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The Dependants Relief Act</w:t>
      </w:r>
      <w:r w:rsidRPr="00675D56">
        <w:rPr>
          <w:rFonts w:asciiTheme="majorBidi" w:hAnsiTheme="majorBidi" w:cstheme="majorBidi"/>
        </w:rPr>
        <w:t xml:space="preserve"> (Man)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_Ref13561508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550</w:t>
      </w:r>
      <w:r w:rsidRPr="00675D56">
        <w:rPr>
          <w:rFonts w:asciiTheme="majorBidi" w:hAnsiTheme="majorBidi" w:cstheme="majorBidi"/>
        </w:rPr>
        <w:fldChar w:fldCharType="end"/>
      </w:r>
      <w:r w:rsidRPr="00675D56">
        <w:rPr>
          <w:rFonts w:asciiTheme="majorBidi" w:hAnsiTheme="majorBidi" w:cstheme="majorBidi"/>
        </w:rPr>
        <w:t>) s 2(1).</w:t>
      </w:r>
    </w:p>
  </w:footnote>
  <w:footnote w:id="575">
    <w:p w14:paraId="31CCE80C" w14:textId="42F72A7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Provision for Dependants Act</w:t>
      </w:r>
      <w:r w:rsidRPr="00675D56">
        <w:rPr>
          <w:rFonts w:asciiTheme="majorBidi" w:hAnsiTheme="majorBidi" w:cstheme="majorBidi"/>
        </w:rPr>
        <w:t xml:space="preserve"> (NB)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_Ref13561527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551</w:t>
      </w:r>
      <w:r w:rsidRPr="00675D56">
        <w:rPr>
          <w:rFonts w:asciiTheme="majorBidi" w:hAnsiTheme="majorBidi" w:cstheme="majorBidi"/>
        </w:rPr>
        <w:fldChar w:fldCharType="end"/>
      </w:r>
      <w:r w:rsidRPr="00675D56">
        <w:rPr>
          <w:rFonts w:asciiTheme="majorBidi" w:hAnsiTheme="majorBidi" w:cstheme="majorBidi"/>
        </w:rPr>
        <w:t>) s 2(1).</w:t>
      </w:r>
    </w:p>
  </w:footnote>
  <w:footnote w:id="576">
    <w:p w14:paraId="2A9B6C75" w14:textId="458055F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 xml:space="preserve">Dependants Relief Act </w:t>
      </w:r>
      <w:r w:rsidRPr="00675D56">
        <w:rPr>
          <w:rFonts w:asciiTheme="majorBidi" w:hAnsiTheme="majorBidi" w:cstheme="majorBidi"/>
        </w:rPr>
        <w:t>(YT)</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_Ref13561563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552</w:t>
      </w:r>
      <w:r w:rsidRPr="00675D56">
        <w:rPr>
          <w:rFonts w:asciiTheme="majorBidi" w:hAnsiTheme="majorBidi" w:cstheme="majorBidi"/>
        </w:rPr>
        <w:fldChar w:fldCharType="end"/>
      </w:r>
      <w:r w:rsidRPr="00675D56">
        <w:rPr>
          <w:rFonts w:asciiTheme="majorBidi" w:hAnsiTheme="majorBidi" w:cstheme="majorBidi"/>
        </w:rPr>
        <w:t>) s 2.</w:t>
      </w:r>
    </w:p>
  </w:footnote>
  <w:footnote w:id="577">
    <w:p w14:paraId="6F7DF6C8" w14:textId="1DFC3F7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Family Relief Act</w:t>
      </w:r>
      <w:r w:rsidRPr="00675D56">
        <w:rPr>
          <w:rFonts w:asciiTheme="majorBidi" w:hAnsiTheme="majorBidi" w:cstheme="majorBidi"/>
        </w:rPr>
        <w:t xml:space="preserve"> (Nfld) (n</w:t>
      </w:r>
      <w:r w:rsidRPr="00675D56">
        <w:rPr>
          <w:rFonts w:asciiTheme="majorBidi" w:hAnsiTheme="majorBidi" w:cstheme="majorBidi"/>
          <w:i/>
          <w:iCs/>
        </w:rPr>
        <w:t xml:space="preserve"> </w:t>
      </w:r>
      <w:r w:rsidRPr="00675D56">
        <w:rPr>
          <w:rFonts w:asciiTheme="majorBidi" w:hAnsiTheme="majorBidi" w:cstheme="majorBidi"/>
        </w:rPr>
        <w:fldChar w:fldCharType="begin"/>
      </w:r>
      <w:r w:rsidRPr="00675D56">
        <w:rPr>
          <w:rFonts w:asciiTheme="majorBidi" w:hAnsiTheme="majorBidi" w:cstheme="majorBidi"/>
        </w:rPr>
        <w:instrText xml:space="preserve"> NOTEREF _Ref13561595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553</w:t>
      </w:r>
      <w:r w:rsidRPr="00675D56">
        <w:rPr>
          <w:rFonts w:asciiTheme="majorBidi" w:hAnsiTheme="majorBidi" w:cstheme="majorBidi"/>
        </w:rPr>
        <w:fldChar w:fldCharType="end"/>
      </w:r>
      <w:r w:rsidRPr="00675D56">
        <w:rPr>
          <w:rFonts w:asciiTheme="majorBidi" w:hAnsiTheme="majorBidi" w:cstheme="majorBidi"/>
        </w:rPr>
        <w:t>) s 3(1).</w:t>
      </w:r>
    </w:p>
  </w:footnote>
  <w:footnote w:id="578">
    <w:p w14:paraId="6B2DCF25" w14:textId="3BB4AD03" w:rsidR="00C61533" w:rsidRPr="00675D56" w:rsidRDefault="00C61533" w:rsidP="00F322CF">
      <w:pPr>
        <w:pStyle w:val="FootnoteTextTLRI"/>
        <w:rPr>
          <w:rFonts w:asciiTheme="majorBidi" w:hAnsiTheme="majorBidi" w:cstheme="majorBidi"/>
        </w:rPr>
      </w:pPr>
      <w:r w:rsidRPr="00675D56">
        <w:rPr>
          <w:rStyle w:val="FootnoteReference"/>
          <w:rFonts w:asciiTheme="majorBidi" w:hAnsiTheme="majorBidi" w:cstheme="majorBidi"/>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Inheritance (Provision for Family and Dependants) Act 1975</w:t>
      </w:r>
      <w:r w:rsidRPr="00675D56">
        <w:rPr>
          <w:rFonts w:asciiTheme="majorBidi" w:hAnsiTheme="majorBidi" w:cstheme="majorBidi"/>
        </w:rPr>
        <w:t xml:space="preserve"> (UK) s 3; </w:t>
      </w:r>
      <w:r w:rsidRPr="00675D56">
        <w:rPr>
          <w:rFonts w:asciiTheme="majorBidi" w:hAnsiTheme="majorBidi" w:cstheme="majorBidi"/>
          <w:i/>
          <w:iCs/>
          <w:shd w:val="clear" w:color="auto" w:fill="FFFFFF"/>
        </w:rPr>
        <w:t>Succession Law Reform Act</w:t>
      </w:r>
      <w:r w:rsidRPr="00675D56">
        <w:rPr>
          <w:rFonts w:asciiTheme="majorBidi" w:hAnsiTheme="majorBidi" w:cstheme="majorBidi"/>
          <w:shd w:val="clear" w:color="auto" w:fill="FFFFFF"/>
        </w:rPr>
        <w:t xml:space="preserve"> (Ont) (n </w:t>
      </w:r>
      <w:r w:rsidRPr="00675D56">
        <w:rPr>
          <w:rFonts w:asciiTheme="majorBidi" w:hAnsiTheme="majorBidi" w:cstheme="majorBidi"/>
          <w:shd w:val="clear" w:color="auto" w:fill="FFFFFF"/>
        </w:rPr>
        <w:fldChar w:fldCharType="begin"/>
      </w:r>
      <w:r w:rsidRPr="00675D56">
        <w:rPr>
          <w:rFonts w:asciiTheme="majorBidi" w:hAnsiTheme="majorBidi" w:cstheme="majorBidi"/>
          <w:shd w:val="clear" w:color="auto" w:fill="FFFFFF"/>
        </w:rPr>
        <w:instrText xml:space="preserve"> NOTEREF _Ref13561394 \h </w:instrText>
      </w:r>
      <w:r>
        <w:rPr>
          <w:rFonts w:asciiTheme="majorBidi" w:hAnsiTheme="majorBidi" w:cstheme="majorBidi"/>
          <w:shd w:val="clear" w:color="auto" w:fill="FFFFFF"/>
        </w:rPr>
        <w:instrText xml:space="preserve"> \* MERGEFORMAT </w:instrText>
      </w:r>
      <w:r w:rsidRPr="00675D56">
        <w:rPr>
          <w:rFonts w:asciiTheme="majorBidi" w:hAnsiTheme="majorBidi" w:cstheme="majorBidi"/>
          <w:shd w:val="clear" w:color="auto" w:fill="FFFFFF"/>
        </w:rPr>
      </w:r>
      <w:r w:rsidRPr="00675D56">
        <w:rPr>
          <w:rFonts w:asciiTheme="majorBidi" w:hAnsiTheme="majorBidi" w:cstheme="majorBidi"/>
          <w:shd w:val="clear" w:color="auto" w:fill="FFFFFF"/>
        </w:rPr>
        <w:fldChar w:fldCharType="separate"/>
      </w:r>
      <w:r>
        <w:rPr>
          <w:rFonts w:asciiTheme="majorBidi" w:hAnsiTheme="majorBidi" w:cstheme="majorBidi"/>
          <w:shd w:val="clear" w:color="auto" w:fill="FFFFFF"/>
        </w:rPr>
        <w:t>546</w:t>
      </w:r>
      <w:r w:rsidRPr="00675D56">
        <w:rPr>
          <w:rFonts w:asciiTheme="majorBidi" w:hAnsiTheme="majorBidi" w:cstheme="majorBidi"/>
          <w:shd w:val="clear" w:color="auto" w:fill="FFFFFF"/>
        </w:rPr>
        <w:fldChar w:fldCharType="end"/>
      </w:r>
      <w:r w:rsidRPr="00675D56">
        <w:rPr>
          <w:rFonts w:asciiTheme="majorBidi" w:hAnsiTheme="majorBidi" w:cstheme="majorBidi"/>
          <w:shd w:val="clear" w:color="auto" w:fill="FFFFFF"/>
        </w:rPr>
        <w:t xml:space="preserve">) </w:t>
      </w:r>
      <w:r w:rsidRPr="00675D56">
        <w:rPr>
          <w:rFonts w:asciiTheme="majorBidi" w:hAnsiTheme="majorBidi" w:cstheme="majorBidi"/>
        </w:rPr>
        <w:t xml:space="preserve">s 62; </w:t>
      </w:r>
      <w:r w:rsidRPr="00675D56">
        <w:rPr>
          <w:rFonts w:asciiTheme="majorBidi" w:hAnsiTheme="majorBidi" w:cstheme="majorBidi"/>
          <w:i/>
          <w:iCs/>
        </w:rPr>
        <w:t xml:space="preserve">Dependants’ Relief Act </w:t>
      </w:r>
      <w:r w:rsidRPr="00675D56">
        <w:rPr>
          <w:rFonts w:asciiTheme="majorBidi" w:hAnsiTheme="majorBidi" w:cstheme="majorBidi"/>
        </w:rPr>
        <w:t>(Sask)</w:t>
      </w:r>
      <w:r w:rsidRPr="00675D56">
        <w:rPr>
          <w:rFonts w:asciiTheme="majorBidi" w:hAnsiTheme="majorBidi" w:cstheme="majorBidi"/>
          <w:i/>
          <w:iCs/>
        </w:rPr>
        <w:t xml:space="preserve"> </w:t>
      </w:r>
      <w:r w:rsidRPr="00675D56">
        <w:rPr>
          <w:rFonts w:asciiTheme="majorBidi" w:hAnsiTheme="majorBidi" w:cstheme="majorBidi"/>
        </w:rPr>
        <w:t xml:space="preserve">(n </w:t>
      </w:r>
      <w:r w:rsidRPr="00675D56">
        <w:rPr>
          <w:rFonts w:asciiTheme="majorBidi" w:hAnsiTheme="majorBidi" w:cstheme="majorBidi"/>
        </w:rPr>
        <w:fldChar w:fldCharType="begin"/>
      </w:r>
      <w:r w:rsidRPr="00675D56">
        <w:rPr>
          <w:rFonts w:asciiTheme="majorBidi" w:hAnsiTheme="majorBidi" w:cstheme="majorBidi"/>
        </w:rPr>
        <w:instrText xml:space="preserve"> NOTEREF _Ref13561348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545</w:t>
      </w:r>
      <w:r w:rsidRPr="00675D56">
        <w:rPr>
          <w:rFonts w:asciiTheme="majorBidi" w:hAnsiTheme="majorBidi" w:cstheme="majorBidi"/>
        </w:rPr>
        <w:fldChar w:fldCharType="end"/>
      </w:r>
      <w:r w:rsidRPr="00675D56">
        <w:rPr>
          <w:rFonts w:asciiTheme="majorBidi" w:hAnsiTheme="majorBidi" w:cstheme="majorBidi"/>
        </w:rPr>
        <w:t xml:space="preserve">) s 8; </w:t>
      </w:r>
      <w:r w:rsidRPr="00675D56">
        <w:rPr>
          <w:rFonts w:asciiTheme="majorBidi" w:hAnsiTheme="majorBidi" w:cstheme="majorBidi"/>
          <w:i/>
          <w:iCs/>
        </w:rPr>
        <w:t>Wills and Succession Act</w:t>
      </w:r>
      <w:r w:rsidRPr="00675D56">
        <w:rPr>
          <w:rFonts w:asciiTheme="majorBidi" w:hAnsiTheme="majorBidi" w:cstheme="majorBidi"/>
        </w:rPr>
        <w:t xml:space="preserve"> (Alta)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_Ref13561482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549</w:t>
      </w:r>
      <w:r w:rsidRPr="00675D56">
        <w:rPr>
          <w:rFonts w:asciiTheme="majorBidi" w:hAnsiTheme="majorBidi" w:cstheme="majorBidi"/>
        </w:rPr>
        <w:fldChar w:fldCharType="end"/>
      </w:r>
      <w:r w:rsidRPr="00675D56">
        <w:rPr>
          <w:rFonts w:asciiTheme="majorBidi" w:hAnsiTheme="majorBidi" w:cstheme="majorBidi"/>
        </w:rPr>
        <w:t xml:space="preserve">) s 93; </w:t>
      </w:r>
      <w:r w:rsidRPr="00675D56">
        <w:rPr>
          <w:rFonts w:asciiTheme="majorBidi" w:hAnsiTheme="majorBidi" w:cstheme="majorBidi"/>
          <w:i/>
          <w:iCs/>
        </w:rPr>
        <w:t>The Dependants Relief Act</w:t>
      </w:r>
      <w:r w:rsidRPr="00675D56">
        <w:rPr>
          <w:rFonts w:asciiTheme="majorBidi" w:hAnsiTheme="majorBidi" w:cstheme="majorBidi"/>
        </w:rPr>
        <w:t xml:space="preserve"> (Man) (n </w:t>
      </w:r>
      <w:r w:rsidRPr="00675D56">
        <w:rPr>
          <w:rFonts w:asciiTheme="majorBidi" w:hAnsiTheme="majorBidi" w:cstheme="majorBidi"/>
        </w:rPr>
        <w:fldChar w:fldCharType="begin"/>
      </w:r>
      <w:r w:rsidRPr="00675D56">
        <w:rPr>
          <w:rFonts w:asciiTheme="majorBidi" w:hAnsiTheme="majorBidi" w:cstheme="majorBidi"/>
        </w:rPr>
        <w:instrText xml:space="preserve"> NOTEREF _Ref13561508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550</w:t>
      </w:r>
      <w:r w:rsidRPr="00675D56">
        <w:rPr>
          <w:rFonts w:asciiTheme="majorBidi" w:hAnsiTheme="majorBidi" w:cstheme="majorBidi"/>
        </w:rPr>
        <w:fldChar w:fldCharType="end"/>
      </w:r>
      <w:r w:rsidRPr="00675D56">
        <w:rPr>
          <w:rFonts w:asciiTheme="majorBidi" w:hAnsiTheme="majorBidi" w:cstheme="majorBidi"/>
        </w:rPr>
        <w:t xml:space="preserve">) s 8; </w:t>
      </w:r>
      <w:r w:rsidRPr="00675D56">
        <w:rPr>
          <w:rFonts w:asciiTheme="majorBidi" w:hAnsiTheme="majorBidi" w:cstheme="majorBidi"/>
          <w:i/>
          <w:iCs/>
        </w:rPr>
        <w:t>Family Relief Act</w:t>
      </w:r>
      <w:r w:rsidRPr="00675D56">
        <w:rPr>
          <w:rFonts w:asciiTheme="majorBidi" w:hAnsiTheme="majorBidi" w:cstheme="majorBidi"/>
        </w:rPr>
        <w:t xml:space="preserve"> (Nfld) (n</w:t>
      </w:r>
      <w:r w:rsidRPr="00675D56">
        <w:rPr>
          <w:rFonts w:asciiTheme="majorBidi" w:hAnsiTheme="majorBidi" w:cstheme="majorBidi"/>
          <w:i/>
          <w:iCs/>
        </w:rPr>
        <w:t xml:space="preserve"> </w:t>
      </w:r>
      <w:r w:rsidRPr="00675D56">
        <w:rPr>
          <w:rFonts w:asciiTheme="majorBidi" w:hAnsiTheme="majorBidi" w:cstheme="majorBidi"/>
        </w:rPr>
        <w:fldChar w:fldCharType="begin"/>
      </w:r>
      <w:r w:rsidRPr="00675D56">
        <w:rPr>
          <w:rFonts w:asciiTheme="majorBidi" w:hAnsiTheme="majorBidi" w:cstheme="majorBidi"/>
        </w:rPr>
        <w:instrText xml:space="preserve"> NOTEREF _Ref13561595 \h </w:instrText>
      </w:r>
      <w:r>
        <w:rPr>
          <w:rFonts w:asciiTheme="majorBidi" w:hAnsiTheme="majorBidi" w:cstheme="majorBidi"/>
        </w:rPr>
        <w:instrText xml:space="preserve"> \* MERGEFORMAT </w:instrText>
      </w:r>
      <w:r w:rsidRPr="00675D56">
        <w:rPr>
          <w:rFonts w:asciiTheme="majorBidi" w:hAnsiTheme="majorBidi" w:cstheme="majorBidi"/>
        </w:rPr>
      </w:r>
      <w:r w:rsidRPr="00675D56">
        <w:rPr>
          <w:rFonts w:asciiTheme="majorBidi" w:hAnsiTheme="majorBidi" w:cstheme="majorBidi"/>
        </w:rPr>
        <w:fldChar w:fldCharType="separate"/>
      </w:r>
      <w:r>
        <w:rPr>
          <w:rFonts w:asciiTheme="majorBidi" w:hAnsiTheme="majorBidi" w:cstheme="majorBidi"/>
        </w:rPr>
        <w:t>553</w:t>
      </w:r>
      <w:r w:rsidRPr="00675D56">
        <w:rPr>
          <w:rFonts w:asciiTheme="majorBidi" w:hAnsiTheme="majorBidi" w:cstheme="majorBidi"/>
        </w:rPr>
        <w:fldChar w:fldCharType="end"/>
      </w:r>
      <w:r w:rsidRPr="00675D56">
        <w:rPr>
          <w:rFonts w:asciiTheme="majorBidi" w:hAnsiTheme="majorBidi" w:cstheme="majorBidi"/>
        </w:rPr>
        <w:t xml:space="preserve">) s 5; </w:t>
      </w:r>
      <w:r w:rsidRPr="00675D56">
        <w:rPr>
          <w:rFonts w:asciiTheme="majorBidi" w:hAnsiTheme="majorBidi" w:cstheme="majorBidi"/>
          <w:i/>
          <w:iCs/>
          <w:color w:val="000000"/>
        </w:rPr>
        <w:t xml:space="preserve">Testators’ Family Maintenance Act </w:t>
      </w:r>
      <w:r w:rsidRPr="00675D56">
        <w:rPr>
          <w:rFonts w:asciiTheme="majorBidi" w:hAnsiTheme="majorBidi" w:cstheme="majorBidi"/>
          <w:color w:val="000000"/>
        </w:rPr>
        <w:t xml:space="preserve">(NS) (n </w:t>
      </w:r>
      <w:r w:rsidRPr="00675D56">
        <w:rPr>
          <w:rFonts w:asciiTheme="majorBidi" w:hAnsiTheme="majorBidi" w:cstheme="majorBidi"/>
          <w:color w:val="000000"/>
        </w:rPr>
        <w:fldChar w:fldCharType="begin"/>
      </w:r>
      <w:r w:rsidRPr="00675D56">
        <w:rPr>
          <w:rFonts w:asciiTheme="majorBidi" w:hAnsiTheme="majorBidi" w:cstheme="majorBidi"/>
          <w:color w:val="000000"/>
        </w:rPr>
        <w:instrText xml:space="preserve"> NOTEREF _Ref13561441 \h </w:instrText>
      </w:r>
      <w:r>
        <w:rPr>
          <w:rFonts w:asciiTheme="majorBidi" w:hAnsiTheme="majorBidi" w:cstheme="majorBidi"/>
          <w:color w:val="000000"/>
        </w:rPr>
        <w:instrText xml:space="preserve"> \* MERGEFORMAT </w:instrText>
      </w:r>
      <w:r w:rsidRPr="00675D56">
        <w:rPr>
          <w:rFonts w:asciiTheme="majorBidi" w:hAnsiTheme="majorBidi" w:cstheme="majorBidi"/>
          <w:color w:val="000000"/>
        </w:rPr>
      </w:r>
      <w:r w:rsidRPr="00675D56">
        <w:rPr>
          <w:rFonts w:asciiTheme="majorBidi" w:hAnsiTheme="majorBidi" w:cstheme="majorBidi"/>
          <w:color w:val="000000"/>
        </w:rPr>
        <w:fldChar w:fldCharType="separate"/>
      </w:r>
      <w:r>
        <w:rPr>
          <w:rFonts w:asciiTheme="majorBidi" w:hAnsiTheme="majorBidi" w:cstheme="majorBidi"/>
          <w:color w:val="000000"/>
        </w:rPr>
        <w:t>548</w:t>
      </w:r>
      <w:r w:rsidRPr="00675D56">
        <w:rPr>
          <w:rFonts w:asciiTheme="majorBidi" w:hAnsiTheme="majorBidi" w:cstheme="majorBidi"/>
          <w:color w:val="000000"/>
        </w:rPr>
        <w:fldChar w:fldCharType="end"/>
      </w:r>
      <w:r w:rsidRPr="00675D56">
        <w:rPr>
          <w:rFonts w:asciiTheme="majorBidi" w:hAnsiTheme="majorBidi" w:cstheme="majorBidi"/>
          <w:color w:val="000000"/>
        </w:rPr>
        <w:t>) s 5(1).</w:t>
      </w:r>
    </w:p>
  </w:footnote>
  <w:footnote w:id="579">
    <w:p w14:paraId="23D26084" w14:textId="1F61442F"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Williams v Williams (No 2)</w:t>
      </w:r>
      <w:r w:rsidRPr="00675D56">
        <w:rPr>
          <w:rFonts w:asciiTheme="majorBidi" w:hAnsiTheme="majorBidi" w:cstheme="majorBidi"/>
        </w:rPr>
        <w:t xml:space="preserve"> [2018] TASSC 61 [2].</w:t>
      </w:r>
    </w:p>
  </w:footnote>
  <w:footnote w:id="580">
    <w:p w14:paraId="58CD762D" w14:textId="3BA15A71"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[4]–[5].</w:t>
      </w:r>
    </w:p>
  </w:footnote>
  <w:footnote w:id="581">
    <w:p w14:paraId="5D3B8E76" w14:textId="71F4EBD7"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w:t>
      </w:r>
      <w:r w:rsidRPr="00675D56">
        <w:rPr>
          <w:rFonts w:asciiTheme="majorBidi" w:hAnsiTheme="majorBidi" w:cstheme="majorBidi"/>
          <w:i/>
          <w:iCs/>
          <w:color w:val="333333"/>
          <w:spacing w:val="-9"/>
          <w:sz w:val="23"/>
          <w:szCs w:val="23"/>
        </w:rPr>
        <w:t xml:space="preserve"> </w:t>
      </w:r>
      <w:r w:rsidRPr="00675D56">
        <w:rPr>
          <w:rFonts w:asciiTheme="majorBidi" w:hAnsiTheme="majorBidi" w:cstheme="majorBidi"/>
        </w:rPr>
        <w:t>[57].</w:t>
      </w:r>
    </w:p>
  </w:footnote>
  <w:footnote w:id="582">
    <w:p w14:paraId="50D53735" w14:textId="5C0880AE"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Booth v Brooks</w:t>
      </w:r>
      <w:r w:rsidRPr="00675D56">
        <w:rPr>
          <w:rFonts w:asciiTheme="majorBidi" w:hAnsiTheme="majorBidi" w:cstheme="majorBidi"/>
        </w:rPr>
        <w:t xml:space="preserve"> [2018] TASSC 35 [36].</w:t>
      </w:r>
    </w:p>
  </w:footnote>
  <w:footnote w:id="583">
    <w:p w14:paraId="1EB3CD23" w14:textId="4D3D6A80"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Nicholas v Tubb</w:t>
      </w:r>
      <w:r w:rsidRPr="00675D56">
        <w:rPr>
          <w:rFonts w:asciiTheme="majorBidi" w:hAnsiTheme="majorBidi" w:cstheme="majorBidi"/>
        </w:rPr>
        <w:t xml:space="preserve"> [2016] TASSC 53 [14].</w:t>
      </w:r>
    </w:p>
  </w:footnote>
  <w:footnote w:id="584">
    <w:p w14:paraId="72D18C3B" w14:textId="482BA1CB"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r>
      <w:r w:rsidRPr="00675D56">
        <w:rPr>
          <w:rFonts w:asciiTheme="majorBidi" w:hAnsiTheme="majorBidi" w:cstheme="majorBidi"/>
          <w:i/>
          <w:iCs/>
        </w:rPr>
        <w:t>Tapp v The Public Trustee</w:t>
      </w:r>
      <w:r w:rsidRPr="00675D56">
        <w:rPr>
          <w:rFonts w:asciiTheme="majorBidi" w:hAnsiTheme="majorBidi" w:cstheme="majorBidi"/>
        </w:rPr>
        <w:t xml:space="preserve"> [2009] TASSC 54 [21].</w:t>
      </w:r>
    </w:p>
  </w:footnote>
  <w:footnote w:id="585">
    <w:p w14:paraId="6BFDAF70" w14:textId="04C4D0FD" w:rsidR="00C61533" w:rsidRPr="00675D56" w:rsidRDefault="00C61533" w:rsidP="005E4B89">
      <w:pPr>
        <w:pStyle w:val="FootnoteTextTLRI"/>
        <w:rPr>
          <w:rFonts w:asciiTheme="majorBidi" w:hAnsiTheme="majorBidi" w:cstheme="majorBidi"/>
        </w:rPr>
      </w:pPr>
      <w:r w:rsidRPr="00675D56">
        <w:rPr>
          <w:rStyle w:val="FootnoteReference"/>
          <w:rFonts w:asciiTheme="majorBidi" w:hAnsiTheme="majorBidi" w:cstheme="majorBidi"/>
          <w:szCs w:val="20"/>
        </w:rPr>
        <w:footnoteRef/>
      </w:r>
      <w:r w:rsidRPr="00675D56">
        <w:rPr>
          <w:rFonts w:asciiTheme="majorBidi" w:hAnsiTheme="majorBidi" w:cstheme="majorBidi"/>
        </w:rPr>
        <w:t xml:space="preserve"> </w:t>
      </w:r>
      <w:r w:rsidRPr="00675D56">
        <w:rPr>
          <w:rFonts w:asciiTheme="majorBidi" w:hAnsiTheme="majorBidi" w:cstheme="majorBidi"/>
        </w:rPr>
        <w:tab/>
        <w:t>Ibid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63B7" w14:textId="77777777" w:rsidR="007B6846" w:rsidRDefault="007B68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5D7F" w14:textId="77777777" w:rsidR="00C61533" w:rsidRDefault="00C615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CF68" w14:textId="77777777" w:rsidR="00C61533" w:rsidRDefault="00C615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ED77" w14:textId="77777777" w:rsidR="00C61533" w:rsidRDefault="00C615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6C7C" w14:textId="77777777" w:rsidR="00C61533" w:rsidRDefault="00C615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DD83" w14:textId="77777777" w:rsidR="00C61533" w:rsidRDefault="00C615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74D7" w14:textId="77777777" w:rsidR="00C61533" w:rsidRDefault="00C615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BF5F" w14:textId="10DB3839" w:rsidR="00C61533" w:rsidRPr="0093295F" w:rsidRDefault="00C61533" w:rsidP="009420E5">
    <w:pPr>
      <w:pStyle w:val="Header"/>
      <w:pBdr>
        <w:bottom w:val="single" w:sz="4" w:space="1" w:color="auto"/>
      </w:pBdr>
      <w:rPr>
        <w:rFonts w:asciiTheme="majorBidi" w:hAnsiTheme="majorBidi" w:cstheme="majorBidi"/>
      </w:rPr>
    </w:pPr>
    <w:r w:rsidRPr="0093295F">
      <w:rPr>
        <w:rFonts w:asciiTheme="majorBidi" w:hAnsiTheme="majorBidi" w:cstheme="majorBidi"/>
        <w:sz w:val="20"/>
        <w:szCs w:val="20"/>
        <w:lang w:val="en-AU"/>
      </w:rPr>
      <w:t xml:space="preserve">TLRI Final Report 27: Notional Estates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AB30" w14:textId="7EAF7261" w:rsidR="00C61533" w:rsidRPr="009420E5" w:rsidRDefault="00C61533" w:rsidP="009420E5">
    <w:pPr>
      <w:pStyle w:val="Header"/>
      <w:pBdr>
        <w:bottom w:val="single" w:sz="4" w:space="1" w:color="auto"/>
      </w:pBdr>
      <w:jc w:val="right"/>
      <w:rPr>
        <w:rFonts w:asciiTheme="majorBidi" w:hAnsiTheme="majorBidi" w:cstheme="majorBidi"/>
        <w:sz w:val="20"/>
        <w:szCs w:val="20"/>
        <w:lang w:val="en-AU"/>
      </w:rPr>
    </w:pPr>
    <w:r w:rsidRPr="009420E5">
      <w:rPr>
        <w:rFonts w:asciiTheme="majorBidi" w:hAnsiTheme="majorBidi" w:cstheme="majorBidi"/>
        <w:sz w:val="20"/>
        <w:szCs w:val="20"/>
        <w:lang w:val="en-AU"/>
      </w:rPr>
      <w:t xml:space="preserve">Executive summary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C985" w14:textId="77777777" w:rsidR="00C61533" w:rsidRDefault="00C615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1978" w14:textId="56A7B8C5" w:rsidR="00C61533" w:rsidRPr="0093295F" w:rsidRDefault="00C61533" w:rsidP="009420E5">
    <w:pPr>
      <w:pStyle w:val="Header"/>
      <w:pBdr>
        <w:bottom w:val="single" w:sz="4" w:space="1" w:color="auto"/>
      </w:pBdr>
      <w:jc w:val="right"/>
      <w:rPr>
        <w:rFonts w:asciiTheme="majorBidi" w:hAnsiTheme="majorBidi" w:cstheme="majorBidi"/>
        <w:sz w:val="20"/>
        <w:szCs w:val="20"/>
        <w:lang w:val="en-AU"/>
      </w:rPr>
    </w:pPr>
    <w:r w:rsidRPr="0093295F">
      <w:rPr>
        <w:rFonts w:asciiTheme="majorBidi" w:hAnsiTheme="majorBidi" w:cstheme="majorBidi"/>
        <w:sz w:val="20"/>
        <w:szCs w:val="20"/>
        <w:lang w:val="en-AU"/>
      </w:rPr>
      <w:t xml:space="preserve">Part 1: Introduction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560D" w14:textId="77777777" w:rsidR="007B6846" w:rsidRDefault="007B684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7090" w14:textId="59C456BD" w:rsidR="00C61533" w:rsidRPr="009420E5" w:rsidRDefault="00C61533" w:rsidP="009420E5">
    <w:pPr>
      <w:pStyle w:val="Header"/>
      <w:pBdr>
        <w:bottom w:val="single" w:sz="4" w:space="1" w:color="auto"/>
      </w:pBdr>
      <w:jc w:val="right"/>
      <w:rPr>
        <w:rFonts w:asciiTheme="majorBidi" w:hAnsiTheme="majorBidi" w:cstheme="majorBidi"/>
        <w:sz w:val="20"/>
        <w:szCs w:val="20"/>
        <w:lang w:val="en-AU"/>
      </w:rPr>
    </w:pPr>
    <w:r w:rsidRPr="009420E5">
      <w:rPr>
        <w:rFonts w:asciiTheme="majorBidi" w:hAnsiTheme="majorBidi" w:cstheme="majorBidi"/>
        <w:sz w:val="20"/>
        <w:szCs w:val="20"/>
        <w:lang w:val="en-AU"/>
      </w:rPr>
      <w:t xml:space="preserve">Part 2: Property falling outside family provision claims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E73" w14:textId="72E4A99A" w:rsidR="00C61533" w:rsidRPr="009420E5" w:rsidRDefault="00C61533" w:rsidP="009420E5">
    <w:pPr>
      <w:pStyle w:val="Header"/>
      <w:pBdr>
        <w:bottom w:val="single" w:sz="4" w:space="1" w:color="auto"/>
      </w:pBdr>
      <w:rPr>
        <w:rFonts w:asciiTheme="majorBidi" w:hAnsiTheme="majorBidi" w:cstheme="majorBidi"/>
      </w:rPr>
    </w:pPr>
    <w:r w:rsidRPr="009420E5">
      <w:rPr>
        <w:rFonts w:asciiTheme="majorBidi" w:hAnsiTheme="majorBidi" w:cstheme="majorBidi"/>
        <w:sz w:val="20"/>
        <w:szCs w:val="20"/>
        <w:lang w:val="en-AU"/>
      </w:rPr>
      <w:t xml:space="preserve">TLRI </w:t>
    </w:r>
    <w:r>
      <w:rPr>
        <w:rFonts w:asciiTheme="majorBidi" w:hAnsiTheme="majorBidi" w:cstheme="majorBidi"/>
        <w:sz w:val="20"/>
        <w:szCs w:val="20"/>
        <w:lang w:val="en-AU"/>
      </w:rPr>
      <w:t>Final Report</w:t>
    </w:r>
    <w:r w:rsidRPr="009420E5">
      <w:rPr>
        <w:rFonts w:asciiTheme="majorBidi" w:hAnsiTheme="majorBidi" w:cstheme="majorBidi"/>
        <w:sz w:val="20"/>
        <w:szCs w:val="20"/>
        <w:lang w:val="en-AU"/>
      </w:rPr>
      <w:t xml:space="preserve"> 2</w:t>
    </w:r>
    <w:r>
      <w:rPr>
        <w:rFonts w:asciiTheme="majorBidi" w:hAnsiTheme="majorBidi" w:cstheme="majorBidi"/>
        <w:sz w:val="20"/>
        <w:szCs w:val="20"/>
        <w:lang w:val="en-AU"/>
      </w:rPr>
      <w:t>7</w:t>
    </w:r>
    <w:r w:rsidRPr="009420E5">
      <w:rPr>
        <w:rFonts w:asciiTheme="majorBidi" w:hAnsiTheme="majorBidi" w:cstheme="majorBidi"/>
        <w:sz w:val="20"/>
        <w:szCs w:val="20"/>
        <w:lang w:val="en-AU"/>
      </w:rPr>
      <w:t xml:space="preserve">: Notional Estates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F4C6" w14:textId="2C85D0E5" w:rsidR="00C61533" w:rsidRPr="0093295F" w:rsidRDefault="00C61533" w:rsidP="009420E5">
    <w:pPr>
      <w:pStyle w:val="Header"/>
      <w:pBdr>
        <w:bottom w:val="single" w:sz="4" w:space="1" w:color="auto"/>
      </w:pBdr>
      <w:jc w:val="right"/>
      <w:rPr>
        <w:rFonts w:ascii="Times New Roman" w:hAnsi="Times New Roman" w:cs="Times New Roman"/>
        <w:sz w:val="20"/>
        <w:szCs w:val="20"/>
        <w:lang w:val="en-AU"/>
      </w:rPr>
    </w:pPr>
    <w:r w:rsidRPr="0093295F">
      <w:rPr>
        <w:rFonts w:ascii="Times New Roman" w:hAnsi="Times New Roman" w:cs="Times New Roman"/>
        <w:sz w:val="20"/>
        <w:szCs w:val="20"/>
        <w:lang w:val="en-AU"/>
      </w:rPr>
      <w:t xml:space="preserve">Part 3: </w:t>
    </w:r>
    <w:r w:rsidRPr="0093295F">
      <w:rPr>
        <w:rFonts w:ascii="Times New Roman" w:hAnsi="Times New Roman" w:cs="Times New Roman"/>
        <w:sz w:val="20"/>
      </w:rPr>
      <w:t xml:space="preserve">Development of </w:t>
    </w:r>
    <w:r w:rsidRPr="0093295F">
      <w:rPr>
        <w:rFonts w:ascii="Times New Roman" w:hAnsi="Times New Roman" w:cs="Times New Roman"/>
        <w:sz w:val="20"/>
        <w:lang w:val="en-AU"/>
      </w:rPr>
      <w:t>notional</w:t>
    </w:r>
    <w:r w:rsidRPr="0093295F">
      <w:rPr>
        <w:rFonts w:ascii="Times New Roman" w:hAnsi="Times New Roman" w:cs="Times New Roman"/>
        <w:sz w:val="20"/>
      </w:rPr>
      <w:t xml:space="preserve"> </w:t>
    </w:r>
    <w:r w:rsidRPr="0093295F">
      <w:rPr>
        <w:rFonts w:ascii="Times New Roman" w:hAnsi="Times New Roman" w:cs="Times New Roman"/>
        <w:sz w:val="20"/>
        <w:lang w:val="en-AU"/>
      </w:rPr>
      <w:t>e</w:t>
    </w:r>
    <w:r w:rsidRPr="0093295F">
      <w:rPr>
        <w:rFonts w:ascii="Times New Roman" w:hAnsi="Times New Roman" w:cs="Times New Roman"/>
        <w:sz w:val="20"/>
      </w:rPr>
      <w:t xml:space="preserve">state </w:t>
    </w:r>
    <w:r w:rsidRPr="0093295F">
      <w:rPr>
        <w:rFonts w:ascii="Times New Roman" w:hAnsi="Times New Roman" w:cs="Times New Roman"/>
        <w:sz w:val="20"/>
        <w:lang w:val="en-AU"/>
      </w:rPr>
      <w:t>laws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4EF4" w14:textId="77777777" w:rsidR="00C61533" w:rsidRDefault="00C6153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7D7C" w14:textId="2EE5D104" w:rsidR="00C61533" w:rsidRPr="0093295F" w:rsidRDefault="00C61533" w:rsidP="009420E5">
    <w:pPr>
      <w:pStyle w:val="Header"/>
      <w:pBdr>
        <w:bottom w:val="single" w:sz="4" w:space="1" w:color="auto"/>
      </w:pBdr>
      <w:jc w:val="right"/>
      <w:rPr>
        <w:rFonts w:asciiTheme="majorBidi" w:hAnsiTheme="majorBidi" w:cstheme="majorBidi"/>
        <w:sz w:val="20"/>
        <w:szCs w:val="20"/>
        <w:lang w:val="en-AU"/>
      </w:rPr>
    </w:pPr>
    <w:r w:rsidRPr="0093295F">
      <w:rPr>
        <w:rFonts w:asciiTheme="majorBidi" w:hAnsiTheme="majorBidi" w:cstheme="majorBidi"/>
        <w:sz w:val="20"/>
        <w:szCs w:val="20"/>
        <w:lang w:val="en-AU"/>
      </w:rPr>
      <w:t xml:space="preserve">Part 4: </w:t>
    </w:r>
    <w:r w:rsidRPr="0093295F">
      <w:rPr>
        <w:rFonts w:asciiTheme="majorBidi" w:hAnsiTheme="majorBidi" w:cstheme="majorBidi"/>
        <w:sz w:val="20"/>
      </w:rPr>
      <w:t xml:space="preserve">New South Wales </w:t>
    </w:r>
    <w:r w:rsidRPr="0093295F">
      <w:rPr>
        <w:rFonts w:asciiTheme="majorBidi" w:hAnsiTheme="majorBidi" w:cstheme="majorBidi"/>
        <w:sz w:val="20"/>
        <w:lang w:val="en-AU"/>
      </w:rPr>
      <w:t>notional</w:t>
    </w:r>
    <w:r w:rsidRPr="0093295F">
      <w:rPr>
        <w:rFonts w:asciiTheme="majorBidi" w:hAnsiTheme="majorBidi" w:cstheme="majorBidi"/>
        <w:sz w:val="20"/>
      </w:rPr>
      <w:t xml:space="preserve"> </w:t>
    </w:r>
    <w:r w:rsidRPr="0093295F">
      <w:rPr>
        <w:rFonts w:asciiTheme="majorBidi" w:hAnsiTheme="majorBidi" w:cstheme="majorBidi"/>
        <w:sz w:val="20"/>
        <w:lang w:val="en-AU"/>
      </w:rPr>
      <w:t>e</w:t>
    </w:r>
    <w:r w:rsidRPr="0093295F">
      <w:rPr>
        <w:rFonts w:asciiTheme="majorBidi" w:hAnsiTheme="majorBidi" w:cstheme="majorBidi"/>
        <w:sz w:val="20"/>
      </w:rPr>
      <w:t xml:space="preserve">state </w:t>
    </w:r>
    <w:r w:rsidRPr="0093295F">
      <w:rPr>
        <w:rFonts w:asciiTheme="majorBidi" w:hAnsiTheme="majorBidi" w:cstheme="majorBidi"/>
        <w:sz w:val="20"/>
        <w:lang w:val="en-AU"/>
      </w:rPr>
      <w:t>laws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8536" w14:textId="77777777" w:rsidR="00C61533" w:rsidRDefault="00C6153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ECE5" w14:textId="62F495E2" w:rsidR="00C61533" w:rsidRPr="0093295F" w:rsidRDefault="00C61533" w:rsidP="009420E5">
    <w:pPr>
      <w:pStyle w:val="Header"/>
      <w:pBdr>
        <w:bottom w:val="single" w:sz="4" w:space="1" w:color="auto"/>
      </w:pBdr>
      <w:jc w:val="right"/>
      <w:rPr>
        <w:rFonts w:asciiTheme="majorBidi" w:hAnsiTheme="majorBidi" w:cstheme="majorBidi"/>
        <w:sz w:val="20"/>
        <w:szCs w:val="20"/>
        <w:lang w:val="en-AU"/>
      </w:rPr>
    </w:pPr>
    <w:r w:rsidRPr="0093295F">
      <w:rPr>
        <w:rFonts w:asciiTheme="majorBidi" w:hAnsiTheme="majorBidi" w:cstheme="majorBidi"/>
        <w:sz w:val="20"/>
        <w:szCs w:val="20"/>
        <w:lang w:val="en-AU"/>
      </w:rPr>
      <w:t xml:space="preserve">Part 5: </w:t>
    </w:r>
    <w:r w:rsidRPr="0093295F">
      <w:rPr>
        <w:rFonts w:asciiTheme="majorBidi" w:hAnsiTheme="majorBidi" w:cstheme="majorBidi"/>
        <w:sz w:val="20"/>
        <w:lang w:val="en-AU"/>
      </w:rPr>
      <w:t>Should Tasmania introduce notional estate laws?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E927" w14:textId="5AFCB1A1" w:rsidR="00C61533" w:rsidRPr="0093295F" w:rsidRDefault="00C61533" w:rsidP="009420E5">
    <w:pPr>
      <w:pStyle w:val="Header"/>
      <w:pBdr>
        <w:bottom w:val="single" w:sz="4" w:space="1" w:color="auto"/>
      </w:pBdr>
      <w:rPr>
        <w:rFonts w:asciiTheme="majorBidi" w:hAnsiTheme="majorBidi" w:cstheme="majorBidi"/>
      </w:rPr>
    </w:pPr>
    <w:r w:rsidRPr="0093295F">
      <w:rPr>
        <w:rFonts w:asciiTheme="majorBidi" w:hAnsiTheme="majorBidi" w:cstheme="majorBidi"/>
        <w:sz w:val="20"/>
        <w:szCs w:val="20"/>
        <w:lang w:val="en-AU"/>
      </w:rPr>
      <w:t xml:space="preserve">TLRI Final Report 27: Notional Estates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2A08" w14:textId="11438117" w:rsidR="00C61533" w:rsidRPr="009420E5" w:rsidRDefault="00C61533" w:rsidP="00F2065D">
    <w:pPr>
      <w:pStyle w:val="Header"/>
      <w:pBdr>
        <w:bottom w:val="single" w:sz="4" w:space="1" w:color="auto"/>
      </w:pBdr>
      <w:jc w:val="right"/>
      <w:rPr>
        <w:rFonts w:cs="Times New Roman"/>
        <w:sz w:val="20"/>
        <w:szCs w:val="20"/>
        <w:lang w:val="en-AU"/>
      </w:rPr>
    </w:pPr>
    <w:r w:rsidRPr="009420E5">
      <w:rPr>
        <w:rFonts w:cs="Times New Roman"/>
        <w:sz w:val="20"/>
        <w:szCs w:val="20"/>
        <w:lang w:val="en-AU"/>
      </w:rPr>
      <w:t xml:space="preserve">Appendix </w:t>
    </w:r>
    <w:r>
      <w:rPr>
        <w:rFonts w:cs="Times New Roman"/>
        <w:sz w:val="20"/>
        <w:szCs w:val="20"/>
        <w:lang w:val="en-AU"/>
      </w:rPr>
      <w:t>1</w:t>
    </w:r>
    <w:r w:rsidRPr="009420E5">
      <w:rPr>
        <w:rFonts w:cs="Times New Roman"/>
        <w:sz w:val="20"/>
        <w:szCs w:val="20"/>
        <w:lang w:val="en-AU"/>
      </w:rPr>
      <w:t>: ‘</w:t>
    </w:r>
    <w:r w:rsidRPr="009420E5">
      <w:rPr>
        <w:rFonts w:cs="Times New Roman"/>
        <w:sz w:val="20"/>
        <w:lang w:val="en-AU"/>
      </w:rPr>
      <w:t xml:space="preserve">Notional estate’ style provisions </w:t>
    </w:r>
    <w:r>
      <w:rPr>
        <w:rFonts w:cs="Times New Roman"/>
        <w:sz w:val="20"/>
        <w:lang w:val="en-AU"/>
      </w:rPr>
      <w:t>– NSW and England and Wales</w:t>
    </w:r>
  </w:p>
  <w:p w14:paraId="7F6F8AEA" w14:textId="23E707DB" w:rsidR="00C61533" w:rsidRPr="00F2065D" w:rsidRDefault="00C61533" w:rsidP="00F2065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4C00" w14:textId="77777777" w:rsidR="00C61533" w:rsidRDefault="00C61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6E2A1" w14:textId="77777777" w:rsidR="007B6846" w:rsidRDefault="007B684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3AFDA" w14:textId="1F2D102A" w:rsidR="00C61533" w:rsidRPr="0093295F" w:rsidRDefault="00C61533" w:rsidP="009420E5">
    <w:pPr>
      <w:pStyle w:val="Header"/>
      <w:pBdr>
        <w:bottom w:val="single" w:sz="4" w:space="1" w:color="auto"/>
      </w:pBdr>
      <w:jc w:val="right"/>
      <w:rPr>
        <w:rFonts w:asciiTheme="majorBidi" w:hAnsiTheme="majorBidi" w:cstheme="majorBidi"/>
        <w:sz w:val="20"/>
        <w:szCs w:val="20"/>
        <w:lang w:val="en-AU"/>
      </w:rPr>
    </w:pPr>
    <w:r w:rsidRPr="0093295F">
      <w:rPr>
        <w:rFonts w:asciiTheme="majorBidi" w:hAnsiTheme="majorBidi" w:cstheme="majorBidi"/>
        <w:sz w:val="20"/>
        <w:szCs w:val="20"/>
        <w:lang w:val="en-AU"/>
      </w:rPr>
      <w:t>Appendix 2: ‘</w:t>
    </w:r>
    <w:r w:rsidRPr="0093295F">
      <w:rPr>
        <w:rFonts w:asciiTheme="majorBidi" w:hAnsiTheme="majorBidi" w:cstheme="majorBidi"/>
        <w:sz w:val="20"/>
        <w:lang w:val="en-AU"/>
      </w:rPr>
      <w:t>Notional estate’ style provisions in Canada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8FBB" w14:textId="63255D4C" w:rsidR="00C61533" w:rsidRPr="0093295F" w:rsidRDefault="00C61533" w:rsidP="009420E5">
    <w:pPr>
      <w:pStyle w:val="Header"/>
      <w:pBdr>
        <w:bottom w:val="single" w:sz="4" w:space="1" w:color="auto"/>
      </w:pBdr>
      <w:jc w:val="right"/>
      <w:rPr>
        <w:rFonts w:asciiTheme="majorBidi" w:hAnsiTheme="majorBidi" w:cstheme="majorBidi"/>
        <w:sz w:val="20"/>
        <w:szCs w:val="20"/>
        <w:lang w:val="en-AU"/>
      </w:rPr>
    </w:pPr>
    <w:r w:rsidRPr="0093295F">
      <w:rPr>
        <w:rFonts w:asciiTheme="majorBidi" w:hAnsiTheme="majorBidi" w:cstheme="majorBidi"/>
        <w:sz w:val="20"/>
        <w:szCs w:val="20"/>
        <w:lang w:val="en-AU"/>
      </w:rPr>
      <w:t>Appendix 3: Reported Tasmanian family provision decisions, April 2009 to April 2019</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7D43" w14:textId="3D7CE0D4" w:rsidR="00C61533" w:rsidRDefault="00C61533" w:rsidP="000C1FC8">
    <w:pPr>
      <w:pStyle w:val="Header"/>
      <w:pBdr>
        <w:bottom w:val="single" w:sz="4" w:space="1" w:color="auto"/>
      </w:pBdr>
    </w:pPr>
    <w:r w:rsidRPr="00492B9F">
      <w:rPr>
        <w:rFonts w:cs="Times New Roman"/>
        <w:sz w:val="20"/>
        <w:szCs w:val="20"/>
        <w:lang w:val="en-AU"/>
      </w:rPr>
      <w:t>TLRI Issues Paper 28: Notional Estates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0476" w14:textId="43D4920F" w:rsidR="00C61533" w:rsidRPr="00307D3D" w:rsidRDefault="00C61533" w:rsidP="00492B9F">
    <w:pPr>
      <w:pStyle w:val="Header"/>
      <w:pBdr>
        <w:bottom w:val="single" w:sz="4" w:space="1" w:color="auto"/>
      </w:pBdr>
      <w:jc w:val="right"/>
      <w:rPr>
        <w:rFonts w:cs="Times New Roman"/>
        <w:sz w:val="20"/>
        <w:szCs w:val="20"/>
        <w:lang w:val="en-AU"/>
      </w:rPr>
    </w:pPr>
    <w:r>
      <w:rPr>
        <w:rFonts w:cs="Times New Roman"/>
        <w:sz w:val="20"/>
        <w:szCs w:val="20"/>
        <w:lang w:val="en-AU"/>
      </w:rPr>
      <w:t xml:space="preserve">Appendix B: </w:t>
    </w:r>
    <w:r w:rsidRPr="00307D3D">
      <w:rPr>
        <w:rFonts w:cs="Times New Roman"/>
        <w:bCs/>
        <w:i/>
        <w:sz w:val="20"/>
        <w:lang w:val="en-AU"/>
      </w:rPr>
      <w:t xml:space="preserve">Succession Act 2006 </w:t>
    </w:r>
    <w:r w:rsidRPr="00307D3D">
      <w:rPr>
        <w:rFonts w:cs="Times New Roman"/>
        <w:bCs/>
        <w:sz w:val="20"/>
        <w:lang w:val="en-AU"/>
      </w:rPr>
      <w:t>(NSW)</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F348" w14:textId="77777777" w:rsidR="00C61533" w:rsidRDefault="00C615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11E7" w14:textId="77777777" w:rsidR="00C61533" w:rsidRDefault="00C615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745" w14:textId="77777777" w:rsidR="00C61533" w:rsidRDefault="00C615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E605" w14:textId="77777777" w:rsidR="00C61533" w:rsidRDefault="00C615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CE11" w14:textId="77777777" w:rsidR="00C61533" w:rsidRDefault="00C615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8C22" w14:textId="77777777" w:rsidR="00C61533" w:rsidRDefault="00C615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B02" w14:textId="77777777" w:rsidR="00C61533" w:rsidRDefault="00C61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E2D1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EE51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52E6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605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C8C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2E88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AA4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5C34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E24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CAB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B176A"/>
    <w:multiLevelType w:val="hybridMultilevel"/>
    <w:tmpl w:val="07D4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60A7E"/>
    <w:multiLevelType w:val="multilevel"/>
    <w:tmpl w:val="D67CEE3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425C0"/>
    <w:multiLevelType w:val="hybridMultilevel"/>
    <w:tmpl w:val="A3AEEA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700B6C"/>
    <w:multiLevelType w:val="multilevel"/>
    <w:tmpl w:val="3BC8E8F2"/>
    <w:lvl w:ilvl="0">
      <w:start w:val="1"/>
      <w:numFmt w:val="decimal"/>
      <w:suff w:val="nothing"/>
      <w:lvlText w:val="Part %1"/>
      <w:lvlJc w:val="left"/>
      <w:pPr>
        <w:ind w:left="3126" w:hanging="432"/>
      </w:pPr>
      <w:rPr>
        <w:rFonts w:ascii="Arial" w:hAnsi="Arial" w:cs="Arial" w:hint="default"/>
        <w:b/>
        <w:i w:val="0"/>
        <w:sz w:val="32"/>
      </w:rPr>
    </w:lvl>
    <w:lvl w:ilvl="1">
      <w:start w:val="1"/>
      <w:numFmt w:val="decimal"/>
      <w:lvlText w:val="%1.%2"/>
      <w:lvlJc w:val="left"/>
      <w:pPr>
        <w:tabs>
          <w:tab w:val="num" w:pos="4264"/>
        </w:tabs>
        <w:ind w:left="3544" w:firstLine="0"/>
      </w:pPr>
      <w:rPr>
        <w:rFonts w:ascii="Arial" w:hAnsi="Arial" w:hint="default"/>
        <w:b/>
        <w:i w:val="0"/>
        <w:sz w:val="32"/>
      </w:rPr>
    </w:lvl>
    <w:lvl w:ilvl="2">
      <w:start w:val="1"/>
      <w:numFmt w:val="decimal"/>
      <w:lvlRestart w:val="1"/>
      <w:lvlText w:val="%1.%2.%3"/>
      <w:lvlJc w:val="left"/>
      <w:pPr>
        <w:tabs>
          <w:tab w:val="num" w:pos="5258"/>
        </w:tabs>
        <w:ind w:left="4538" w:firstLine="0"/>
      </w:pPr>
      <w:rPr>
        <w:rFonts w:ascii="Times New Roman" w:hAnsi="Times New Roman" w:hint="default"/>
        <w:b/>
        <w:i w:val="0"/>
        <w:sz w:val="24"/>
      </w:rPr>
    </w:lvl>
    <w:lvl w:ilvl="3">
      <w:start w:val="2"/>
      <w:numFmt w:val="decimal"/>
      <w:lvlText w:val="%1.%2.%3.%4"/>
      <w:lvlJc w:val="left"/>
      <w:pPr>
        <w:tabs>
          <w:tab w:val="num" w:pos="5618"/>
        </w:tabs>
        <w:ind w:left="4538" w:firstLine="0"/>
      </w:pPr>
      <w:rPr>
        <w:rFonts w:hint="default"/>
      </w:rPr>
    </w:lvl>
    <w:lvl w:ilvl="4">
      <w:start w:val="1"/>
      <w:numFmt w:val="none"/>
      <w:lvlText w:val=""/>
      <w:lvlJc w:val="left"/>
      <w:pPr>
        <w:tabs>
          <w:tab w:val="num" w:pos="4695"/>
        </w:tabs>
        <w:ind w:left="4695" w:hanging="1008"/>
      </w:pPr>
      <w:rPr>
        <w:rFonts w:ascii="Times New Roman" w:hAnsi="Times New Roman" w:hint="default"/>
        <w:b/>
        <w:i w:val="0"/>
        <w:sz w:val="52"/>
      </w:rPr>
    </w:lvl>
    <w:lvl w:ilvl="5">
      <w:start w:val="1"/>
      <w:numFmt w:val="none"/>
      <w:lvlRestart w:val="1"/>
      <w:lvlText w:val=""/>
      <w:lvlJc w:val="left"/>
      <w:pPr>
        <w:tabs>
          <w:tab w:val="num" w:pos="4839"/>
        </w:tabs>
        <w:ind w:left="4839" w:hanging="1152"/>
      </w:pPr>
      <w:rPr>
        <w:rFonts w:hint="default"/>
      </w:rPr>
    </w:lvl>
    <w:lvl w:ilvl="6">
      <w:start w:val="1"/>
      <w:numFmt w:val="none"/>
      <w:lvlText w:val=""/>
      <w:lvlJc w:val="left"/>
      <w:pPr>
        <w:tabs>
          <w:tab w:val="num" w:pos="4983"/>
        </w:tabs>
        <w:ind w:left="4983" w:hanging="1296"/>
      </w:pPr>
      <w:rPr>
        <w:rFonts w:hint="default"/>
      </w:rPr>
    </w:lvl>
    <w:lvl w:ilvl="7">
      <w:start w:val="1"/>
      <w:numFmt w:val="none"/>
      <w:lvlText w:val=""/>
      <w:lvlJc w:val="left"/>
      <w:pPr>
        <w:tabs>
          <w:tab w:val="num" w:pos="5127"/>
        </w:tabs>
        <w:ind w:left="5127" w:hanging="1440"/>
      </w:pPr>
      <w:rPr>
        <w:rFonts w:hint="default"/>
      </w:rPr>
    </w:lvl>
    <w:lvl w:ilvl="8">
      <w:start w:val="1"/>
      <w:numFmt w:val="none"/>
      <w:lvlText w:val=""/>
      <w:lvlJc w:val="left"/>
      <w:pPr>
        <w:tabs>
          <w:tab w:val="num" w:pos="5271"/>
        </w:tabs>
        <w:ind w:left="5271" w:hanging="1584"/>
      </w:pPr>
      <w:rPr>
        <w:rFonts w:hint="default"/>
      </w:rPr>
    </w:lvl>
  </w:abstractNum>
  <w:abstractNum w:abstractNumId="14" w15:restartNumberingAfterBreak="0">
    <w:nsid w:val="0BA275FC"/>
    <w:multiLevelType w:val="hybridMultilevel"/>
    <w:tmpl w:val="1C44A104"/>
    <w:lvl w:ilvl="0" w:tplc="B4FCB806">
      <w:start w:val="1"/>
      <w:numFmt w:val="lowerLetter"/>
      <w:lvlText w:val="(%1)"/>
      <w:lvlJc w:val="left"/>
      <w:pPr>
        <w:ind w:left="720" w:hanging="360"/>
      </w:pPr>
      <w:rPr>
        <w:rFonts w:ascii="Garamond" w:eastAsiaTheme="minorHAnsi" w:hAnsi="Garamond" w:cstheme="minorBidi"/>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022B9"/>
    <w:multiLevelType w:val="hybridMultilevel"/>
    <w:tmpl w:val="D67CEE3E"/>
    <w:lvl w:ilvl="0" w:tplc="69B60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65EB6"/>
    <w:multiLevelType w:val="multilevel"/>
    <w:tmpl w:val="A4DE4F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DF1847"/>
    <w:multiLevelType w:val="hybridMultilevel"/>
    <w:tmpl w:val="E76EF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AA7BA6"/>
    <w:multiLevelType w:val="multilevel"/>
    <w:tmpl w:val="27A8A1DE"/>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Garamond" w:eastAsia="Times New Roman" w:hAnsi="Garamond"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8433E3"/>
    <w:multiLevelType w:val="hybridMultilevel"/>
    <w:tmpl w:val="83F6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0848BF"/>
    <w:multiLevelType w:val="multilevel"/>
    <w:tmpl w:val="6E86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F70E77"/>
    <w:multiLevelType w:val="hybridMultilevel"/>
    <w:tmpl w:val="52DA0E34"/>
    <w:lvl w:ilvl="0" w:tplc="69B60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C3A4E"/>
    <w:multiLevelType w:val="multilevel"/>
    <w:tmpl w:val="B16850FE"/>
    <w:lvl w:ilvl="0">
      <w:start w:val="1"/>
      <w:numFmt w:val="decimal"/>
      <w:lvlText w:val="%1"/>
      <w:lvlJc w:val="left"/>
      <w:pPr>
        <w:ind w:left="792" w:hanging="432"/>
      </w:pPr>
    </w:lvl>
    <w:lvl w:ilvl="1">
      <w:start w:val="1"/>
      <w:numFmt w:val="decimal"/>
      <w:pStyle w:val="Heading2RJB"/>
      <w:lvlText w:val="%1.%2"/>
      <w:lvlJc w:val="left"/>
      <w:pPr>
        <w:ind w:left="936" w:hanging="576"/>
      </w:pPr>
    </w:lvl>
    <w:lvl w:ilvl="2">
      <w:start w:val="1"/>
      <w:numFmt w:val="decimal"/>
      <w:pStyle w:val="heading3RJB"/>
      <w:lvlText w:val="%1.%2.%3"/>
      <w:lvlJc w:val="left"/>
      <w:pPr>
        <w:ind w:left="1080" w:hanging="720"/>
      </w:pPr>
    </w:lvl>
    <w:lvl w:ilvl="3">
      <w:start w:val="2"/>
      <w:numFmt w:val="decimal"/>
      <w:pStyle w:val="heading4RJB"/>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3" w15:restartNumberingAfterBreak="0">
    <w:nsid w:val="1F646EDD"/>
    <w:multiLevelType w:val="hybridMultilevel"/>
    <w:tmpl w:val="EB86F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A310FE"/>
    <w:multiLevelType w:val="hybridMultilevel"/>
    <w:tmpl w:val="7DCC65FA"/>
    <w:lvl w:ilvl="0" w:tplc="7EA2866E">
      <w:start w:val="1"/>
      <w:numFmt w:val="decimal"/>
      <w:pStyle w:val="Rec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AE07DF1"/>
    <w:multiLevelType w:val="hybridMultilevel"/>
    <w:tmpl w:val="E76EF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A079CA"/>
    <w:multiLevelType w:val="multilevel"/>
    <w:tmpl w:val="C3007D2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9F027A"/>
    <w:multiLevelType w:val="hybridMultilevel"/>
    <w:tmpl w:val="61B6F1AA"/>
    <w:lvl w:ilvl="0" w:tplc="ABB495B2">
      <w:start w:val="1"/>
      <w:numFmt w:val="bullet"/>
      <w:pStyle w:val="DotPointTLRI"/>
      <w:lvlText w:val=""/>
      <w:lvlJc w:val="left"/>
      <w:pPr>
        <w:ind w:left="502" w:hanging="360"/>
      </w:pPr>
      <w:rPr>
        <w:rFonts w:ascii="Symbol" w:hAnsi="Symbol" w:hint="default"/>
        <w:lang w:val="en-AU"/>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4A19D0"/>
    <w:multiLevelType w:val="hybridMultilevel"/>
    <w:tmpl w:val="FE9E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7C1582"/>
    <w:multiLevelType w:val="hybridMultilevel"/>
    <w:tmpl w:val="C3007D2A"/>
    <w:lvl w:ilvl="0" w:tplc="69B602A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F37FA4"/>
    <w:multiLevelType w:val="hybridMultilevel"/>
    <w:tmpl w:val="F3C20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477465"/>
    <w:multiLevelType w:val="hybridMultilevel"/>
    <w:tmpl w:val="219CAFC2"/>
    <w:lvl w:ilvl="0" w:tplc="206C5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583924"/>
    <w:multiLevelType w:val="hybridMultilevel"/>
    <w:tmpl w:val="A9CEE4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45384355"/>
    <w:multiLevelType w:val="hybridMultilevel"/>
    <w:tmpl w:val="8B72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A777C2"/>
    <w:multiLevelType w:val="hybridMultilevel"/>
    <w:tmpl w:val="23E46F06"/>
    <w:lvl w:ilvl="0" w:tplc="A468AE4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496487"/>
    <w:multiLevelType w:val="singleLevel"/>
    <w:tmpl w:val="C61E1ADA"/>
    <w:lvl w:ilvl="0">
      <w:start w:val="1"/>
      <w:numFmt w:val="bullet"/>
      <w:pStyle w:val="CoverTextBullet"/>
      <w:lvlText w:val=""/>
      <w:lvlJc w:val="left"/>
      <w:pPr>
        <w:tabs>
          <w:tab w:val="num" w:pos="360"/>
        </w:tabs>
        <w:ind w:left="360" w:hanging="360"/>
      </w:pPr>
    </w:lvl>
  </w:abstractNum>
  <w:abstractNum w:abstractNumId="36" w15:restartNumberingAfterBreak="0">
    <w:nsid w:val="504A6B72"/>
    <w:multiLevelType w:val="multilevel"/>
    <w:tmpl w:val="2C16CEB2"/>
    <w:lvl w:ilvl="0">
      <w:start w:val="1"/>
      <w:numFmt w:val="decimal"/>
      <w:pStyle w:val="Heading1RJB"/>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C643BD"/>
    <w:multiLevelType w:val="hybridMultilevel"/>
    <w:tmpl w:val="5F3E2ECC"/>
    <w:lvl w:ilvl="0" w:tplc="5DFA9B96">
      <w:start w:val="227"/>
      <w:numFmt w:val="decimal"/>
      <w:lvlText w:val="%1."/>
      <w:lvlJc w:val="left"/>
      <w:pPr>
        <w:ind w:left="82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8B9766C"/>
    <w:multiLevelType w:val="hybridMultilevel"/>
    <w:tmpl w:val="ADAE8D6C"/>
    <w:lvl w:ilvl="0" w:tplc="0C090001">
      <w:start w:val="1"/>
      <w:numFmt w:val="bullet"/>
      <w:lvlText w:val=""/>
      <w:lvlJc w:val="left"/>
      <w:pPr>
        <w:ind w:left="1069" w:hanging="360"/>
      </w:pPr>
      <w:rPr>
        <w:rFonts w:ascii="Symbol" w:hAnsi="Symbol"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610C49DC"/>
    <w:multiLevelType w:val="hybridMultilevel"/>
    <w:tmpl w:val="A210E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1844FB4"/>
    <w:multiLevelType w:val="multilevel"/>
    <w:tmpl w:val="D2B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1011C3"/>
    <w:multiLevelType w:val="multilevel"/>
    <w:tmpl w:val="E81C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9076C5"/>
    <w:multiLevelType w:val="hybridMultilevel"/>
    <w:tmpl w:val="91920478"/>
    <w:lvl w:ilvl="0" w:tplc="05840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056126"/>
    <w:multiLevelType w:val="multilevel"/>
    <w:tmpl w:val="3CFE70C0"/>
    <w:lvl w:ilvl="0">
      <w:start w:val="1"/>
      <w:numFmt w:val="decimal"/>
      <w:pStyle w:val="PartNoTLRI"/>
      <w:suff w:val="nothing"/>
      <w:lvlText w:val="Part %1"/>
      <w:lvlJc w:val="left"/>
      <w:pPr>
        <w:ind w:left="4392" w:hanging="432"/>
      </w:pPr>
      <w:rPr>
        <w:rFonts w:asciiTheme="majorBidi" w:hAnsiTheme="majorBidi" w:cstheme="majorBidi" w:hint="default"/>
        <w:b/>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rPr>
    </w:lvl>
    <w:lvl w:ilvl="1">
      <w:start w:val="1"/>
      <w:numFmt w:val="decimal"/>
      <w:pStyle w:val="NumberedHeadingTLRI"/>
      <w:lvlText w:val="%1.%2"/>
      <w:lvlJc w:val="left"/>
      <w:pPr>
        <w:tabs>
          <w:tab w:val="num" w:pos="72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4" w15:restartNumberingAfterBreak="0">
    <w:nsid w:val="731B230D"/>
    <w:multiLevelType w:val="hybridMultilevel"/>
    <w:tmpl w:val="FA845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8854A96"/>
    <w:multiLevelType w:val="hybridMultilevel"/>
    <w:tmpl w:val="5AC8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7D70E7"/>
    <w:multiLevelType w:val="multilevel"/>
    <w:tmpl w:val="38C06AE8"/>
    <w:lvl w:ilvl="0">
      <w:start w:val="1"/>
      <w:numFmt w:val="decimal"/>
      <w:suff w:val="nothing"/>
      <w:lvlText w:val="Part %1"/>
      <w:lvlJc w:val="left"/>
      <w:pPr>
        <w:ind w:left="432" w:hanging="432"/>
      </w:pPr>
      <w:rPr>
        <w:rFonts w:ascii="Times New Roman" w:hAnsi="Times New Roman" w:hint="default"/>
        <w:b/>
        <w:i w:val="0"/>
        <w:sz w:val="32"/>
      </w:rPr>
    </w:lvl>
    <w:lvl w:ilvl="1">
      <w:start w:val="1"/>
      <w:numFmt w:val="decimal"/>
      <w:pStyle w:val="Heading3"/>
      <w:lvlText w:val="%1.%2"/>
      <w:lvlJc w:val="left"/>
      <w:pPr>
        <w:tabs>
          <w:tab w:val="num" w:pos="720"/>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1.%2.%3"/>
      <w:lvlJc w:val="left"/>
      <w:pPr>
        <w:tabs>
          <w:tab w:val="num" w:pos="720"/>
        </w:tabs>
        <w:ind w:left="0" w:firstLine="0"/>
      </w:pPr>
      <w:rPr>
        <w:rFonts w:ascii="Times New Roman" w:hAnsi="Times New Roman" w:hint="default"/>
        <w:b/>
        <w:i w:val="0"/>
        <w:sz w:val="24"/>
      </w:rPr>
    </w:lvl>
    <w:lvl w:ilvl="3">
      <w:start w:val="2"/>
      <w:numFmt w:val="none"/>
      <w:pStyle w:val="Heading4"/>
      <w:lvlText w:val=""/>
      <w:lvlJc w:val="left"/>
      <w:pPr>
        <w:tabs>
          <w:tab w:val="num" w:pos="1211"/>
        </w:tabs>
        <w:ind w:left="851" w:firstLine="0"/>
      </w:pPr>
      <w:rPr>
        <w:rFonts w:hint="default"/>
      </w:rPr>
    </w:lvl>
    <w:lvl w:ilvl="4">
      <w:start w:val="1"/>
      <w:numFmt w:val="none"/>
      <w:pStyle w:val="Heading2"/>
      <w:lvlText w:val=""/>
      <w:lvlJc w:val="left"/>
      <w:pPr>
        <w:tabs>
          <w:tab w:val="num" w:pos="1008"/>
        </w:tabs>
        <w:ind w:left="1008" w:hanging="1008"/>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Restart w:val="1"/>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47" w15:restartNumberingAfterBreak="0">
    <w:nsid w:val="7AB536A1"/>
    <w:multiLevelType w:val="hybridMultilevel"/>
    <w:tmpl w:val="1EA8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EE509F"/>
    <w:multiLevelType w:val="hybridMultilevel"/>
    <w:tmpl w:val="9274014C"/>
    <w:lvl w:ilvl="0" w:tplc="47CCCC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6766A7"/>
    <w:multiLevelType w:val="hybridMultilevel"/>
    <w:tmpl w:val="C2ACBC6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0" w15:restartNumberingAfterBreak="0">
    <w:nsid w:val="7FCE56BF"/>
    <w:multiLevelType w:val="hybridMultilevel"/>
    <w:tmpl w:val="1C44A104"/>
    <w:lvl w:ilvl="0" w:tplc="B4FCB806">
      <w:start w:val="1"/>
      <w:numFmt w:val="lowerLetter"/>
      <w:lvlText w:val="(%1)"/>
      <w:lvlJc w:val="left"/>
      <w:pPr>
        <w:ind w:left="720" w:hanging="360"/>
      </w:pPr>
      <w:rPr>
        <w:rFonts w:ascii="Garamond" w:eastAsiaTheme="minorHAnsi" w:hAnsi="Garamond" w:cstheme="minorBidi"/>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43"/>
  </w:num>
  <w:num w:numId="4">
    <w:abstractNumId w:val="27"/>
  </w:num>
  <w:num w:numId="5">
    <w:abstractNumId w:val="9"/>
  </w:num>
  <w:num w:numId="6">
    <w:abstractNumId w:val="39"/>
  </w:num>
  <w:num w:numId="7">
    <w:abstractNumId w:val="50"/>
  </w:num>
  <w:num w:numId="8">
    <w:abstractNumId w:val="44"/>
  </w:num>
  <w:num w:numId="9">
    <w:abstractNumId w:val="47"/>
  </w:num>
  <w:num w:numId="10">
    <w:abstractNumId w:val="49"/>
  </w:num>
  <w:num w:numId="11">
    <w:abstractNumId w:val="4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4"/>
  </w:num>
  <w:num w:numId="14">
    <w:abstractNumId w:val="36"/>
  </w:num>
  <w:num w:numId="15">
    <w:abstractNumId w:val="22"/>
  </w:num>
  <w:num w:numId="16">
    <w:abstractNumId w:val="35"/>
  </w:num>
  <w:num w:numId="17">
    <w:abstractNumId w:val="18"/>
  </w:num>
  <w:num w:numId="18">
    <w:abstractNumId w:val="34"/>
  </w:num>
  <w:num w:numId="19">
    <w:abstractNumId w:val="25"/>
  </w:num>
  <w:num w:numId="20">
    <w:abstractNumId w:val="14"/>
  </w:num>
  <w:num w:numId="21">
    <w:abstractNumId w:val="10"/>
  </w:num>
  <w:num w:numId="22">
    <w:abstractNumId w:val="15"/>
  </w:num>
  <w:num w:numId="23">
    <w:abstractNumId w:val="16"/>
  </w:num>
  <w:num w:numId="24">
    <w:abstractNumId w:val="31"/>
  </w:num>
  <w:num w:numId="25">
    <w:abstractNumId w:val="19"/>
  </w:num>
  <w:num w:numId="26">
    <w:abstractNumId w:val="0"/>
  </w:num>
  <w:num w:numId="27">
    <w:abstractNumId w:val="1"/>
  </w:num>
  <w:num w:numId="28">
    <w:abstractNumId w:val="2"/>
  </w:num>
  <w:num w:numId="29">
    <w:abstractNumId w:val="3"/>
  </w:num>
  <w:num w:numId="30">
    <w:abstractNumId w:val="8"/>
  </w:num>
  <w:num w:numId="31">
    <w:abstractNumId w:val="4"/>
  </w:num>
  <w:num w:numId="32">
    <w:abstractNumId w:val="5"/>
  </w:num>
  <w:num w:numId="33">
    <w:abstractNumId w:val="6"/>
  </w:num>
  <w:num w:numId="34">
    <w:abstractNumId w:val="7"/>
  </w:num>
  <w:num w:numId="35">
    <w:abstractNumId w:val="11"/>
  </w:num>
  <w:num w:numId="36">
    <w:abstractNumId w:val="29"/>
  </w:num>
  <w:num w:numId="37">
    <w:abstractNumId w:val="26"/>
  </w:num>
  <w:num w:numId="38">
    <w:abstractNumId w:val="21"/>
  </w:num>
  <w:num w:numId="39">
    <w:abstractNumId w:val="23"/>
  </w:num>
  <w:num w:numId="40">
    <w:abstractNumId w:val="48"/>
  </w:num>
  <w:num w:numId="41">
    <w:abstractNumId w:val="42"/>
  </w:num>
  <w:num w:numId="42">
    <w:abstractNumId w:val="33"/>
  </w:num>
  <w:num w:numId="43">
    <w:abstractNumId w:val="40"/>
  </w:num>
  <w:num w:numId="44">
    <w:abstractNumId w:val="45"/>
  </w:num>
  <w:num w:numId="45">
    <w:abstractNumId w:val="30"/>
  </w:num>
  <w:num w:numId="46">
    <w:abstractNumId w:val="37"/>
  </w:num>
  <w:num w:numId="47">
    <w:abstractNumId w:val="41"/>
    <w:lvlOverride w:ilvl="0">
      <w:startOverride w:val="112"/>
    </w:lvlOverride>
  </w:num>
  <w:num w:numId="48">
    <w:abstractNumId w:val="20"/>
    <w:lvlOverride w:ilvl="0">
      <w:startOverride w:val="142"/>
    </w:lvlOverride>
  </w:num>
  <w:num w:numId="49">
    <w:abstractNumId w:val="28"/>
  </w:num>
  <w:num w:numId="50">
    <w:abstractNumId w:val="38"/>
  </w:num>
  <w:num w:numId="51">
    <w:abstractNumId w:val="12"/>
  </w:num>
  <w:num w:numId="52">
    <w:abstractNumId w:val="32"/>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linkStyles/>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6mZ1iONJ/gOmyf2BLv+bRZ74pp4CZirjZh4jEOtWPdhT6Lr1Lm0SCCirTSIsY47VorZclHCkw7NlEXs9g8vUA==" w:salt="wrVEsoW5xSdiCwQdYLIdvQ=="/>
  <w:defaultTabStop w:val="720"/>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AA"/>
    <w:rsid w:val="0000027E"/>
    <w:rsid w:val="00000703"/>
    <w:rsid w:val="00000998"/>
    <w:rsid w:val="00001662"/>
    <w:rsid w:val="0000188F"/>
    <w:rsid w:val="00001990"/>
    <w:rsid w:val="00001ECD"/>
    <w:rsid w:val="0000214A"/>
    <w:rsid w:val="00002222"/>
    <w:rsid w:val="000027E1"/>
    <w:rsid w:val="000032CD"/>
    <w:rsid w:val="00003621"/>
    <w:rsid w:val="00003A41"/>
    <w:rsid w:val="00003A7A"/>
    <w:rsid w:val="00004382"/>
    <w:rsid w:val="00004BD1"/>
    <w:rsid w:val="00005A70"/>
    <w:rsid w:val="00005CF7"/>
    <w:rsid w:val="00006B9F"/>
    <w:rsid w:val="00012531"/>
    <w:rsid w:val="00012B13"/>
    <w:rsid w:val="00013FC2"/>
    <w:rsid w:val="00014F2B"/>
    <w:rsid w:val="000159CE"/>
    <w:rsid w:val="00015A9C"/>
    <w:rsid w:val="00015C50"/>
    <w:rsid w:val="00015D9B"/>
    <w:rsid w:val="00017D86"/>
    <w:rsid w:val="00017F02"/>
    <w:rsid w:val="000202B9"/>
    <w:rsid w:val="00020B54"/>
    <w:rsid w:val="00020C24"/>
    <w:rsid w:val="00021999"/>
    <w:rsid w:val="00021B3F"/>
    <w:rsid w:val="00021C16"/>
    <w:rsid w:val="000226B6"/>
    <w:rsid w:val="00022FDD"/>
    <w:rsid w:val="0002304C"/>
    <w:rsid w:val="00023CAC"/>
    <w:rsid w:val="00024679"/>
    <w:rsid w:val="000254C5"/>
    <w:rsid w:val="00026C85"/>
    <w:rsid w:val="00027493"/>
    <w:rsid w:val="00027875"/>
    <w:rsid w:val="00030176"/>
    <w:rsid w:val="00030DEF"/>
    <w:rsid w:val="00031387"/>
    <w:rsid w:val="00032040"/>
    <w:rsid w:val="000325C1"/>
    <w:rsid w:val="00032B63"/>
    <w:rsid w:val="00033494"/>
    <w:rsid w:val="0003374E"/>
    <w:rsid w:val="000338A3"/>
    <w:rsid w:val="00034261"/>
    <w:rsid w:val="00034518"/>
    <w:rsid w:val="00035879"/>
    <w:rsid w:val="00035A02"/>
    <w:rsid w:val="00035C7C"/>
    <w:rsid w:val="00037043"/>
    <w:rsid w:val="00037188"/>
    <w:rsid w:val="00037295"/>
    <w:rsid w:val="000373EB"/>
    <w:rsid w:val="00037B00"/>
    <w:rsid w:val="000402A6"/>
    <w:rsid w:val="000402B0"/>
    <w:rsid w:val="00040B01"/>
    <w:rsid w:val="00041C67"/>
    <w:rsid w:val="00043B1C"/>
    <w:rsid w:val="000441AF"/>
    <w:rsid w:val="00044426"/>
    <w:rsid w:val="000448F8"/>
    <w:rsid w:val="00044967"/>
    <w:rsid w:val="00045660"/>
    <w:rsid w:val="00045F49"/>
    <w:rsid w:val="00046CB8"/>
    <w:rsid w:val="0005006E"/>
    <w:rsid w:val="00050101"/>
    <w:rsid w:val="000509BB"/>
    <w:rsid w:val="00051757"/>
    <w:rsid w:val="00051957"/>
    <w:rsid w:val="000526BA"/>
    <w:rsid w:val="0005317C"/>
    <w:rsid w:val="00053860"/>
    <w:rsid w:val="00054580"/>
    <w:rsid w:val="000547B6"/>
    <w:rsid w:val="0005502A"/>
    <w:rsid w:val="0005532D"/>
    <w:rsid w:val="000561CC"/>
    <w:rsid w:val="00056997"/>
    <w:rsid w:val="00057045"/>
    <w:rsid w:val="000570BA"/>
    <w:rsid w:val="00057861"/>
    <w:rsid w:val="00057B52"/>
    <w:rsid w:val="0006060D"/>
    <w:rsid w:val="00061729"/>
    <w:rsid w:val="00062B40"/>
    <w:rsid w:val="00063AD7"/>
    <w:rsid w:val="00063BF1"/>
    <w:rsid w:val="00063C21"/>
    <w:rsid w:val="00063D85"/>
    <w:rsid w:val="0006497A"/>
    <w:rsid w:val="00065FDD"/>
    <w:rsid w:val="0006669C"/>
    <w:rsid w:val="00066BD1"/>
    <w:rsid w:val="0007105A"/>
    <w:rsid w:val="0007109E"/>
    <w:rsid w:val="00071660"/>
    <w:rsid w:val="0007169C"/>
    <w:rsid w:val="000720D2"/>
    <w:rsid w:val="00072E6F"/>
    <w:rsid w:val="00073339"/>
    <w:rsid w:val="00074EB7"/>
    <w:rsid w:val="00075BAE"/>
    <w:rsid w:val="000760D8"/>
    <w:rsid w:val="00076B44"/>
    <w:rsid w:val="00076D8D"/>
    <w:rsid w:val="000773E9"/>
    <w:rsid w:val="000778CF"/>
    <w:rsid w:val="00077E89"/>
    <w:rsid w:val="000808FF"/>
    <w:rsid w:val="00080D38"/>
    <w:rsid w:val="00081049"/>
    <w:rsid w:val="00081784"/>
    <w:rsid w:val="00081895"/>
    <w:rsid w:val="00081B93"/>
    <w:rsid w:val="00081DB5"/>
    <w:rsid w:val="00081EB5"/>
    <w:rsid w:val="00084414"/>
    <w:rsid w:val="00085604"/>
    <w:rsid w:val="00085FF4"/>
    <w:rsid w:val="0008647A"/>
    <w:rsid w:val="000865A9"/>
    <w:rsid w:val="00086910"/>
    <w:rsid w:val="00087411"/>
    <w:rsid w:val="000876D2"/>
    <w:rsid w:val="00087A3B"/>
    <w:rsid w:val="00090508"/>
    <w:rsid w:val="00090C65"/>
    <w:rsid w:val="00090ECA"/>
    <w:rsid w:val="00091371"/>
    <w:rsid w:val="000916F6"/>
    <w:rsid w:val="00091C63"/>
    <w:rsid w:val="0009211B"/>
    <w:rsid w:val="000929AD"/>
    <w:rsid w:val="00094B4C"/>
    <w:rsid w:val="00096059"/>
    <w:rsid w:val="000969B1"/>
    <w:rsid w:val="0009745B"/>
    <w:rsid w:val="000979EC"/>
    <w:rsid w:val="00097ACA"/>
    <w:rsid w:val="000A03DB"/>
    <w:rsid w:val="000A0CF2"/>
    <w:rsid w:val="000A0E95"/>
    <w:rsid w:val="000A0F88"/>
    <w:rsid w:val="000A12D8"/>
    <w:rsid w:val="000A1F6E"/>
    <w:rsid w:val="000A2315"/>
    <w:rsid w:val="000A36E8"/>
    <w:rsid w:val="000A4F91"/>
    <w:rsid w:val="000A5029"/>
    <w:rsid w:val="000A567E"/>
    <w:rsid w:val="000A6A91"/>
    <w:rsid w:val="000A6C4D"/>
    <w:rsid w:val="000A727C"/>
    <w:rsid w:val="000A79F1"/>
    <w:rsid w:val="000A7B48"/>
    <w:rsid w:val="000A7DA1"/>
    <w:rsid w:val="000A7EF8"/>
    <w:rsid w:val="000B0046"/>
    <w:rsid w:val="000B0605"/>
    <w:rsid w:val="000B0A73"/>
    <w:rsid w:val="000B1678"/>
    <w:rsid w:val="000B18F8"/>
    <w:rsid w:val="000B1ED0"/>
    <w:rsid w:val="000B1F3C"/>
    <w:rsid w:val="000B2B0C"/>
    <w:rsid w:val="000B310A"/>
    <w:rsid w:val="000B5124"/>
    <w:rsid w:val="000B5D1D"/>
    <w:rsid w:val="000B69AE"/>
    <w:rsid w:val="000B7623"/>
    <w:rsid w:val="000B7F3C"/>
    <w:rsid w:val="000C0A08"/>
    <w:rsid w:val="000C0A3F"/>
    <w:rsid w:val="000C0B29"/>
    <w:rsid w:val="000C1304"/>
    <w:rsid w:val="000C1A6C"/>
    <w:rsid w:val="000C1E10"/>
    <w:rsid w:val="000C1E64"/>
    <w:rsid w:val="000C1FC8"/>
    <w:rsid w:val="000C3882"/>
    <w:rsid w:val="000C3894"/>
    <w:rsid w:val="000C397F"/>
    <w:rsid w:val="000C3999"/>
    <w:rsid w:val="000C3F8C"/>
    <w:rsid w:val="000C58E2"/>
    <w:rsid w:val="000C6112"/>
    <w:rsid w:val="000C6D1A"/>
    <w:rsid w:val="000C726F"/>
    <w:rsid w:val="000C7491"/>
    <w:rsid w:val="000C78A8"/>
    <w:rsid w:val="000D0709"/>
    <w:rsid w:val="000D0AE2"/>
    <w:rsid w:val="000D0DD1"/>
    <w:rsid w:val="000D26F2"/>
    <w:rsid w:val="000D4FE4"/>
    <w:rsid w:val="000D50D8"/>
    <w:rsid w:val="000D5448"/>
    <w:rsid w:val="000D5AD3"/>
    <w:rsid w:val="000D5EA6"/>
    <w:rsid w:val="000D5FE0"/>
    <w:rsid w:val="000D6F4B"/>
    <w:rsid w:val="000D7063"/>
    <w:rsid w:val="000D723D"/>
    <w:rsid w:val="000D7AEA"/>
    <w:rsid w:val="000D7AFD"/>
    <w:rsid w:val="000D7E38"/>
    <w:rsid w:val="000E0028"/>
    <w:rsid w:val="000E08D0"/>
    <w:rsid w:val="000E0A3E"/>
    <w:rsid w:val="000E0D71"/>
    <w:rsid w:val="000E18A9"/>
    <w:rsid w:val="000E22AC"/>
    <w:rsid w:val="000E2FC9"/>
    <w:rsid w:val="000E30F9"/>
    <w:rsid w:val="000E36D9"/>
    <w:rsid w:val="000E3E5F"/>
    <w:rsid w:val="000E5E1A"/>
    <w:rsid w:val="000E6BC6"/>
    <w:rsid w:val="000E7795"/>
    <w:rsid w:val="000F02AE"/>
    <w:rsid w:val="000F07DC"/>
    <w:rsid w:val="000F0CCE"/>
    <w:rsid w:val="000F1A50"/>
    <w:rsid w:val="000F1DE5"/>
    <w:rsid w:val="000F2534"/>
    <w:rsid w:val="000F26CF"/>
    <w:rsid w:val="000F2AEC"/>
    <w:rsid w:val="000F32E0"/>
    <w:rsid w:val="000F3664"/>
    <w:rsid w:val="000F37A5"/>
    <w:rsid w:val="000F4586"/>
    <w:rsid w:val="000F46F8"/>
    <w:rsid w:val="000F5FCE"/>
    <w:rsid w:val="000F6384"/>
    <w:rsid w:val="000F63F7"/>
    <w:rsid w:val="000F65B0"/>
    <w:rsid w:val="000F6BD4"/>
    <w:rsid w:val="000F7E5B"/>
    <w:rsid w:val="0010004E"/>
    <w:rsid w:val="00101368"/>
    <w:rsid w:val="001024C0"/>
    <w:rsid w:val="00102F82"/>
    <w:rsid w:val="00103598"/>
    <w:rsid w:val="00104CD1"/>
    <w:rsid w:val="0010593E"/>
    <w:rsid w:val="00105F46"/>
    <w:rsid w:val="0010683D"/>
    <w:rsid w:val="0010686A"/>
    <w:rsid w:val="00107173"/>
    <w:rsid w:val="00107910"/>
    <w:rsid w:val="00110939"/>
    <w:rsid w:val="00110C34"/>
    <w:rsid w:val="00110CC3"/>
    <w:rsid w:val="00111B3B"/>
    <w:rsid w:val="00112F7F"/>
    <w:rsid w:val="00115861"/>
    <w:rsid w:val="00115AD3"/>
    <w:rsid w:val="00116702"/>
    <w:rsid w:val="00116BF6"/>
    <w:rsid w:val="00116FB3"/>
    <w:rsid w:val="001172E7"/>
    <w:rsid w:val="001175D5"/>
    <w:rsid w:val="0012019F"/>
    <w:rsid w:val="001205F2"/>
    <w:rsid w:val="00120AF6"/>
    <w:rsid w:val="00120D17"/>
    <w:rsid w:val="00120D83"/>
    <w:rsid w:val="00121411"/>
    <w:rsid w:val="00121FA7"/>
    <w:rsid w:val="00122435"/>
    <w:rsid w:val="0012248F"/>
    <w:rsid w:val="00122E55"/>
    <w:rsid w:val="00123BD2"/>
    <w:rsid w:val="001251A2"/>
    <w:rsid w:val="00125545"/>
    <w:rsid w:val="001260D3"/>
    <w:rsid w:val="00126EE4"/>
    <w:rsid w:val="00126F9A"/>
    <w:rsid w:val="0012707C"/>
    <w:rsid w:val="00127214"/>
    <w:rsid w:val="001305A9"/>
    <w:rsid w:val="00130657"/>
    <w:rsid w:val="001310CF"/>
    <w:rsid w:val="00131BDA"/>
    <w:rsid w:val="00131F44"/>
    <w:rsid w:val="001323D0"/>
    <w:rsid w:val="00132B17"/>
    <w:rsid w:val="0013376C"/>
    <w:rsid w:val="00134324"/>
    <w:rsid w:val="001343B3"/>
    <w:rsid w:val="00134429"/>
    <w:rsid w:val="00134C5D"/>
    <w:rsid w:val="001350E2"/>
    <w:rsid w:val="00136072"/>
    <w:rsid w:val="00136147"/>
    <w:rsid w:val="001367B2"/>
    <w:rsid w:val="001367EE"/>
    <w:rsid w:val="001375E3"/>
    <w:rsid w:val="00140413"/>
    <w:rsid w:val="00142484"/>
    <w:rsid w:val="00142A8A"/>
    <w:rsid w:val="00142BE2"/>
    <w:rsid w:val="00142CE8"/>
    <w:rsid w:val="00142F65"/>
    <w:rsid w:val="001434DF"/>
    <w:rsid w:val="0014506C"/>
    <w:rsid w:val="00145222"/>
    <w:rsid w:val="001455C2"/>
    <w:rsid w:val="001455F7"/>
    <w:rsid w:val="001470D0"/>
    <w:rsid w:val="00147FD4"/>
    <w:rsid w:val="001501F8"/>
    <w:rsid w:val="001509F0"/>
    <w:rsid w:val="00151770"/>
    <w:rsid w:val="001519AF"/>
    <w:rsid w:val="00151AE1"/>
    <w:rsid w:val="00151CC3"/>
    <w:rsid w:val="001531A8"/>
    <w:rsid w:val="00154125"/>
    <w:rsid w:val="00154207"/>
    <w:rsid w:val="001548C4"/>
    <w:rsid w:val="00154CCC"/>
    <w:rsid w:val="00154FF5"/>
    <w:rsid w:val="00155615"/>
    <w:rsid w:val="00155954"/>
    <w:rsid w:val="0015651D"/>
    <w:rsid w:val="0015659E"/>
    <w:rsid w:val="00156FED"/>
    <w:rsid w:val="0016005B"/>
    <w:rsid w:val="001611DE"/>
    <w:rsid w:val="00161265"/>
    <w:rsid w:val="00161BD6"/>
    <w:rsid w:val="001626E8"/>
    <w:rsid w:val="00165678"/>
    <w:rsid w:val="00165BA7"/>
    <w:rsid w:val="00165F87"/>
    <w:rsid w:val="00166456"/>
    <w:rsid w:val="00166701"/>
    <w:rsid w:val="00166814"/>
    <w:rsid w:val="00166965"/>
    <w:rsid w:val="00166D66"/>
    <w:rsid w:val="00167934"/>
    <w:rsid w:val="00170380"/>
    <w:rsid w:val="0017118F"/>
    <w:rsid w:val="0017170E"/>
    <w:rsid w:val="00171A85"/>
    <w:rsid w:val="001749E4"/>
    <w:rsid w:val="00174E65"/>
    <w:rsid w:val="00176475"/>
    <w:rsid w:val="00176532"/>
    <w:rsid w:val="001766FC"/>
    <w:rsid w:val="001767FA"/>
    <w:rsid w:val="00176827"/>
    <w:rsid w:val="00176B63"/>
    <w:rsid w:val="00177910"/>
    <w:rsid w:val="00180886"/>
    <w:rsid w:val="00180B6B"/>
    <w:rsid w:val="00181187"/>
    <w:rsid w:val="0018271F"/>
    <w:rsid w:val="00182E54"/>
    <w:rsid w:val="00182EAD"/>
    <w:rsid w:val="00183938"/>
    <w:rsid w:val="00183B27"/>
    <w:rsid w:val="00184FAE"/>
    <w:rsid w:val="001861F4"/>
    <w:rsid w:val="0018704C"/>
    <w:rsid w:val="001874D0"/>
    <w:rsid w:val="00187C4F"/>
    <w:rsid w:val="00187EAA"/>
    <w:rsid w:val="00190528"/>
    <w:rsid w:val="00191D34"/>
    <w:rsid w:val="0019358A"/>
    <w:rsid w:val="00195124"/>
    <w:rsid w:val="00195871"/>
    <w:rsid w:val="00196370"/>
    <w:rsid w:val="00197F22"/>
    <w:rsid w:val="001A05E8"/>
    <w:rsid w:val="001A0E24"/>
    <w:rsid w:val="001A287B"/>
    <w:rsid w:val="001A28FB"/>
    <w:rsid w:val="001A37B0"/>
    <w:rsid w:val="001A4896"/>
    <w:rsid w:val="001A4F08"/>
    <w:rsid w:val="001A5422"/>
    <w:rsid w:val="001A6096"/>
    <w:rsid w:val="001A6AB9"/>
    <w:rsid w:val="001A6EB0"/>
    <w:rsid w:val="001A7D30"/>
    <w:rsid w:val="001B065B"/>
    <w:rsid w:val="001B13AB"/>
    <w:rsid w:val="001B1C2D"/>
    <w:rsid w:val="001B2C9A"/>
    <w:rsid w:val="001B39B4"/>
    <w:rsid w:val="001B48DB"/>
    <w:rsid w:val="001B50CB"/>
    <w:rsid w:val="001B533B"/>
    <w:rsid w:val="001B5368"/>
    <w:rsid w:val="001B54C6"/>
    <w:rsid w:val="001B6D05"/>
    <w:rsid w:val="001B73A3"/>
    <w:rsid w:val="001C0C11"/>
    <w:rsid w:val="001C1B04"/>
    <w:rsid w:val="001C1DC6"/>
    <w:rsid w:val="001C37A9"/>
    <w:rsid w:val="001C527D"/>
    <w:rsid w:val="001C57A4"/>
    <w:rsid w:val="001C5D76"/>
    <w:rsid w:val="001C65AC"/>
    <w:rsid w:val="001C6828"/>
    <w:rsid w:val="001C6C8A"/>
    <w:rsid w:val="001C6DBB"/>
    <w:rsid w:val="001C738F"/>
    <w:rsid w:val="001C7F44"/>
    <w:rsid w:val="001D0272"/>
    <w:rsid w:val="001D1838"/>
    <w:rsid w:val="001D197A"/>
    <w:rsid w:val="001D1EE3"/>
    <w:rsid w:val="001D280F"/>
    <w:rsid w:val="001D4561"/>
    <w:rsid w:val="001D4678"/>
    <w:rsid w:val="001D4C65"/>
    <w:rsid w:val="001D5753"/>
    <w:rsid w:val="001D5BEA"/>
    <w:rsid w:val="001D5F7F"/>
    <w:rsid w:val="001D625E"/>
    <w:rsid w:val="001D6C93"/>
    <w:rsid w:val="001D6E4E"/>
    <w:rsid w:val="001D734C"/>
    <w:rsid w:val="001D7609"/>
    <w:rsid w:val="001D76FA"/>
    <w:rsid w:val="001D799A"/>
    <w:rsid w:val="001D7B05"/>
    <w:rsid w:val="001D7FC5"/>
    <w:rsid w:val="001E24A5"/>
    <w:rsid w:val="001E2942"/>
    <w:rsid w:val="001E2C6D"/>
    <w:rsid w:val="001E376E"/>
    <w:rsid w:val="001E3BEE"/>
    <w:rsid w:val="001E494C"/>
    <w:rsid w:val="001E4A3B"/>
    <w:rsid w:val="001E5522"/>
    <w:rsid w:val="001E5584"/>
    <w:rsid w:val="001E5BA0"/>
    <w:rsid w:val="001E64E7"/>
    <w:rsid w:val="001E7CB6"/>
    <w:rsid w:val="001E7E22"/>
    <w:rsid w:val="001F00B0"/>
    <w:rsid w:val="001F08A0"/>
    <w:rsid w:val="001F11AF"/>
    <w:rsid w:val="001F138F"/>
    <w:rsid w:val="001F1392"/>
    <w:rsid w:val="001F1A0F"/>
    <w:rsid w:val="001F1D8C"/>
    <w:rsid w:val="001F1F13"/>
    <w:rsid w:val="001F24F3"/>
    <w:rsid w:val="001F27B8"/>
    <w:rsid w:val="001F27D7"/>
    <w:rsid w:val="001F291E"/>
    <w:rsid w:val="001F2B2F"/>
    <w:rsid w:val="001F2C50"/>
    <w:rsid w:val="001F382E"/>
    <w:rsid w:val="001F49EF"/>
    <w:rsid w:val="001F6318"/>
    <w:rsid w:val="001F6911"/>
    <w:rsid w:val="001F7D48"/>
    <w:rsid w:val="00200A5E"/>
    <w:rsid w:val="00200ED8"/>
    <w:rsid w:val="002011E7"/>
    <w:rsid w:val="002014DF"/>
    <w:rsid w:val="002025B1"/>
    <w:rsid w:val="002028A5"/>
    <w:rsid w:val="00202B06"/>
    <w:rsid w:val="002034F2"/>
    <w:rsid w:val="0020367A"/>
    <w:rsid w:val="00203C0A"/>
    <w:rsid w:val="00203D1C"/>
    <w:rsid w:val="002041D9"/>
    <w:rsid w:val="002046F6"/>
    <w:rsid w:val="00204C13"/>
    <w:rsid w:val="00204F28"/>
    <w:rsid w:val="00205664"/>
    <w:rsid w:val="0020631A"/>
    <w:rsid w:val="0020643F"/>
    <w:rsid w:val="002067A9"/>
    <w:rsid w:val="00206F1C"/>
    <w:rsid w:val="00207A46"/>
    <w:rsid w:val="00207B4F"/>
    <w:rsid w:val="00207E27"/>
    <w:rsid w:val="00210542"/>
    <w:rsid w:val="00211269"/>
    <w:rsid w:val="0021262E"/>
    <w:rsid w:val="00213B32"/>
    <w:rsid w:val="00214030"/>
    <w:rsid w:val="002149B2"/>
    <w:rsid w:val="00214C59"/>
    <w:rsid w:val="002153D8"/>
    <w:rsid w:val="00215C85"/>
    <w:rsid w:val="00216351"/>
    <w:rsid w:val="00217A74"/>
    <w:rsid w:val="002200D8"/>
    <w:rsid w:val="002216AD"/>
    <w:rsid w:val="00221AFA"/>
    <w:rsid w:val="00221F56"/>
    <w:rsid w:val="00222A04"/>
    <w:rsid w:val="00222D39"/>
    <w:rsid w:val="00222ED1"/>
    <w:rsid w:val="00223346"/>
    <w:rsid w:val="0022371C"/>
    <w:rsid w:val="00223F5A"/>
    <w:rsid w:val="002246A5"/>
    <w:rsid w:val="00224C5A"/>
    <w:rsid w:val="00224FDD"/>
    <w:rsid w:val="0022673E"/>
    <w:rsid w:val="00226F5E"/>
    <w:rsid w:val="002277CA"/>
    <w:rsid w:val="00227805"/>
    <w:rsid w:val="0022788E"/>
    <w:rsid w:val="002279E8"/>
    <w:rsid w:val="002300FC"/>
    <w:rsid w:val="0023010A"/>
    <w:rsid w:val="002308D7"/>
    <w:rsid w:val="002310D1"/>
    <w:rsid w:val="002320E2"/>
    <w:rsid w:val="00233102"/>
    <w:rsid w:val="00233C3A"/>
    <w:rsid w:val="00234D18"/>
    <w:rsid w:val="0023503C"/>
    <w:rsid w:val="00235280"/>
    <w:rsid w:val="00235349"/>
    <w:rsid w:val="00235561"/>
    <w:rsid w:val="002357DD"/>
    <w:rsid w:val="00235ED1"/>
    <w:rsid w:val="00236C3D"/>
    <w:rsid w:val="00236E50"/>
    <w:rsid w:val="0023714F"/>
    <w:rsid w:val="00237482"/>
    <w:rsid w:val="00237AB2"/>
    <w:rsid w:val="0024080A"/>
    <w:rsid w:val="0024189A"/>
    <w:rsid w:val="00241F39"/>
    <w:rsid w:val="00242C41"/>
    <w:rsid w:val="00243537"/>
    <w:rsid w:val="002437FC"/>
    <w:rsid w:val="00243A29"/>
    <w:rsid w:val="00243FE2"/>
    <w:rsid w:val="002444FB"/>
    <w:rsid w:val="002449AC"/>
    <w:rsid w:val="00244AFB"/>
    <w:rsid w:val="00244B74"/>
    <w:rsid w:val="00244F04"/>
    <w:rsid w:val="00245B28"/>
    <w:rsid w:val="00246098"/>
    <w:rsid w:val="002463D5"/>
    <w:rsid w:val="00247434"/>
    <w:rsid w:val="00247A3E"/>
    <w:rsid w:val="00247CF0"/>
    <w:rsid w:val="00247D6B"/>
    <w:rsid w:val="0025137A"/>
    <w:rsid w:val="002516C5"/>
    <w:rsid w:val="00251A27"/>
    <w:rsid w:val="0025202A"/>
    <w:rsid w:val="0025272D"/>
    <w:rsid w:val="00252C48"/>
    <w:rsid w:val="0025301C"/>
    <w:rsid w:val="00253034"/>
    <w:rsid w:val="002537F4"/>
    <w:rsid w:val="00253CDF"/>
    <w:rsid w:val="00254210"/>
    <w:rsid w:val="0025424F"/>
    <w:rsid w:val="00254FD5"/>
    <w:rsid w:val="00255C5C"/>
    <w:rsid w:val="00256124"/>
    <w:rsid w:val="002564A2"/>
    <w:rsid w:val="002567A4"/>
    <w:rsid w:val="00256C3E"/>
    <w:rsid w:val="00257294"/>
    <w:rsid w:val="00257814"/>
    <w:rsid w:val="00257DCF"/>
    <w:rsid w:val="0026012A"/>
    <w:rsid w:val="00260A7E"/>
    <w:rsid w:val="00261321"/>
    <w:rsid w:val="00262B87"/>
    <w:rsid w:val="002644AB"/>
    <w:rsid w:val="00264C24"/>
    <w:rsid w:val="00265699"/>
    <w:rsid w:val="00265AD5"/>
    <w:rsid w:val="00265F88"/>
    <w:rsid w:val="00265FFB"/>
    <w:rsid w:val="0026639D"/>
    <w:rsid w:val="00266AB1"/>
    <w:rsid w:val="00266C1B"/>
    <w:rsid w:val="00266C52"/>
    <w:rsid w:val="00267452"/>
    <w:rsid w:val="002703A1"/>
    <w:rsid w:val="002705FF"/>
    <w:rsid w:val="0027220D"/>
    <w:rsid w:val="0027239D"/>
    <w:rsid w:val="002727F8"/>
    <w:rsid w:val="00272AB4"/>
    <w:rsid w:val="00272BC2"/>
    <w:rsid w:val="0027317F"/>
    <w:rsid w:val="0027322B"/>
    <w:rsid w:val="002732FC"/>
    <w:rsid w:val="00274074"/>
    <w:rsid w:val="00274517"/>
    <w:rsid w:val="002745A9"/>
    <w:rsid w:val="002753EF"/>
    <w:rsid w:val="0027563E"/>
    <w:rsid w:val="00276838"/>
    <w:rsid w:val="00280000"/>
    <w:rsid w:val="002816E4"/>
    <w:rsid w:val="00281F03"/>
    <w:rsid w:val="00282DB1"/>
    <w:rsid w:val="00282F6C"/>
    <w:rsid w:val="002831A4"/>
    <w:rsid w:val="002854C3"/>
    <w:rsid w:val="002857B2"/>
    <w:rsid w:val="00285825"/>
    <w:rsid w:val="002860B9"/>
    <w:rsid w:val="0028638A"/>
    <w:rsid w:val="0028699B"/>
    <w:rsid w:val="0028790B"/>
    <w:rsid w:val="0029011F"/>
    <w:rsid w:val="0029087C"/>
    <w:rsid w:val="002908DC"/>
    <w:rsid w:val="00290D81"/>
    <w:rsid w:val="00291D5C"/>
    <w:rsid w:val="0029360F"/>
    <w:rsid w:val="00293825"/>
    <w:rsid w:val="00294A23"/>
    <w:rsid w:val="002975E0"/>
    <w:rsid w:val="00297B51"/>
    <w:rsid w:val="00297CE2"/>
    <w:rsid w:val="00297EE3"/>
    <w:rsid w:val="00297F07"/>
    <w:rsid w:val="002A0ACA"/>
    <w:rsid w:val="002A1069"/>
    <w:rsid w:val="002A140C"/>
    <w:rsid w:val="002A1416"/>
    <w:rsid w:val="002A15A6"/>
    <w:rsid w:val="002A2756"/>
    <w:rsid w:val="002A2C95"/>
    <w:rsid w:val="002A4CA2"/>
    <w:rsid w:val="002A5026"/>
    <w:rsid w:val="002A5115"/>
    <w:rsid w:val="002A5369"/>
    <w:rsid w:val="002A53F7"/>
    <w:rsid w:val="002A653E"/>
    <w:rsid w:val="002A6838"/>
    <w:rsid w:val="002A68B1"/>
    <w:rsid w:val="002A72AC"/>
    <w:rsid w:val="002B050F"/>
    <w:rsid w:val="002B1C3B"/>
    <w:rsid w:val="002B1DD1"/>
    <w:rsid w:val="002B2942"/>
    <w:rsid w:val="002B2C55"/>
    <w:rsid w:val="002B415C"/>
    <w:rsid w:val="002B41D6"/>
    <w:rsid w:val="002B44EF"/>
    <w:rsid w:val="002B5516"/>
    <w:rsid w:val="002B66AE"/>
    <w:rsid w:val="002B66F4"/>
    <w:rsid w:val="002B6756"/>
    <w:rsid w:val="002B6B9C"/>
    <w:rsid w:val="002B6FD7"/>
    <w:rsid w:val="002B7819"/>
    <w:rsid w:val="002B7DC9"/>
    <w:rsid w:val="002C052D"/>
    <w:rsid w:val="002C096C"/>
    <w:rsid w:val="002C0C0D"/>
    <w:rsid w:val="002C1DDF"/>
    <w:rsid w:val="002C2C3E"/>
    <w:rsid w:val="002C305D"/>
    <w:rsid w:val="002C306F"/>
    <w:rsid w:val="002C318A"/>
    <w:rsid w:val="002C3BE8"/>
    <w:rsid w:val="002C3DFE"/>
    <w:rsid w:val="002C4237"/>
    <w:rsid w:val="002C4C98"/>
    <w:rsid w:val="002C4EA2"/>
    <w:rsid w:val="002C4FAE"/>
    <w:rsid w:val="002C50F7"/>
    <w:rsid w:val="002C5408"/>
    <w:rsid w:val="002C5732"/>
    <w:rsid w:val="002D031A"/>
    <w:rsid w:val="002D0BFF"/>
    <w:rsid w:val="002D2764"/>
    <w:rsid w:val="002D4509"/>
    <w:rsid w:val="002D45C4"/>
    <w:rsid w:val="002D4DB0"/>
    <w:rsid w:val="002D4E58"/>
    <w:rsid w:val="002D4ED1"/>
    <w:rsid w:val="002D4FC5"/>
    <w:rsid w:val="002D52A6"/>
    <w:rsid w:val="002D5AB4"/>
    <w:rsid w:val="002D5E02"/>
    <w:rsid w:val="002D6255"/>
    <w:rsid w:val="002D6478"/>
    <w:rsid w:val="002D65CE"/>
    <w:rsid w:val="002D758D"/>
    <w:rsid w:val="002D7643"/>
    <w:rsid w:val="002E07BA"/>
    <w:rsid w:val="002E1748"/>
    <w:rsid w:val="002E1AC8"/>
    <w:rsid w:val="002E23EC"/>
    <w:rsid w:val="002E2E9B"/>
    <w:rsid w:val="002E2ECA"/>
    <w:rsid w:val="002E3144"/>
    <w:rsid w:val="002E3174"/>
    <w:rsid w:val="002E3DFF"/>
    <w:rsid w:val="002E569F"/>
    <w:rsid w:val="002E62D7"/>
    <w:rsid w:val="002E6920"/>
    <w:rsid w:val="002E6F1F"/>
    <w:rsid w:val="002E78F0"/>
    <w:rsid w:val="002F0223"/>
    <w:rsid w:val="002F0E6F"/>
    <w:rsid w:val="002F108C"/>
    <w:rsid w:val="002F1BDC"/>
    <w:rsid w:val="002F2953"/>
    <w:rsid w:val="002F2BFA"/>
    <w:rsid w:val="002F2D8C"/>
    <w:rsid w:val="002F3E13"/>
    <w:rsid w:val="002F4B5F"/>
    <w:rsid w:val="002F4E44"/>
    <w:rsid w:val="002F5C22"/>
    <w:rsid w:val="002F5FCD"/>
    <w:rsid w:val="002F6269"/>
    <w:rsid w:val="002F656F"/>
    <w:rsid w:val="002F6674"/>
    <w:rsid w:val="002F671B"/>
    <w:rsid w:val="002F6826"/>
    <w:rsid w:val="002F6978"/>
    <w:rsid w:val="002F6DB7"/>
    <w:rsid w:val="002F73C6"/>
    <w:rsid w:val="002F795E"/>
    <w:rsid w:val="002F79F9"/>
    <w:rsid w:val="00301FB2"/>
    <w:rsid w:val="0030234A"/>
    <w:rsid w:val="003023E3"/>
    <w:rsid w:val="00303BCA"/>
    <w:rsid w:val="003041C5"/>
    <w:rsid w:val="00304AEC"/>
    <w:rsid w:val="00304F5B"/>
    <w:rsid w:val="00305678"/>
    <w:rsid w:val="00305683"/>
    <w:rsid w:val="003060C1"/>
    <w:rsid w:val="00306143"/>
    <w:rsid w:val="003063C2"/>
    <w:rsid w:val="003065CC"/>
    <w:rsid w:val="00307106"/>
    <w:rsid w:val="00307BBB"/>
    <w:rsid w:val="00307D3D"/>
    <w:rsid w:val="00310363"/>
    <w:rsid w:val="00310EAD"/>
    <w:rsid w:val="0031184C"/>
    <w:rsid w:val="00311900"/>
    <w:rsid w:val="0031196E"/>
    <w:rsid w:val="00311B3C"/>
    <w:rsid w:val="00311FC2"/>
    <w:rsid w:val="0031243A"/>
    <w:rsid w:val="00313081"/>
    <w:rsid w:val="00314BF6"/>
    <w:rsid w:val="00314FA2"/>
    <w:rsid w:val="00316071"/>
    <w:rsid w:val="00317728"/>
    <w:rsid w:val="00317C9E"/>
    <w:rsid w:val="003203B6"/>
    <w:rsid w:val="00320F45"/>
    <w:rsid w:val="003210DA"/>
    <w:rsid w:val="00321482"/>
    <w:rsid w:val="003219BB"/>
    <w:rsid w:val="00321F57"/>
    <w:rsid w:val="00322654"/>
    <w:rsid w:val="003236A2"/>
    <w:rsid w:val="00323D90"/>
    <w:rsid w:val="00324710"/>
    <w:rsid w:val="00324A8F"/>
    <w:rsid w:val="003255F8"/>
    <w:rsid w:val="00325FA8"/>
    <w:rsid w:val="00326256"/>
    <w:rsid w:val="00330081"/>
    <w:rsid w:val="003300DD"/>
    <w:rsid w:val="0033111C"/>
    <w:rsid w:val="00331520"/>
    <w:rsid w:val="003318B6"/>
    <w:rsid w:val="0033194C"/>
    <w:rsid w:val="00331DDB"/>
    <w:rsid w:val="0033227A"/>
    <w:rsid w:val="00332FB4"/>
    <w:rsid w:val="0033303C"/>
    <w:rsid w:val="00333719"/>
    <w:rsid w:val="00333FCC"/>
    <w:rsid w:val="00334182"/>
    <w:rsid w:val="00334220"/>
    <w:rsid w:val="00334DFE"/>
    <w:rsid w:val="00335921"/>
    <w:rsid w:val="00335A9D"/>
    <w:rsid w:val="003360B9"/>
    <w:rsid w:val="003370B8"/>
    <w:rsid w:val="00337678"/>
    <w:rsid w:val="00337CEE"/>
    <w:rsid w:val="00337D53"/>
    <w:rsid w:val="0034192F"/>
    <w:rsid w:val="00341FC4"/>
    <w:rsid w:val="003430FA"/>
    <w:rsid w:val="00343BFF"/>
    <w:rsid w:val="00343FF8"/>
    <w:rsid w:val="003440B5"/>
    <w:rsid w:val="003442BB"/>
    <w:rsid w:val="00344969"/>
    <w:rsid w:val="003449C4"/>
    <w:rsid w:val="003452AF"/>
    <w:rsid w:val="00345353"/>
    <w:rsid w:val="003463CC"/>
    <w:rsid w:val="00346564"/>
    <w:rsid w:val="00346C39"/>
    <w:rsid w:val="003470A9"/>
    <w:rsid w:val="00347376"/>
    <w:rsid w:val="003473DB"/>
    <w:rsid w:val="00347727"/>
    <w:rsid w:val="003501BA"/>
    <w:rsid w:val="003509F3"/>
    <w:rsid w:val="00351147"/>
    <w:rsid w:val="00351326"/>
    <w:rsid w:val="003518E1"/>
    <w:rsid w:val="00351BDA"/>
    <w:rsid w:val="0035299F"/>
    <w:rsid w:val="00352A14"/>
    <w:rsid w:val="0035342F"/>
    <w:rsid w:val="003545DC"/>
    <w:rsid w:val="003550BB"/>
    <w:rsid w:val="0036084E"/>
    <w:rsid w:val="00360DAA"/>
    <w:rsid w:val="00361F30"/>
    <w:rsid w:val="003621BD"/>
    <w:rsid w:val="00362EC9"/>
    <w:rsid w:val="0036337F"/>
    <w:rsid w:val="00363BE0"/>
    <w:rsid w:val="00363F2D"/>
    <w:rsid w:val="003644B7"/>
    <w:rsid w:val="00364931"/>
    <w:rsid w:val="0036579D"/>
    <w:rsid w:val="00366217"/>
    <w:rsid w:val="0036625F"/>
    <w:rsid w:val="003674B4"/>
    <w:rsid w:val="0036761B"/>
    <w:rsid w:val="00370553"/>
    <w:rsid w:val="00370AED"/>
    <w:rsid w:val="00370FFD"/>
    <w:rsid w:val="00371830"/>
    <w:rsid w:val="00372410"/>
    <w:rsid w:val="00372607"/>
    <w:rsid w:val="0037325F"/>
    <w:rsid w:val="00373556"/>
    <w:rsid w:val="00373B7F"/>
    <w:rsid w:val="003753B3"/>
    <w:rsid w:val="00375660"/>
    <w:rsid w:val="00375D97"/>
    <w:rsid w:val="00375E7E"/>
    <w:rsid w:val="0037607F"/>
    <w:rsid w:val="003761E4"/>
    <w:rsid w:val="0038128F"/>
    <w:rsid w:val="00383407"/>
    <w:rsid w:val="00383473"/>
    <w:rsid w:val="00383FF0"/>
    <w:rsid w:val="003841AD"/>
    <w:rsid w:val="00385B32"/>
    <w:rsid w:val="00385F11"/>
    <w:rsid w:val="003866C1"/>
    <w:rsid w:val="003874C1"/>
    <w:rsid w:val="003908CE"/>
    <w:rsid w:val="003909B9"/>
    <w:rsid w:val="00390EF0"/>
    <w:rsid w:val="00391F93"/>
    <w:rsid w:val="0039201C"/>
    <w:rsid w:val="0039248C"/>
    <w:rsid w:val="00392B6F"/>
    <w:rsid w:val="00392E09"/>
    <w:rsid w:val="00392F7B"/>
    <w:rsid w:val="00393156"/>
    <w:rsid w:val="0039402B"/>
    <w:rsid w:val="00394202"/>
    <w:rsid w:val="00394CA2"/>
    <w:rsid w:val="00394DC8"/>
    <w:rsid w:val="00395C87"/>
    <w:rsid w:val="0039638E"/>
    <w:rsid w:val="0039644A"/>
    <w:rsid w:val="003979CD"/>
    <w:rsid w:val="003A07D1"/>
    <w:rsid w:val="003A1EDA"/>
    <w:rsid w:val="003A37CA"/>
    <w:rsid w:val="003A3FC9"/>
    <w:rsid w:val="003A43CF"/>
    <w:rsid w:val="003A4761"/>
    <w:rsid w:val="003A4F3F"/>
    <w:rsid w:val="003A535B"/>
    <w:rsid w:val="003A53EA"/>
    <w:rsid w:val="003A60D1"/>
    <w:rsid w:val="003A659D"/>
    <w:rsid w:val="003A66C0"/>
    <w:rsid w:val="003A66D2"/>
    <w:rsid w:val="003A7ABD"/>
    <w:rsid w:val="003A7CBB"/>
    <w:rsid w:val="003B0D62"/>
    <w:rsid w:val="003B19E0"/>
    <w:rsid w:val="003B2188"/>
    <w:rsid w:val="003B2D0C"/>
    <w:rsid w:val="003B353E"/>
    <w:rsid w:val="003B3A32"/>
    <w:rsid w:val="003B3E57"/>
    <w:rsid w:val="003B477D"/>
    <w:rsid w:val="003B49CB"/>
    <w:rsid w:val="003B4DA8"/>
    <w:rsid w:val="003B624E"/>
    <w:rsid w:val="003B673D"/>
    <w:rsid w:val="003B68D3"/>
    <w:rsid w:val="003B7AB2"/>
    <w:rsid w:val="003C0541"/>
    <w:rsid w:val="003C0CA5"/>
    <w:rsid w:val="003C0CF7"/>
    <w:rsid w:val="003C0D28"/>
    <w:rsid w:val="003C102C"/>
    <w:rsid w:val="003C3780"/>
    <w:rsid w:val="003C3A1E"/>
    <w:rsid w:val="003C4507"/>
    <w:rsid w:val="003C4781"/>
    <w:rsid w:val="003C52ED"/>
    <w:rsid w:val="003C56CE"/>
    <w:rsid w:val="003C6489"/>
    <w:rsid w:val="003C6C1C"/>
    <w:rsid w:val="003C76D0"/>
    <w:rsid w:val="003C7967"/>
    <w:rsid w:val="003C7C40"/>
    <w:rsid w:val="003D14E8"/>
    <w:rsid w:val="003D1AB7"/>
    <w:rsid w:val="003D1FFD"/>
    <w:rsid w:val="003D2168"/>
    <w:rsid w:val="003D254A"/>
    <w:rsid w:val="003D27C7"/>
    <w:rsid w:val="003D2980"/>
    <w:rsid w:val="003D2A2A"/>
    <w:rsid w:val="003D2AD4"/>
    <w:rsid w:val="003D2CA6"/>
    <w:rsid w:val="003D2D9A"/>
    <w:rsid w:val="003D2E21"/>
    <w:rsid w:val="003D39D7"/>
    <w:rsid w:val="003D3A2D"/>
    <w:rsid w:val="003D3B03"/>
    <w:rsid w:val="003D3DD8"/>
    <w:rsid w:val="003D4FF4"/>
    <w:rsid w:val="003D52DA"/>
    <w:rsid w:val="003D5CF9"/>
    <w:rsid w:val="003D5F61"/>
    <w:rsid w:val="003D67D0"/>
    <w:rsid w:val="003D6A84"/>
    <w:rsid w:val="003D748A"/>
    <w:rsid w:val="003E1F3C"/>
    <w:rsid w:val="003E2075"/>
    <w:rsid w:val="003E263B"/>
    <w:rsid w:val="003E2A4C"/>
    <w:rsid w:val="003E37BE"/>
    <w:rsid w:val="003E4303"/>
    <w:rsid w:val="003E438C"/>
    <w:rsid w:val="003E5846"/>
    <w:rsid w:val="003E5859"/>
    <w:rsid w:val="003E59ED"/>
    <w:rsid w:val="003E6695"/>
    <w:rsid w:val="003E6782"/>
    <w:rsid w:val="003E6A6E"/>
    <w:rsid w:val="003E7AC8"/>
    <w:rsid w:val="003E7E7F"/>
    <w:rsid w:val="003F0374"/>
    <w:rsid w:val="003F08B2"/>
    <w:rsid w:val="003F0C98"/>
    <w:rsid w:val="003F18F2"/>
    <w:rsid w:val="003F2155"/>
    <w:rsid w:val="003F256B"/>
    <w:rsid w:val="003F27AC"/>
    <w:rsid w:val="003F2AB2"/>
    <w:rsid w:val="003F4810"/>
    <w:rsid w:val="003F51A3"/>
    <w:rsid w:val="003F599B"/>
    <w:rsid w:val="003F5BEB"/>
    <w:rsid w:val="003F6A2E"/>
    <w:rsid w:val="003F6D45"/>
    <w:rsid w:val="003F71C0"/>
    <w:rsid w:val="003F743B"/>
    <w:rsid w:val="003F7827"/>
    <w:rsid w:val="004004D4"/>
    <w:rsid w:val="00400AB7"/>
    <w:rsid w:val="00400E07"/>
    <w:rsid w:val="00400EA1"/>
    <w:rsid w:val="004016CD"/>
    <w:rsid w:val="004016E9"/>
    <w:rsid w:val="004017F0"/>
    <w:rsid w:val="00401866"/>
    <w:rsid w:val="00401A5D"/>
    <w:rsid w:val="00401C74"/>
    <w:rsid w:val="00401D43"/>
    <w:rsid w:val="00401DF1"/>
    <w:rsid w:val="004026A8"/>
    <w:rsid w:val="00403385"/>
    <w:rsid w:val="004036DD"/>
    <w:rsid w:val="004038C9"/>
    <w:rsid w:val="00403C09"/>
    <w:rsid w:val="00404A26"/>
    <w:rsid w:val="00405019"/>
    <w:rsid w:val="00405176"/>
    <w:rsid w:val="0040521A"/>
    <w:rsid w:val="004060AA"/>
    <w:rsid w:val="004060F5"/>
    <w:rsid w:val="0040633E"/>
    <w:rsid w:val="004079DF"/>
    <w:rsid w:val="00411D5E"/>
    <w:rsid w:val="00412267"/>
    <w:rsid w:val="0041261B"/>
    <w:rsid w:val="00412CE5"/>
    <w:rsid w:val="0041307C"/>
    <w:rsid w:val="0041359D"/>
    <w:rsid w:val="00413B33"/>
    <w:rsid w:val="00413B48"/>
    <w:rsid w:val="004140BF"/>
    <w:rsid w:val="004146D3"/>
    <w:rsid w:val="00414EB9"/>
    <w:rsid w:val="0041509C"/>
    <w:rsid w:val="004158DA"/>
    <w:rsid w:val="00415E01"/>
    <w:rsid w:val="004162EE"/>
    <w:rsid w:val="004178D9"/>
    <w:rsid w:val="00417DA9"/>
    <w:rsid w:val="0042051F"/>
    <w:rsid w:val="00420810"/>
    <w:rsid w:val="004208CC"/>
    <w:rsid w:val="00420BB3"/>
    <w:rsid w:val="00420D89"/>
    <w:rsid w:val="00420DC3"/>
    <w:rsid w:val="00421022"/>
    <w:rsid w:val="00421340"/>
    <w:rsid w:val="00421A47"/>
    <w:rsid w:val="00422DC1"/>
    <w:rsid w:val="00423603"/>
    <w:rsid w:val="00423845"/>
    <w:rsid w:val="004240DB"/>
    <w:rsid w:val="0042459C"/>
    <w:rsid w:val="00424672"/>
    <w:rsid w:val="004248DE"/>
    <w:rsid w:val="00425783"/>
    <w:rsid w:val="00425E8F"/>
    <w:rsid w:val="0042655C"/>
    <w:rsid w:val="00426D2F"/>
    <w:rsid w:val="0042726D"/>
    <w:rsid w:val="004273B6"/>
    <w:rsid w:val="004279CD"/>
    <w:rsid w:val="004304A1"/>
    <w:rsid w:val="004305AA"/>
    <w:rsid w:val="00430C66"/>
    <w:rsid w:val="0043195F"/>
    <w:rsid w:val="00431A02"/>
    <w:rsid w:val="00431F42"/>
    <w:rsid w:val="00432562"/>
    <w:rsid w:val="00432D68"/>
    <w:rsid w:val="00432DD0"/>
    <w:rsid w:val="0043347E"/>
    <w:rsid w:val="00433FF3"/>
    <w:rsid w:val="004345AB"/>
    <w:rsid w:val="00434E18"/>
    <w:rsid w:val="0043700E"/>
    <w:rsid w:val="00437630"/>
    <w:rsid w:val="004376AD"/>
    <w:rsid w:val="00440305"/>
    <w:rsid w:val="004404D8"/>
    <w:rsid w:val="004406C7"/>
    <w:rsid w:val="004409D5"/>
    <w:rsid w:val="00440EA9"/>
    <w:rsid w:val="00441752"/>
    <w:rsid w:val="00441816"/>
    <w:rsid w:val="0044185B"/>
    <w:rsid w:val="00441A04"/>
    <w:rsid w:val="00442254"/>
    <w:rsid w:val="00442D64"/>
    <w:rsid w:val="004431C8"/>
    <w:rsid w:val="00443783"/>
    <w:rsid w:val="00443805"/>
    <w:rsid w:val="004438E3"/>
    <w:rsid w:val="00443A4A"/>
    <w:rsid w:val="00443CD0"/>
    <w:rsid w:val="00444025"/>
    <w:rsid w:val="004442FC"/>
    <w:rsid w:val="004447B5"/>
    <w:rsid w:val="00444AA1"/>
    <w:rsid w:val="00445E36"/>
    <w:rsid w:val="00445F17"/>
    <w:rsid w:val="004461A6"/>
    <w:rsid w:val="00446ACA"/>
    <w:rsid w:val="00446E0C"/>
    <w:rsid w:val="00446F7A"/>
    <w:rsid w:val="00447663"/>
    <w:rsid w:val="004476DE"/>
    <w:rsid w:val="00447ABE"/>
    <w:rsid w:val="0045004C"/>
    <w:rsid w:val="004502AF"/>
    <w:rsid w:val="004503C5"/>
    <w:rsid w:val="00451B16"/>
    <w:rsid w:val="00452686"/>
    <w:rsid w:val="004528A8"/>
    <w:rsid w:val="00452977"/>
    <w:rsid w:val="004533B7"/>
    <w:rsid w:val="00454652"/>
    <w:rsid w:val="00454F2C"/>
    <w:rsid w:val="0045545D"/>
    <w:rsid w:val="004556DC"/>
    <w:rsid w:val="00456273"/>
    <w:rsid w:val="004569E7"/>
    <w:rsid w:val="00456DAE"/>
    <w:rsid w:val="00457120"/>
    <w:rsid w:val="00460556"/>
    <w:rsid w:val="00460732"/>
    <w:rsid w:val="004616B2"/>
    <w:rsid w:val="0046381D"/>
    <w:rsid w:val="0046440C"/>
    <w:rsid w:val="0046518E"/>
    <w:rsid w:val="004665B1"/>
    <w:rsid w:val="00467A38"/>
    <w:rsid w:val="00467D71"/>
    <w:rsid w:val="004709E6"/>
    <w:rsid w:val="004711EC"/>
    <w:rsid w:val="00471466"/>
    <w:rsid w:val="004719AF"/>
    <w:rsid w:val="004720CC"/>
    <w:rsid w:val="004723E3"/>
    <w:rsid w:val="00473060"/>
    <w:rsid w:val="00473427"/>
    <w:rsid w:val="00473738"/>
    <w:rsid w:val="00473941"/>
    <w:rsid w:val="00474153"/>
    <w:rsid w:val="00474EA6"/>
    <w:rsid w:val="00474FC2"/>
    <w:rsid w:val="00475735"/>
    <w:rsid w:val="00475962"/>
    <w:rsid w:val="00475A73"/>
    <w:rsid w:val="00475D1D"/>
    <w:rsid w:val="00475E66"/>
    <w:rsid w:val="004769DF"/>
    <w:rsid w:val="00476EE5"/>
    <w:rsid w:val="00477464"/>
    <w:rsid w:val="00477709"/>
    <w:rsid w:val="004777FA"/>
    <w:rsid w:val="0048009B"/>
    <w:rsid w:val="00480BA7"/>
    <w:rsid w:val="00481469"/>
    <w:rsid w:val="004815EE"/>
    <w:rsid w:val="00481C06"/>
    <w:rsid w:val="004828ED"/>
    <w:rsid w:val="0048379E"/>
    <w:rsid w:val="00483839"/>
    <w:rsid w:val="00483EAD"/>
    <w:rsid w:val="004870EF"/>
    <w:rsid w:val="00487811"/>
    <w:rsid w:val="004903BC"/>
    <w:rsid w:val="004906E3"/>
    <w:rsid w:val="00490D7E"/>
    <w:rsid w:val="00491805"/>
    <w:rsid w:val="004918E1"/>
    <w:rsid w:val="00491AA9"/>
    <w:rsid w:val="00491BF7"/>
    <w:rsid w:val="004921CC"/>
    <w:rsid w:val="004921EB"/>
    <w:rsid w:val="0049252F"/>
    <w:rsid w:val="00492A46"/>
    <w:rsid w:val="00492B9F"/>
    <w:rsid w:val="00492C8A"/>
    <w:rsid w:val="0049302D"/>
    <w:rsid w:val="004930BF"/>
    <w:rsid w:val="00493AE5"/>
    <w:rsid w:val="00493FCB"/>
    <w:rsid w:val="00494703"/>
    <w:rsid w:val="004947E9"/>
    <w:rsid w:val="004952DD"/>
    <w:rsid w:val="004954EC"/>
    <w:rsid w:val="004955F6"/>
    <w:rsid w:val="004970E5"/>
    <w:rsid w:val="00497285"/>
    <w:rsid w:val="004978EF"/>
    <w:rsid w:val="004A035F"/>
    <w:rsid w:val="004A1EBA"/>
    <w:rsid w:val="004A1F2F"/>
    <w:rsid w:val="004A2A6C"/>
    <w:rsid w:val="004A32F6"/>
    <w:rsid w:val="004A3579"/>
    <w:rsid w:val="004A51D7"/>
    <w:rsid w:val="004A55FF"/>
    <w:rsid w:val="004A58DF"/>
    <w:rsid w:val="004A6233"/>
    <w:rsid w:val="004A74AD"/>
    <w:rsid w:val="004A7F03"/>
    <w:rsid w:val="004B01EF"/>
    <w:rsid w:val="004B04A4"/>
    <w:rsid w:val="004B186A"/>
    <w:rsid w:val="004B1A66"/>
    <w:rsid w:val="004B1CD1"/>
    <w:rsid w:val="004B2AE6"/>
    <w:rsid w:val="004B3204"/>
    <w:rsid w:val="004B3876"/>
    <w:rsid w:val="004B39C1"/>
    <w:rsid w:val="004B3AAF"/>
    <w:rsid w:val="004B4F98"/>
    <w:rsid w:val="004B5671"/>
    <w:rsid w:val="004B5E4E"/>
    <w:rsid w:val="004B69A7"/>
    <w:rsid w:val="004B7074"/>
    <w:rsid w:val="004B71D4"/>
    <w:rsid w:val="004B758A"/>
    <w:rsid w:val="004B7ADC"/>
    <w:rsid w:val="004B7DCF"/>
    <w:rsid w:val="004C0512"/>
    <w:rsid w:val="004C2400"/>
    <w:rsid w:val="004C2BE9"/>
    <w:rsid w:val="004C3463"/>
    <w:rsid w:val="004C3CA9"/>
    <w:rsid w:val="004C4B72"/>
    <w:rsid w:val="004C5271"/>
    <w:rsid w:val="004C555C"/>
    <w:rsid w:val="004C5F48"/>
    <w:rsid w:val="004C6D01"/>
    <w:rsid w:val="004C70FA"/>
    <w:rsid w:val="004C7746"/>
    <w:rsid w:val="004C7A19"/>
    <w:rsid w:val="004D0982"/>
    <w:rsid w:val="004D12A0"/>
    <w:rsid w:val="004D18AC"/>
    <w:rsid w:val="004D2FD0"/>
    <w:rsid w:val="004D3061"/>
    <w:rsid w:val="004D32A8"/>
    <w:rsid w:val="004D32D7"/>
    <w:rsid w:val="004D3A23"/>
    <w:rsid w:val="004D3A58"/>
    <w:rsid w:val="004D46DF"/>
    <w:rsid w:val="004D4986"/>
    <w:rsid w:val="004D5B34"/>
    <w:rsid w:val="004E1244"/>
    <w:rsid w:val="004E1DD3"/>
    <w:rsid w:val="004E2C5E"/>
    <w:rsid w:val="004E2DB0"/>
    <w:rsid w:val="004E2F62"/>
    <w:rsid w:val="004E38FE"/>
    <w:rsid w:val="004E3C3E"/>
    <w:rsid w:val="004E3DBA"/>
    <w:rsid w:val="004E41F5"/>
    <w:rsid w:val="004E494B"/>
    <w:rsid w:val="004E495C"/>
    <w:rsid w:val="004E4ECB"/>
    <w:rsid w:val="004E65FE"/>
    <w:rsid w:val="004E6A59"/>
    <w:rsid w:val="004E70B7"/>
    <w:rsid w:val="004E71ED"/>
    <w:rsid w:val="004E7815"/>
    <w:rsid w:val="004E78A8"/>
    <w:rsid w:val="004E78C0"/>
    <w:rsid w:val="004F168E"/>
    <w:rsid w:val="004F2418"/>
    <w:rsid w:val="004F2436"/>
    <w:rsid w:val="004F24D3"/>
    <w:rsid w:val="004F2CD3"/>
    <w:rsid w:val="004F2F36"/>
    <w:rsid w:val="004F39CB"/>
    <w:rsid w:val="004F3B68"/>
    <w:rsid w:val="004F4142"/>
    <w:rsid w:val="004F4A7C"/>
    <w:rsid w:val="004F4B54"/>
    <w:rsid w:val="004F4ECC"/>
    <w:rsid w:val="004F52B0"/>
    <w:rsid w:val="004F54F4"/>
    <w:rsid w:val="004F5BD4"/>
    <w:rsid w:val="004F5DA4"/>
    <w:rsid w:val="004F5EF6"/>
    <w:rsid w:val="004F62D0"/>
    <w:rsid w:val="004F6D0A"/>
    <w:rsid w:val="004F7350"/>
    <w:rsid w:val="005007F2"/>
    <w:rsid w:val="00500C82"/>
    <w:rsid w:val="00501D2C"/>
    <w:rsid w:val="00502510"/>
    <w:rsid w:val="00502759"/>
    <w:rsid w:val="00502E5C"/>
    <w:rsid w:val="00502EAB"/>
    <w:rsid w:val="00504578"/>
    <w:rsid w:val="00504E82"/>
    <w:rsid w:val="0050710E"/>
    <w:rsid w:val="00507756"/>
    <w:rsid w:val="00507F2A"/>
    <w:rsid w:val="00507F89"/>
    <w:rsid w:val="005102D8"/>
    <w:rsid w:val="00511092"/>
    <w:rsid w:val="00511217"/>
    <w:rsid w:val="00511838"/>
    <w:rsid w:val="00512528"/>
    <w:rsid w:val="0051263D"/>
    <w:rsid w:val="005129A4"/>
    <w:rsid w:val="00513EB3"/>
    <w:rsid w:val="00514269"/>
    <w:rsid w:val="005149C1"/>
    <w:rsid w:val="00515E8C"/>
    <w:rsid w:val="0051682E"/>
    <w:rsid w:val="00517013"/>
    <w:rsid w:val="0051710A"/>
    <w:rsid w:val="00520AA4"/>
    <w:rsid w:val="00522A39"/>
    <w:rsid w:val="00523220"/>
    <w:rsid w:val="0052409B"/>
    <w:rsid w:val="00524624"/>
    <w:rsid w:val="005247AC"/>
    <w:rsid w:val="005251E1"/>
    <w:rsid w:val="005255F0"/>
    <w:rsid w:val="00525BF9"/>
    <w:rsid w:val="00527089"/>
    <w:rsid w:val="00530BFD"/>
    <w:rsid w:val="00530E33"/>
    <w:rsid w:val="0053102C"/>
    <w:rsid w:val="0053108F"/>
    <w:rsid w:val="005314F7"/>
    <w:rsid w:val="00531CB9"/>
    <w:rsid w:val="00532457"/>
    <w:rsid w:val="00532AD7"/>
    <w:rsid w:val="0053339F"/>
    <w:rsid w:val="00533B87"/>
    <w:rsid w:val="005344D6"/>
    <w:rsid w:val="005351CC"/>
    <w:rsid w:val="005351D4"/>
    <w:rsid w:val="0053556C"/>
    <w:rsid w:val="005357E2"/>
    <w:rsid w:val="005357FC"/>
    <w:rsid w:val="005374FF"/>
    <w:rsid w:val="00537BD7"/>
    <w:rsid w:val="00540D63"/>
    <w:rsid w:val="0054325F"/>
    <w:rsid w:val="005441DF"/>
    <w:rsid w:val="00544413"/>
    <w:rsid w:val="005447D3"/>
    <w:rsid w:val="00544F74"/>
    <w:rsid w:val="00545032"/>
    <w:rsid w:val="0054514D"/>
    <w:rsid w:val="005454DB"/>
    <w:rsid w:val="005457E7"/>
    <w:rsid w:val="00546869"/>
    <w:rsid w:val="00546A35"/>
    <w:rsid w:val="00547C26"/>
    <w:rsid w:val="00550EEC"/>
    <w:rsid w:val="00551522"/>
    <w:rsid w:val="005517C7"/>
    <w:rsid w:val="005524AC"/>
    <w:rsid w:val="00553596"/>
    <w:rsid w:val="005542F4"/>
    <w:rsid w:val="005543AB"/>
    <w:rsid w:val="00554A8B"/>
    <w:rsid w:val="005555F3"/>
    <w:rsid w:val="00555AD9"/>
    <w:rsid w:val="0055616A"/>
    <w:rsid w:val="0055688E"/>
    <w:rsid w:val="00556941"/>
    <w:rsid w:val="00556ACC"/>
    <w:rsid w:val="00556ACF"/>
    <w:rsid w:val="0055710F"/>
    <w:rsid w:val="005572E5"/>
    <w:rsid w:val="005573A9"/>
    <w:rsid w:val="00557401"/>
    <w:rsid w:val="00557E7D"/>
    <w:rsid w:val="00560197"/>
    <w:rsid w:val="005602B7"/>
    <w:rsid w:val="005605AD"/>
    <w:rsid w:val="005605F1"/>
    <w:rsid w:val="005607BA"/>
    <w:rsid w:val="00560A9A"/>
    <w:rsid w:val="005610D2"/>
    <w:rsid w:val="005610D9"/>
    <w:rsid w:val="005613F7"/>
    <w:rsid w:val="00561EA5"/>
    <w:rsid w:val="005623A1"/>
    <w:rsid w:val="00563B08"/>
    <w:rsid w:val="00563E3A"/>
    <w:rsid w:val="005640EC"/>
    <w:rsid w:val="0056497D"/>
    <w:rsid w:val="0056499E"/>
    <w:rsid w:val="00564E44"/>
    <w:rsid w:val="00565763"/>
    <w:rsid w:val="00565D09"/>
    <w:rsid w:val="00566605"/>
    <w:rsid w:val="0056691C"/>
    <w:rsid w:val="005669F7"/>
    <w:rsid w:val="00566D4F"/>
    <w:rsid w:val="00567CFA"/>
    <w:rsid w:val="00570109"/>
    <w:rsid w:val="00570385"/>
    <w:rsid w:val="00570F0B"/>
    <w:rsid w:val="005712FE"/>
    <w:rsid w:val="00571318"/>
    <w:rsid w:val="00572268"/>
    <w:rsid w:val="00573179"/>
    <w:rsid w:val="0057342D"/>
    <w:rsid w:val="00573D0B"/>
    <w:rsid w:val="00573D15"/>
    <w:rsid w:val="00574935"/>
    <w:rsid w:val="00575E5D"/>
    <w:rsid w:val="00576DD4"/>
    <w:rsid w:val="005774AB"/>
    <w:rsid w:val="00577B27"/>
    <w:rsid w:val="005808EE"/>
    <w:rsid w:val="00580BA6"/>
    <w:rsid w:val="00580DA9"/>
    <w:rsid w:val="00580EA2"/>
    <w:rsid w:val="005812D7"/>
    <w:rsid w:val="00581BCB"/>
    <w:rsid w:val="00582310"/>
    <w:rsid w:val="00582D32"/>
    <w:rsid w:val="00583B29"/>
    <w:rsid w:val="005844A3"/>
    <w:rsid w:val="005848C3"/>
    <w:rsid w:val="00584BB6"/>
    <w:rsid w:val="00585E93"/>
    <w:rsid w:val="0058691D"/>
    <w:rsid w:val="00587E28"/>
    <w:rsid w:val="00590376"/>
    <w:rsid w:val="00590630"/>
    <w:rsid w:val="00591B4C"/>
    <w:rsid w:val="0059379A"/>
    <w:rsid w:val="00594730"/>
    <w:rsid w:val="00594809"/>
    <w:rsid w:val="005950B2"/>
    <w:rsid w:val="005950F6"/>
    <w:rsid w:val="0059568C"/>
    <w:rsid w:val="0059627F"/>
    <w:rsid w:val="00596627"/>
    <w:rsid w:val="00596911"/>
    <w:rsid w:val="00596E9F"/>
    <w:rsid w:val="00597C8A"/>
    <w:rsid w:val="005A01E5"/>
    <w:rsid w:val="005A0F43"/>
    <w:rsid w:val="005A1176"/>
    <w:rsid w:val="005A18F5"/>
    <w:rsid w:val="005A27D1"/>
    <w:rsid w:val="005A3CFF"/>
    <w:rsid w:val="005A4F5D"/>
    <w:rsid w:val="005A4FBD"/>
    <w:rsid w:val="005A5141"/>
    <w:rsid w:val="005A51D0"/>
    <w:rsid w:val="005A5E18"/>
    <w:rsid w:val="005A5FE5"/>
    <w:rsid w:val="005A6D65"/>
    <w:rsid w:val="005A7992"/>
    <w:rsid w:val="005A7B78"/>
    <w:rsid w:val="005A7C08"/>
    <w:rsid w:val="005B0045"/>
    <w:rsid w:val="005B052C"/>
    <w:rsid w:val="005B0E3A"/>
    <w:rsid w:val="005B17B1"/>
    <w:rsid w:val="005B1D7C"/>
    <w:rsid w:val="005B25DB"/>
    <w:rsid w:val="005B26A4"/>
    <w:rsid w:val="005B2F0E"/>
    <w:rsid w:val="005B31FA"/>
    <w:rsid w:val="005B341F"/>
    <w:rsid w:val="005B399C"/>
    <w:rsid w:val="005B3AB1"/>
    <w:rsid w:val="005B4452"/>
    <w:rsid w:val="005B4D99"/>
    <w:rsid w:val="005B4F9D"/>
    <w:rsid w:val="005B500F"/>
    <w:rsid w:val="005B5068"/>
    <w:rsid w:val="005B5A5B"/>
    <w:rsid w:val="005C0628"/>
    <w:rsid w:val="005C09DC"/>
    <w:rsid w:val="005C0E06"/>
    <w:rsid w:val="005C11C3"/>
    <w:rsid w:val="005C1DF2"/>
    <w:rsid w:val="005C1F58"/>
    <w:rsid w:val="005C2310"/>
    <w:rsid w:val="005C2637"/>
    <w:rsid w:val="005C3CA4"/>
    <w:rsid w:val="005C4837"/>
    <w:rsid w:val="005C4AE9"/>
    <w:rsid w:val="005C565B"/>
    <w:rsid w:val="005C56E7"/>
    <w:rsid w:val="005C5A5F"/>
    <w:rsid w:val="005C5C6B"/>
    <w:rsid w:val="005C61E7"/>
    <w:rsid w:val="005C723B"/>
    <w:rsid w:val="005C72CF"/>
    <w:rsid w:val="005C7738"/>
    <w:rsid w:val="005C7E23"/>
    <w:rsid w:val="005C7F1B"/>
    <w:rsid w:val="005C7F4B"/>
    <w:rsid w:val="005D205E"/>
    <w:rsid w:val="005D2D22"/>
    <w:rsid w:val="005D3626"/>
    <w:rsid w:val="005D3A2B"/>
    <w:rsid w:val="005D4293"/>
    <w:rsid w:val="005D42EB"/>
    <w:rsid w:val="005D4746"/>
    <w:rsid w:val="005D4DDB"/>
    <w:rsid w:val="005D6019"/>
    <w:rsid w:val="005D640D"/>
    <w:rsid w:val="005D644B"/>
    <w:rsid w:val="005D6B9E"/>
    <w:rsid w:val="005D6D60"/>
    <w:rsid w:val="005D7554"/>
    <w:rsid w:val="005D75B6"/>
    <w:rsid w:val="005D75C6"/>
    <w:rsid w:val="005D7AE4"/>
    <w:rsid w:val="005D7B18"/>
    <w:rsid w:val="005E05E7"/>
    <w:rsid w:val="005E0BE2"/>
    <w:rsid w:val="005E0DEA"/>
    <w:rsid w:val="005E1607"/>
    <w:rsid w:val="005E17D7"/>
    <w:rsid w:val="005E1FE6"/>
    <w:rsid w:val="005E2404"/>
    <w:rsid w:val="005E28C9"/>
    <w:rsid w:val="005E3F77"/>
    <w:rsid w:val="005E42A7"/>
    <w:rsid w:val="005E42F7"/>
    <w:rsid w:val="005E4B89"/>
    <w:rsid w:val="005E53A7"/>
    <w:rsid w:val="005E6180"/>
    <w:rsid w:val="005E74C8"/>
    <w:rsid w:val="005F06B8"/>
    <w:rsid w:val="005F0BD5"/>
    <w:rsid w:val="005F155F"/>
    <w:rsid w:val="005F2FFA"/>
    <w:rsid w:val="005F3C9A"/>
    <w:rsid w:val="005F3CFA"/>
    <w:rsid w:val="005F44C7"/>
    <w:rsid w:val="005F46CE"/>
    <w:rsid w:val="005F4A15"/>
    <w:rsid w:val="005F5528"/>
    <w:rsid w:val="005F5D89"/>
    <w:rsid w:val="005F5F7F"/>
    <w:rsid w:val="005F61E2"/>
    <w:rsid w:val="005F6246"/>
    <w:rsid w:val="005F65B7"/>
    <w:rsid w:val="005F6AE9"/>
    <w:rsid w:val="00600421"/>
    <w:rsid w:val="00600808"/>
    <w:rsid w:val="006016D1"/>
    <w:rsid w:val="00601A03"/>
    <w:rsid w:val="00602214"/>
    <w:rsid w:val="00602A10"/>
    <w:rsid w:val="00602FC8"/>
    <w:rsid w:val="006033E3"/>
    <w:rsid w:val="0060388D"/>
    <w:rsid w:val="0060396D"/>
    <w:rsid w:val="0060445F"/>
    <w:rsid w:val="00605684"/>
    <w:rsid w:val="00606044"/>
    <w:rsid w:val="00606E57"/>
    <w:rsid w:val="00607671"/>
    <w:rsid w:val="00607740"/>
    <w:rsid w:val="00607DFC"/>
    <w:rsid w:val="006104A7"/>
    <w:rsid w:val="00611582"/>
    <w:rsid w:val="00611C21"/>
    <w:rsid w:val="00612928"/>
    <w:rsid w:val="0061294A"/>
    <w:rsid w:val="00613EFB"/>
    <w:rsid w:val="006143EF"/>
    <w:rsid w:val="006154A0"/>
    <w:rsid w:val="00615DCB"/>
    <w:rsid w:val="00617A03"/>
    <w:rsid w:val="00620C42"/>
    <w:rsid w:val="006210B9"/>
    <w:rsid w:val="0062113C"/>
    <w:rsid w:val="00621399"/>
    <w:rsid w:val="006219F4"/>
    <w:rsid w:val="00622727"/>
    <w:rsid w:val="00622AEB"/>
    <w:rsid w:val="006232EA"/>
    <w:rsid w:val="00624518"/>
    <w:rsid w:val="0062461B"/>
    <w:rsid w:val="00624C50"/>
    <w:rsid w:val="00624C8D"/>
    <w:rsid w:val="006270F8"/>
    <w:rsid w:val="00630ABB"/>
    <w:rsid w:val="00630D62"/>
    <w:rsid w:val="00630EC3"/>
    <w:rsid w:val="006310BD"/>
    <w:rsid w:val="00631301"/>
    <w:rsid w:val="00631DC8"/>
    <w:rsid w:val="00632DAC"/>
    <w:rsid w:val="00633161"/>
    <w:rsid w:val="006332FE"/>
    <w:rsid w:val="00633A71"/>
    <w:rsid w:val="00633B66"/>
    <w:rsid w:val="00633CF9"/>
    <w:rsid w:val="006341F4"/>
    <w:rsid w:val="00634B8F"/>
    <w:rsid w:val="006362D4"/>
    <w:rsid w:val="00637C95"/>
    <w:rsid w:val="00640024"/>
    <w:rsid w:val="00640A79"/>
    <w:rsid w:val="00640F99"/>
    <w:rsid w:val="00642234"/>
    <w:rsid w:val="00642695"/>
    <w:rsid w:val="00642868"/>
    <w:rsid w:val="00642F4A"/>
    <w:rsid w:val="0064300F"/>
    <w:rsid w:val="0064348A"/>
    <w:rsid w:val="00644272"/>
    <w:rsid w:val="006443ED"/>
    <w:rsid w:val="00644AF6"/>
    <w:rsid w:val="00644EBD"/>
    <w:rsid w:val="0064537E"/>
    <w:rsid w:val="006454BF"/>
    <w:rsid w:val="00645B1B"/>
    <w:rsid w:val="00646BD2"/>
    <w:rsid w:val="00646EE6"/>
    <w:rsid w:val="0064791C"/>
    <w:rsid w:val="006479DE"/>
    <w:rsid w:val="00647E80"/>
    <w:rsid w:val="00650530"/>
    <w:rsid w:val="00650FEC"/>
    <w:rsid w:val="0065123E"/>
    <w:rsid w:val="00651C3B"/>
    <w:rsid w:val="00651F00"/>
    <w:rsid w:val="00652813"/>
    <w:rsid w:val="006531F4"/>
    <w:rsid w:val="00653C57"/>
    <w:rsid w:val="0065445D"/>
    <w:rsid w:val="0065493D"/>
    <w:rsid w:val="00655F44"/>
    <w:rsid w:val="00656961"/>
    <w:rsid w:val="006569DD"/>
    <w:rsid w:val="006573DF"/>
    <w:rsid w:val="00657D0B"/>
    <w:rsid w:val="00657D94"/>
    <w:rsid w:val="00660091"/>
    <w:rsid w:val="00661180"/>
    <w:rsid w:val="006614AD"/>
    <w:rsid w:val="00661627"/>
    <w:rsid w:val="00663815"/>
    <w:rsid w:val="00663E26"/>
    <w:rsid w:val="00664641"/>
    <w:rsid w:val="00664A23"/>
    <w:rsid w:val="00664BF5"/>
    <w:rsid w:val="0066508D"/>
    <w:rsid w:val="006658AB"/>
    <w:rsid w:val="00665DAA"/>
    <w:rsid w:val="00667E7B"/>
    <w:rsid w:val="0067041A"/>
    <w:rsid w:val="0067087F"/>
    <w:rsid w:val="0067111B"/>
    <w:rsid w:val="00672260"/>
    <w:rsid w:val="0067370A"/>
    <w:rsid w:val="00673C6D"/>
    <w:rsid w:val="006757B9"/>
    <w:rsid w:val="006758BF"/>
    <w:rsid w:val="00675D56"/>
    <w:rsid w:val="00675DF7"/>
    <w:rsid w:val="006764DE"/>
    <w:rsid w:val="00677665"/>
    <w:rsid w:val="006777B0"/>
    <w:rsid w:val="00677CC9"/>
    <w:rsid w:val="00680950"/>
    <w:rsid w:val="00681122"/>
    <w:rsid w:val="00681502"/>
    <w:rsid w:val="00681D0D"/>
    <w:rsid w:val="006828A9"/>
    <w:rsid w:val="006829E2"/>
    <w:rsid w:val="00682CE3"/>
    <w:rsid w:val="00683803"/>
    <w:rsid w:val="00684159"/>
    <w:rsid w:val="00684823"/>
    <w:rsid w:val="00686221"/>
    <w:rsid w:val="0068653C"/>
    <w:rsid w:val="00686B21"/>
    <w:rsid w:val="00686FD2"/>
    <w:rsid w:val="00687A01"/>
    <w:rsid w:val="00687F2E"/>
    <w:rsid w:val="0069073F"/>
    <w:rsid w:val="006909F4"/>
    <w:rsid w:val="00691251"/>
    <w:rsid w:val="00691BBB"/>
    <w:rsid w:val="00692978"/>
    <w:rsid w:val="00692B88"/>
    <w:rsid w:val="00693451"/>
    <w:rsid w:val="00693881"/>
    <w:rsid w:val="00694350"/>
    <w:rsid w:val="00694A11"/>
    <w:rsid w:val="0069562A"/>
    <w:rsid w:val="006956D9"/>
    <w:rsid w:val="00695823"/>
    <w:rsid w:val="0069625C"/>
    <w:rsid w:val="00696307"/>
    <w:rsid w:val="00697231"/>
    <w:rsid w:val="00697448"/>
    <w:rsid w:val="00697598"/>
    <w:rsid w:val="006A0982"/>
    <w:rsid w:val="006A0CE2"/>
    <w:rsid w:val="006A1FEE"/>
    <w:rsid w:val="006A205F"/>
    <w:rsid w:val="006A224E"/>
    <w:rsid w:val="006A2CD8"/>
    <w:rsid w:val="006A4AB6"/>
    <w:rsid w:val="006A5E99"/>
    <w:rsid w:val="006A6737"/>
    <w:rsid w:val="006A7926"/>
    <w:rsid w:val="006B22B8"/>
    <w:rsid w:val="006B2DD0"/>
    <w:rsid w:val="006B2E2B"/>
    <w:rsid w:val="006B331D"/>
    <w:rsid w:val="006B378A"/>
    <w:rsid w:val="006B492D"/>
    <w:rsid w:val="006B5177"/>
    <w:rsid w:val="006B6EAA"/>
    <w:rsid w:val="006B7DA7"/>
    <w:rsid w:val="006B7DCE"/>
    <w:rsid w:val="006C050B"/>
    <w:rsid w:val="006C092C"/>
    <w:rsid w:val="006C1DD3"/>
    <w:rsid w:val="006C261F"/>
    <w:rsid w:val="006C2634"/>
    <w:rsid w:val="006C26BF"/>
    <w:rsid w:val="006C29D8"/>
    <w:rsid w:val="006C2FCE"/>
    <w:rsid w:val="006C357B"/>
    <w:rsid w:val="006C3729"/>
    <w:rsid w:val="006C4316"/>
    <w:rsid w:val="006C51A3"/>
    <w:rsid w:val="006C5350"/>
    <w:rsid w:val="006C53B1"/>
    <w:rsid w:val="006C546A"/>
    <w:rsid w:val="006C627F"/>
    <w:rsid w:val="006C7BA2"/>
    <w:rsid w:val="006D00AA"/>
    <w:rsid w:val="006D0EDF"/>
    <w:rsid w:val="006D1776"/>
    <w:rsid w:val="006D21CA"/>
    <w:rsid w:val="006D26BD"/>
    <w:rsid w:val="006D3245"/>
    <w:rsid w:val="006D3C92"/>
    <w:rsid w:val="006D3DC4"/>
    <w:rsid w:val="006D436B"/>
    <w:rsid w:val="006D44F7"/>
    <w:rsid w:val="006D47E7"/>
    <w:rsid w:val="006D48C5"/>
    <w:rsid w:val="006D493A"/>
    <w:rsid w:val="006D50FC"/>
    <w:rsid w:val="006D580E"/>
    <w:rsid w:val="006D5B8B"/>
    <w:rsid w:val="006D5DC3"/>
    <w:rsid w:val="006D6557"/>
    <w:rsid w:val="006D6A91"/>
    <w:rsid w:val="006D6F3D"/>
    <w:rsid w:val="006D703C"/>
    <w:rsid w:val="006E0251"/>
    <w:rsid w:val="006E07AD"/>
    <w:rsid w:val="006E14E4"/>
    <w:rsid w:val="006E16E4"/>
    <w:rsid w:val="006E1844"/>
    <w:rsid w:val="006E2B9F"/>
    <w:rsid w:val="006E37D5"/>
    <w:rsid w:val="006E3E0F"/>
    <w:rsid w:val="006E41FE"/>
    <w:rsid w:val="006E439B"/>
    <w:rsid w:val="006E4C9B"/>
    <w:rsid w:val="006E4DCB"/>
    <w:rsid w:val="006E514A"/>
    <w:rsid w:val="006E5C1F"/>
    <w:rsid w:val="006E662A"/>
    <w:rsid w:val="006E7523"/>
    <w:rsid w:val="006F059E"/>
    <w:rsid w:val="006F1311"/>
    <w:rsid w:val="006F1E16"/>
    <w:rsid w:val="006F26E2"/>
    <w:rsid w:val="006F2A93"/>
    <w:rsid w:val="006F2E2E"/>
    <w:rsid w:val="006F2E42"/>
    <w:rsid w:val="006F323D"/>
    <w:rsid w:val="006F3292"/>
    <w:rsid w:val="006F3D21"/>
    <w:rsid w:val="006F3F6F"/>
    <w:rsid w:val="006F41B5"/>
    <w:rsid w:val="006F4497"/>
    <w:rsid w:val="006F5680"/>
    <w:rsid w:val="006F59C7"/>
    <w:rsid w:val="006F5ACD"/>
    <w:rsid w:val="006F5F91"/>
    <w:rsid w:val="006F622A"/>
    <w:rsid w:val="006F671F"/>
    <w:rsid w:val="006F71D5"/>
    <w:rsid w:val="006F7B46"/>
    <w:rsid w:val="0070057D"/>
    <w:rsid w:val="007007B3"/>
    <w:rsid w:val="00702B63"/>
    <w:rsid w:val="00703176"/>
    <w:rsid w:val="007033BB"/>
    <w:rsid w:val="007035F7"/>
    <w:rsid w:val="007036A9"/>
    <w:rsid w:val="0070387D"/>
    <w:rsid w:val="00703A36"/>
    <w:rsid w:val="00703CDE"/>
    <w:rsid w:val="0070426A"/>
    <w:rsid w:val="007042AA"/>
    <w:rsid w:val="007059C4"/>
    <w:rsid w:val="00705B3B"/>
    <w:rsid w:val="0070642C"/>
    <w:rsid w:val="00706603"/>
    <w:rsid w:val="0070715C"/>
    <w:rsid w:val="00710093"/>
    <w:rsid w:val="0071039D"/>
    <w:rsid w:val="00710828"/>
    <w:rsid w:val="0071101B"/>
    <w:rsid w:val="00711C38"/>
    <w:rsid w:val="00711FE5"/>
    <w:rsid w:val="007137E6"/>
    <w:rsid w:val="00713927"/>
    <w:rsid w:val="0071413A"/>
    <w:rsid w:val="00714313"/>
    <w:rsid w:val="00715044"/>
    <w:rsid w:val="00715AE0"/>
    <w:rsid w:val="00716078"/>
    <w:rsid w:val="0071771D"/>
    <w:rsid w:val="007178AD"/>
    <w:rsid w:val="00717B65"/>
    <w:rsid w:val="00717E01"/>
    <w:rsid w:val="0072000B"/>
    <w:rsid w:val="00721108"/>
    <w:rsid w:val="00721A89"/>
    <w:rsid w:val="00722771"/>
    <w:rsid w:val="00722A2F"/>
    <w:rsid w:val="00722A49"/>
    <w:rsid w:val="00723FBA"/>
    <w:rsid w:val="007244EA"/>
    <w:rsid w:val="00724F22"/>
    <w:rsid w:val="0072504B"/>
    <w:rsid w:val="00725188"/>
    <w:rsid w:val="00725284"/>
    <w:rsid w:val="007265B3"/>
    <w:rsid w:val="00726B43"/>
    <w:rsid w:val="007313B3"/>
    <w:rsid w:val="007314E7"/>
    <w:rsid w:val="007315D5"/>
    <w:rsid w:val="00731FD5"/>
    <w:rsid w:val="007334B9"/>
    <w:rsid w:val="00733B23"/>
    <w:rsid w:val="00734085"/>
    <w:rsid w:val="00734907"/>
    <w:rsid w:val="00734D05"/>
    <w:rsid w:val="00736197"/>
    <w:rsid w:val="007365C6"/>
    <w:rsid w:val="00736646"/>
    <w:rsid w:val="00736D6D"/>
    <w:rsid w:val="007371AA"/>
    <w:rsid w:val="007402F1"/>
    <w:rsid w:val="00740323"/>
    <w:rsid w:val="00740F86"/>
    <w:rsid w:val="00740F97"/>
    <w:rsid w:val="0074176F"/>
    <w:rsid w:val="00741BFB"/>
    <w:rsid w:val="00742AD7"/>
    <w:rsid w:val="0074376B"/>
    <w:rsid w:val="00743CC3"/>
    <w:rsid w:val="0074463E"/>
    <w:rsid w:val="007457B8"/>
    <w:rsid w:val="007469DA"/>
    <w:rsid w:val="00747461"/>
    <w:rsid w:val="00747649"/>
    <w:rsid w:val="007477B6"/>
    <w:rsid w:val="00750833"/>
    <w:rsid w:val="007509BE"/>
    <w:rsid w:val="0075142E"/>
    <w:rsid w:val="00751EA4"/>
    <w:rsid w:val="007529C1"/>
    <w:rsid w:val="0075320B"/>
    <w:rsid w:val="00753C1A"/>
    <w:rsid w:val="00754608"/>
    <w:rsid w:val="00754E04"/>
    <w:rsid w:val="007567EB"/>
    <w:rsid w:val="0075689B"/>
    <w:rsid w:val="00757361"/>
    <w:rsid w:val="00757652"/>
    <w:rsid w:val="00760D96"/>
    <w:rsid w:val="0076100C"/>
    <w:rsid w:val="00761032"/>
    <w:rsid w:val="00762446"/>
    <w:rsid w:val="00763109"/>
    <w:rsid w:val="0076315F"/>
    <w:rsid w:val="0076414C"/>
    <w:rsid w:val="007647C8"/>
    <w:rsid w:val="00764A8C"/>
    <w:rsid w:val="007650C8"/>
    <w:rsid w:val="007652C2"/>
    <w:rsid w:val="0076572E"/>
    <w:rsid w:val="0076625C"/>
    <w:rsid w:val="00766412"/>
    <w:rsid w:val="00766D67"/>
    <w:rsid w:val="00766F0D"/>
    <w:rsid w:val="0076708A"/>
    <w:rsid w:val="00770821"/>
    <w:rsid w:val="007711C4"/>
    <w:rsid w:val="00773E12"/>
    <w:rsid w:val="0077568E"/>
    <w:rsid w:val="0077588D"/>
    <w:rsid w:val="00776168"/>
    <w:rsid w:val="00776A18"/>
    <w:rsid w:val="00776C8B"/>
    <w:rsid w:val="007770BF"/>
    <w:rsid w:val="00777222"/>
    <w:rsid w:val="00777832"/>
    <w:rsid w:val="007779FD"/>
    <w:rsid w:val="00777D11"/>
    <w:rsid w:val="00780435"/>
    <w:rsid w:val="00780BFA"/>
    <w:rsid w:val="00780FA1"/>
    <w:rsid w:val="00780FFD"/>
    <w:rsid w:val="00781033"/>
    <w:rsid w:val="00781682"/>
    <w:rsid w:val="007825AF"/>
    <w:rsid w:val="007843A4"/>
    <w:rsid w:val="0078514A"/>
    <w:rsid w:val="00785254"/>
    <w:rsid w:val="00785C7B"/>
    <w:rsid w:val="00785FCD"/>
    <w:rsid w:val="00786456"/>
    <w:rsid w:val="00786674"/>
    <w:rsid w:val="007866EC"/>
    <w:rsid w:val="00787C0E"/>
    <w:rsid w:val="00790194"/>
    <w:rsid w:val="00790369"/>
    <w:rsid w:val="00790A3F"/>
    <w:rsid w:val="00790BE9"/>
    <w:rsid w:val="00790D6D"/>
    <w:rsid w:val="00791211"/>
    <w:rsid w:val="00791267"/>
    <w:rsid w:val="0079140A"/>
    <w:rsid w:val="00791AC7"/>
    <w:rsid w:val="00791EBC"/>
    <w:rsid w:val="00792074"/>
    <w:rsid w:val="0079210D"/>
    <w:rsid w:val="00792ACB"/>
    <w:rsid w:val="00793ABE"/>
    <w:rsid w:val="0079405D"/>
    <w:rsid w:val="0079466D"/>
    <w:rsid w:val="00794B35"/>
    <w:rsid w:val="007955D9"/>
    <w:rsid w:val="007956EC"/>
    <w:rsid w:val="0079597B"/>
    <w:rsid w:val="00796144"/>
    <w:rsid w:val="00796267"/>
    <w:rsid w:val="0079686E"/>
    <w:rsid w:val="0079790A"/>
    <w:rsid w:val="00797946"/>
    <w:rsid w:val="007A00D9"/>
    <w:rsid w:val="007A097B"/>
    <w:rsid w:val="007A0D0B"/>
    <w:rsid w:val="007A0F99"/>
    <w:rsid w:val="007A1448"/>
    <w:rsid w:val="007A151B"/>
    <w:rsid w:val="007A19CD"/>
    <w:rsid w:val="007A1A65"/>
    <w:rsid w:val="007A1D4F"/>
    <w:rsid w:val="007A2A85"/>
    <w:rsid w:val="007A2CC6"/>
    <w:rsid w:val="007A3B42"/>
    <w:rsid w:val="007A5267"/>
    <w:rsid w:val="007A5ADC"/>
    <w:rsid w:val="007A5ED7"/>
    <w:rsid w:val="007A5F48"/>
    <w:rsid w:val="007A6585"/>
    <w:rsid w:val="007A6F1C"/>
    <w:rsid w:val="007A7D44"/>
    <w:rsid w:val="007A7F4C"/>
    <w:rsid w:val="007B0AF2"/>
    <w:rsid w:val="007B0BCC"/>
    <w:rsid w:val="007B1901"/>
    <w:rsid w:val="007B2062"/>
    <w:rsid w:val="007B20A0"/>
    <w:rsid w:val="007B2E35"/>
    <w:rsid w:val="007B2E3F"/>
    <w:rsid w:val="007B36CE"/>
    <w:rsid w:val="007B4CA0"/>
    <w:rsid w:val="007B502C"/>
    <w:rsid w:val="007B591A"/>
    <w:rsid w:val="007B59A5"/>
    <w:rsid w:val="007B5FB8"/>
    <w:rsid w:val="007B6846"/>
    <w:rsid w:val="007C029E"/>
    <w:rsid w:val="007C188B"/>
    <w:rsid w:val="007C2048"/>
    <w:rsid w:val="007C2736"/>
    <w:rsid w:val="007C27F4"/>
    <w:rsid w:val="007C36A6"/>
    <w:rsid w:val="007C45E7"/>
    <w:rsid w:val="007C5591"/>
    <w:rsid w:val="007C5B42"/>
    <w:rsid w:val="007C6B3A"/>
    <w:rsid w:val="007C706E"/>
    <w:rsid w:val="007C73FE"/>
    <w:rsid w:val="007C766E"/>
    <w:rsid w:val="007C7C5A"/>
    <w:rsid w:val="007D1546"/>
    <w:rsid w:val="007D1EEE"/>
    <w:rsid w:val="007D2222"/>
    <w:rsid w:val="007D444B"/>
    <w:rsid w:val="007D44F2"/>
    <w:rsid w:val="007D563F"/>
    <w:rsid w:val="007D6B5C"/>
    <w:rsid w:val="007D7BC9"/>
    <w:rsid w:val="007E02CC"/>
    <w:rsid w:val="007E17F8"/>
    <w:rsid w:val="007E2604"/>
    <w:rsid w:val="007E2A8C"/>
    <w:rsid w:val="007E2FC4"/>
    <w:rsid w:val="007E357B"/>
    <w:rsid w:val="007E3796"/>
    <w:rsid w:val="007E414A"/>
    <w:rsid w:val="007E4235"/>
    <w:rsid w:val="007E4C90"/>
    <w:rsid w:val="007E547C"/>
    <w:rsid w:val="007E587C"/>
    <w:rsid w:val="007E5AD4"/>
    <w:rsid w:val="007E5F82"/>
    <w:rsid w:val="007E6118"/>
    <w:rsid w:val="007E6AD0"/>
    <w:rsid w:val="007E7A55"/>
    <w:rsid w:val="007F13EC"/>
    <w:rsid w:val="007F1589"/>
    <w:rsid w:val="007F195C"/>
    <w:rsid w:val="007F1E6C"/>
    <w:rsid w:val="007F2AD6"/>
    <w:rsid w:val="007F411E"/>
    <w:rsid w:val="007F482D"/>
    <w:rsid w:val="007F4950"/>
    <w:rsid w:val="007F5842"/>
    <w:rsid w:val="007F5B4C"/>
    <w:rsid w:val="007F5F63"/>
    <w:rsid w:val="007F6CC5"/>
    <w:rsid w:val="007F7270"/>
    <w:rsid w:val="007F7BC1"/>
    <w:rsid w:val="0080079E"/>
    <w:rsid w:val="00800DB7"/>
    <w:rsid w:val="0080171F"/>
    <w:rsid w:val="00801B8A"/>
    <w:rsid w:val="0080274E"/>
    <w:rsid w:val="00803B5F"/>
    <w:rsid w:val="00803C0B"/>
    <w:rsid w:val="00807DC9"/>
    <w:rsid w:val="008102CF"/>
    <w:rsid w:val="008102E6"/>
    <w:rsid w:val="008106BF"/>
    <w:rsid w:val="0081198F"/>
    <w:rsid w:val="0081219F"/>
    <w:rsid w:val="008139C2"/>
    <w:rsid w:val="008141CA"/>
    <w:rsid w:val="00814895"/>
    <w:rsid w:val="00814A52"/>
    <w:rsid w:val="008158F8"/>
    <w:rsid w:val="00815B87"/>
    <w:rsid w:val="008167FE"/>
    <w:rsid w:val="00816F1A"/>
    <w:rsid w:val="00817844"/>
    <w:rsid w:val="00821512"/>
    <w:rsid w:val="0082182A"/>
    <w:rsid w:val="00821ED0"/>
    <w:rsid w:val="00821F76"/>
    <w:rsid w:val="0082251D"/>
    <w:rsid w:val="008225BC"/>
    <w:rsid w:val="0082275B"/>
    <w:rsid w:val="00823372"/>
    <w:rsid w:val="0082368A"/>
    <w:rsid w:val="0082431F"/>
    <w:rsid w:val="00824A7E"/>
    <w:rsid w:val="00826095"/>
    <w:rsid w:val="00826DA3"/>
    <w:rsid w:val="00827A16"/>
    <w:rsid w:val="00827D6E"/>
    <w:rsid w:val="00827F9E"/>
    <w:rsid w:val="008300A8"/>
    <w:rsid w:val="00830B60"/>
    <w:rsid w:val="008328D6"/>
    <w:rsid w:val="00833960"/>
    <w:rsid w:val="008346BA"/>
    <w:rsid w:val="008347B7"/>
    <w:rsid w:val="008359AF"/>
    <w:rsid w:val="00835D5D"/>
    <w:rsid w:val="00835EDA"/>
    <w:rsid w:val="00836033"/>
    <w:rsid w:val="0083725B"/>
    <w:rsid w:val="00837C77"/>
    <w:rsid w:val="00837D42"/>
    <w:rsid w:val="008409CC"/>
    <w:rsid w:val="00840E14"/>
    <w:rsid w:val="0084221F"/>
    <w:rsid w:val="00843508"/>
    <w:rsid w:val="008438B8"/>
    <w:rsid w:val="0084428F"/>
    <w:rsid w:val="0084474A"/>
    <w:rsid w:val="00844AEA"/>
    <w:rsid w:val="00844FCA"/>
    <w:rsid w:val="00844FD4"/>
    <w:rsid w:val="008453B4"/>
    <w:rsid w:val="00845986"/>
    <w:rsid w:val="00846334"/>
    <w:rsid w:val="008466F5"/>
    <w:rsid w:val="008467EB"/>
    <w:rsid w:val="00846F9D"/>
    <w:rsid w:val="0084746C"/>
    <w:rsid w:val="00847A43"/>
    <w:rsid w:val="00850834"/>
    <w:rsid w:val="00850BF7"/>
    <w:rsid w:val="00850EF0"/>
    <w:rsid w:val="0085147F"/>
    <w:rsid w:val="00851CF0"/>
    <w:rsid w:val="00852530"/>
    <w:rsid w:val="00852BD4"/>
    <w:rsid w:val="00852F10"/>
    <w:rsid w:val="0085384E"/>
    <w:rsid w:val="00853A25"/>
    <w:rsid w:val="00854169"/>
    <w:rsid w:val="008551AA"/>
    <w:rsid w:val="00856A73"/>
    <w:rsid w:val="00856BAF"/>
    <w:rsid w:val="00856ED2"/>
    <w:rsid w:val="00857D74"/>
    <w:rsid w:val="00860592"/>
    <w:rsid w:val="0086076E"/>
    <w:rsid w:val="00861873"/>
    <w:rsid w:val="00862470"/>
    <w:rsid w:val="00862510"/>
    <w:rsid w:val="008629F5"/>
    <w:rsid w:val="00862B05"/>
    <w:rsid w:val="00862DCB"/>
    <w:rsid w:val="00864353"/>
    <w:rsid w:val="0086438D"/>
    <w:rsid w:val="008647BA"/>
    <w:rsid w:val="00864B3E"/>
    <w:rsid w:val="00865745"/>
    <w:rsid w:val="00865AC1"/>
    <w:rsid w:val="00865F40"/>
    <w:rsid w:val="00866313"/>
    <w:rsid w:val="0086782A"/>
    <w:rsid w:val="008700AC"/>
    <w:rsid w:val="0087055F"/>
    <w:rsid w:val="00872BA9"/>
    <w:rsid w:val="00873506"/>
    <w:rsid w:val="00873A9C"/>
    <w:rsid w:val="00873AAA"/>
    <w:rsid w:val="00873AED"/>
    <w:rsid w:val="00873D09"/>
    <w:rsid w:val="008744C2"/>
    <w:rsid w:val="00874574"/>
    <w:rsid w:val="008757D1"/>
    <w:rsid w:val="008758F0"/>
    <w:rsid w:val="00877095"/>
    <w:rsid w:val="008778BE"/>
    <w:rsid w:val="00877D96"/>
    <w:rsid w:val="00880DDD"/>
    <w:rsid w:val="00880F23"/>
    <w:rsid w:val="00881332"/>
    <w:rsid w:val="008827C6"/>
    <w:rsid w:val="00882D63"/>
    <w:rsid w:val="00882F91"/>
    <w:rsid w:val="00883101"/>
    <w:rsid w:val="008833A0"/>
    <w:rsid w:val="008840DC"/>
    <w:rsid w:val="00884141"/>
    <w:rsid w:val="00884999"/>
    <w:rsid w:val="00884C4C"/>
    <w:rsid w:val="00884C54"/>
    <w:rsid w:val="00884F06"/>
    <w:rsid w:val="00885D54"/>
    <w:rsid w:val="00885EE4"/>
    <w:rsid w:val="00886080"/>
    <w:rsid w:val="00886302"/>
    <w:rsid w:val="00886750"/>
    <w:rsid w:val="00887711"/>
    <w:rsid w:val="00887BA4"/>
    <w:rsid w:val="00890558"/>
    <w:rsid w:val="00890A74"/>
    <w:rsid w:val="00891235"/>
    <w:rsid w:val="00891A98"/>
    <w:rsid w:val="00891CE5"/>
    <w:rsid w:val="00893AB5"/>
    <w:rsid w:val="008948EE"/>
    <w:rsid w:val="008949B4"/>
    <w:rsid w:val="00894D97"/>
    <w:rsid w:val="0089505B"/>
    <w:rsid w:val="00895987"/>
    <w:rsid w:val="00895AA9"/>
    <w:rsid w:val="00895B29"/>
    <w:rsid w:val="00896060"/>
    <w:rsid w:val="00896BBA"/>
    <w:rsid w:val="00897016"/>
    <w:rsid w:val="008978FA"/>
    <w:rsid w:val="00897AED"/>
    <w:rsid w:val="00897CE4"/>
    <w:rsid w:val="00897F4D"/>
    <w:rsid w:val="008A02E9"/>
    <w:rsid w:val="008A0925"/>
    <w:rsid w:val="008A09F2"/>
    <w:rsid w:val="008A2D2F"/>
    <w:rsid w:val="008A3032"/>
    <w:rsid w:val="008A308A"/>
    <w:rsid w:val="008A3231"/>
    <w:rsid w:val="008A32AE"/>
    <w:rsid w:val="008A3923"/>
    <w:rsid w:val="008A3F8B"/>
    <w:rsid w:val="008A4209"/>
    <w:rsid w:val="008A4D33"/>
    <w:rsid w:val="008A5024"/>
    <w:rsid w:val="008A57D6"/>
    <w:rsid w:val="008A5A8E"/>
    <w:rsid w:val="008A5C40"/>
    <w:rsid w:val="008A7B5A"/>
    <w:rsid w:val="008A7BDB"/>
    <w:rsid w:val="008A7C48"/>
    <w:rsid w:val="008B06DE"/>
    <w:rsid w:val="008B1027"/>
    <w:rsid w:val="008B1190"/>
    <w:rsid w:val="008B1C21"/>
    <w:rsid w:val="008B1E48"/>
    <w:rsid w:val="008B208B"/>
    <w:rsid w:val="008B227D"/>
    <w:rsid w:val="008B351D"/>
    <w:rsid w:val="008B513A"/>
    <w:rsid w:val="008B5904"/>
    <w:rsid w:val="008B5E83"/>
    <w:rsid w:val="008B5EDD"/>
    <w:rsid w:val="008C09C6"/>
    <w:rsid w:val="008C0CD5"/>
    <w:rsid w:val="008C13B2"/>
    <w:rsid w:val="008C1714"/>
    <w:rsid w:val="008C223D"/>
    <w:rsid w:val="008C335A"/>
    <w:rsid w:val="008C389C"/>
    <w:rsid w:val="008C3A76"/>
    <w:rsid w:val="008C3A93"/>
    <w:rsid w:val="008C3BF7"/>
    <w:rsid w:val="008C457F"/>
    <w:rsid w:val="008C4815"/>
    <w:rsid w:val="008C4CB1"/>
    <w:rsid w:val="008C5433"/>
    <w:rsid w:val="008C562C"/>
    <w:rsid w:val="008C5EEC"/>
    <w:rsid w:val="008C69B5"/>
    <w:rsid w:val="008C7585"/>
    <w:rsid w:val="008C75F7"/>
    <w:rsid w:val="008C7736"/>
    <w:rsid w:val="008D0142"/>
    <w:rsid w:val="008D11ED"/>
    <w:rsid w:val="008D1759"/>
    <w:rsid w:val="008D1C74"/>
    <w:rsid w:val="008D448D"/>
    <w:rsid w:val="008D49FB"/>
    <w:rsid w:val="008D4BA9"/>
    <w:rsid w:val="008D578B"/>
    <w:rsid w:val="008D57EA"/>
    <w:rsid w:val="008D5B06"/>
    <w:rsid w:val="008D60BF"/>
    <w:rsid w:val="008D60EF"/>
    <w:rsid w:val="008D69F1"/>
    <w:rsid w:val="008D6B06"/>
    <w:rsid w:val="008D6B08"/>
    <w:rsid w:val="008D6F74"/>
    <w:rsid w:val="008D7A22"/>
    <w:rsid w:val="008D7B6C"/>
    <w:rsid w:val="008E03DC"/>
    <w:rsid w:val="008E03FE"/>
    <w:rsid w:val="008E1A85"/>
    <w:rsid w:val="008E1DAF"/>
    <w:rsid w:val="008E204A"/>
    <w:rsid w:val="008E2EB9"/>
    <w:rsid w:val="008E312B"/>
    <w:rsid w:val="008E31F2"/>
    <w:rsid w:val="008E3A6C"/>
    <w:rsid w:val="008E3B9B"/>
    <w:rsid w:val="008E3D0D"/>
    <w:rsid w:val="008E3F4F"/>
    <w:rsid w:val="008E4D3F"/>
    <w:rsid w:val="008E5CE2"/>
    <w:rsid w:val="008E5FEA"/>
    <w:rsid w:val="008E78EC"/>
    <w:rsid w:val="008F0157"/>
    <w:rsid w:val="008F0477"/>
    <w:rsid w:val="008F12F8"/>
    <w:rsid w:val="008F1E04"/>
    <w:rsid w:val="008F1E45"/>
    <w:rsid w:val="008F2C65"/>
    <w:rsid w:val="008F2E3A"/>
    <w:rsid w:val="008F2FCF"/>
    <w:rsid w:val="008F30A5"/>
    <w:rsid w:val="008F449D"/>
    <w:rsid w:val="008F4874"/>
    <w:rsid w:val="008F53E1"/>
    <w:rsid w:val="008F5BC5"/>
    <w:rsid w:val="008F5E23"/>
    <w:rsid w:val="008F6E27"/>
    <w:rsid w:val="008F74AC"/>
    <w:rsid w:val="0090069D"/>
    <w:rsid w:val="009013EE"/>
    <w:rsid w:val="00902F3F"/>
    <w:rsid w:val="00903BF8"/>
    <w:rsid w:val="00903D20"/>
    <w:rsid w:val="00903E8B"/>
    <w:rsid w:val="00905AAD"/>
    <w:rsid w:val="009070A0"/>
    <w:rsid w:val="00910665"/>
    <w:rsid w:val="00910740"/>
    <w:rsid w:val="0091095D"/>
    <w:rsid w:val="009110C7"/>
    <w:rsid w:val="0091160D"/>
    <w:rsid w:val="009119C2"/>
    <w:rsid w:val="00911B56"/>
    <w:rsid w:val="00911EB5"/>
    <w:rsid w:val="009125FD"/>
    <w:rsid w:val="0091274C"/>
    <w:rsid w:val="00913AC2"/>
    <w:rsid w:val="009141DE"/>
    <w:rsid w:val="00914E47"/>
    <w:rsid w:val="00914EC4"/>
    <w:rsid w:val="00914F81"/>
    <w:rsid w:val="00915113"/>
    <w:rsid w:val="009151AC"/>
    <w:rsid w:val="009153DD"/>
    <w:rsid w:val="00915DAC"/>
    <w:rsid w:val="009167AF"/>
    <w:rsid w:val="009202AF"/>
    <w:rsid w:val="00921042"/>
    <w:rsid w:val="00921664"/>
    <w:rsid w:val="00921BED"/>
    <w:rsid w:val="00921F44"/>
    <w:rsid w:val="009220C6"/>
    <w:rsid w:val="0092284C"/>
    <w:rsid w:val="0092287A"/>
    <w:rsid w:val="009228FA"/>
    <w:rsid w:val="009239CB"/>
    <w:rsid w:val="009239DB"/>
    <w:rsid w:val="00923CFE"/>
    <w:rsid w:val="00926945"/>
    <w:rsid w:val="00927108"/>
    <w:rsid w:val="00927E35"/>
    <w:rsid w:val="0093045E"/>
    <w:rsid w:val="00930B5F"/>
    <w:rsid w:val="00930BBB"/>
    <w:rsid w:val="009311D0"/>
    <w:rsid w:val="00931A68"/>
    <w:rsid w:val="00931FEB"/>
    <w:rsid w:val="0093295F"/>
    <w:rsid w:val="00932A25"/>
    <w:rsid w:val="009330B2"/>
    <w:rsid w:val="0093399A"/>
    <w:rsid w:val="009339D8"/>
    <w:rsid w:val="00933ABA"/>
    <w:rsid w:val="009359E5"/>
    <w:rsid w:val="0093600E"/>
    <w:rsid w:val="0093676A"/>
    <w:rsid w:val="009367C1"/>
    <w:rsid w:val="00937403"/>
    <w:rsid w:val="00940017"/>
    <w:rsid w:val="00940CCF"/>
    <w:rsid w:val="00942020"/>
    <w:rsid w:val="009420E5"/>
    <w:rsid w:val="00942214"/>
    <w:rsid w:val="00942381"/>
    <w:rsid w:val="0094474C"/>
    <w:rsid w:val="009447CD"/>
    <w:rsid w:val="009448F8"/>
    <w:rsid w:val="00944943"/>
    <w:rsid w:val="0094504F"/>
    <w:rsid w:val="00945847"/>
    <w:rsid w:val="00945CD3"/>
    <w:rsid w:val="00945CDA"/>
    <w:rsid w:val="009460FD"/>
    <w:rsid w:val="0094629A"/>
    <w:rsid w:val="00946594"/>
    <w:rsid w:val="00946701"/>
    <w:rsid w:val="00946860"/>
    <w:rsid w:val="00946ABD"/>
    <w:rsid w:val="009500B3"/>
    <w:rsid w:val="009506FB"/>
    <w:rsid w:val="0095086D"/>
    <w:rsid w:val="00950FE4"/>
    <w:rsid w:val="0095151F"/>
    <w:rsid w:val="00951A8F"/>
    <w:rsid w:val="00951FF8"/>
    <w:rsid w:val="00952072"/>
    <w:rsid w:val="009522F5"/>
    <w:rsid w:val="00952AC3"/>
    <w:rsid w:val="00952D50"/>
    <w:rsid w:val="00953AB7"/>
    <w:rsid w:val="00953BF1"/>
    <w:rsid w:val="00953FFC"/>
    <w:rsid w:val="009541F0"/>
    <w:rsid w:val="00954C59"/>
    <w:rsid w:val="00955268"/>
    <w:rsid w:val="009558E5"/>
    <w:rsid w:val="00956510"/>
    <w:rsid w:val="00956543"/>
    <w:rsid w:val="009572ED"/>
    <w:rsid w:val="009577C2"/>
    <w:rsid w:val="00960360"/>
    <w:rsid w:val="009603BA"/>
    <w:rsid w:val="00960B96"/>
    <w:rsid w:val="00961409"/>
    <w:rsid w:val="00961683"/>
    <w:rsid w:val="00961A01"/>
    <w:rsid w:val="0096206D"/>
    <w:rsid w:val="00962291"/>
    <w:rsid w:val="009630C6"/>
    <w:rsid w:val="0096389B"/>
    <w:rsid w:val="00963DF1"/>
    <w:rsid w:val="0096517E"/>
    <w:rsid w:val="00965A11"/>
    <w:rsid w:val="009667B1"/>
    <w:rsid w:val="00966D1C"/>
    <w:rsid w:val="00967457"/>
    <w:rsid w:val="00967ACC"/>
    <w:rsid w:val="009700F4"/>
    <w:rsid w:val="00970786"/>
    <w:rsid w:val="009715D8"/>
    <w:rsid w:val="0097196B"/>
    <w:rsid w:val="00971A3F"/>
    <w:rsid w:val="00971BF6"/>
    <w:rsid w:val="00972BF0"/>
    <w:rsid w:val="00973515"/>
    <w:rsid w:val="009735A6"/>
    <w:rsid w:val="00973BB0"/>
    <w:rsid w:val="00975131"/>
    <w:rsid w:val="009757F1"/>
    <w:rsid w:val="00975D30"/>
    <w:rsid w:val="0097607E"/>
    <w:rsid w:val="00976245"/>
    <w:rsid w:val="009766A6"/>
    <w:rsid w:val="0097700F"/>
    <w:rsid w:val="009770FC"/>
    <w:rsid w:val="00977786"/>
    <w:rsid w:val="00980EE3"/>
    <w:rsid w:val="00981C8E"/>
    <w:rsid w:val="00982B92"/>
    <w:rsid w:val="0098324C"/>
    <w:rsid w:val="00985517"/>
    <w:rsid w:val="00985B9A"/>
    <w:rsid w:val="00986697"/>
    <w:rsid w:val="00986FBD"/>
    <w:rsid w:val="009872AF"/>
    <w:rsid w:val="009906E4"/>
    <w:rsid w:val="00991BCF"/>
    <w:rsid w:val="009920A5"/>
    <w:rsid w:val="009931C1"/>
    <w:rsid w:val="009932B1"/>
    <w:rsid w:val="00994436"/>
    <w:rsid w:val="0099567F"/>
    <w:rsid w:val="00995F7C"/>
    <w:rsid w:val="00996A87"/>
    <w:rsid w:val="00997208"/>
    <w:rsid w:val="009A0B45"/>
    <w:rsid w:val="009A0B7C"/>
    <w:rsid w:val="009A138F"/>
    <w:rsid w:val="009A187D"/>
    <w:rsid w:val="009A2F50"/>
    <w:rsid w:val="009A334D"/>
    <w:rsid w:val="009A5FE7"/>
    <w:rsid w:val="009A6016"/>
    <w:rsid w:val="009A67E1"/>
    <w:rsid w:val="009A6B8C"/>
    <w:rsid w:val="009A7464"/>
    <w:rsid w:val="009A7A53"/>
    <w:rsid w:val="009B004F"/>
    <w:rsid w:val="009B083F"/>
    <w:rsid w:val="009B110D"/>
    <w:rsid w:val="009B1633"/>
    <w:rsid w:val="009B1B4A"/>
    <w:rsid w:val="009B3874"/>
    <w:rsid w:val="009B52BB"/>
    <w:rsid w:val="009B5F70"/>
    <w:rsid w:val="009B61F2"/>
    <w:rsid w:val="009B63BC"/>
    <w:rsid w:val="009B7543"/>
    <w:rsid w:val="009B7A60"/>
    <w:rsid w:val="009C02AE"/>
    <w:rsid w:val="009C1D46"/>
    <w:rsid w:val="009C1D9E"/>
    <w:rsid w:val="009C2012"/>
    <w:rsid w:val="009C206F"/>
    <w:rsid w:val="009C31E8"/>
    <w:rsid w:val="009C4D5A"/>
    <w:rsid w:val="009C4D8B"/>
    <w:rsid w:val="009C56A2"/>
    <w:rsid w:val="009C5CC9"/>
    <w:rsid w:val="009C721C"/>
    <w:rsid w:val="009C747B"/>
    <w:rsid w:val="009D1BE7"/>
    <w:rsid w:val="009D1D50"/>
    <w:rsid w:val="009D247D"/>
    <w:rsid w:val="009D31E3"/>
    <w:rsid w:val="009D3BC5"/>
    <w:rsid w:val="009D3F3F"/>
    <w:rsid w:val="009D4A91"/>
    <w:rsid w:val="009D4BB5"/>
    <w:rsid w:val="009D5DAF"/>
    <w:rsid w:val="009D68E2"/>
    <w:rsid w:val="009D733A"/>
    <w:rsid w:val="009E08E7"/>
    <w:rsid w:val="009E1493"/>
    <w:rsid w:val="009E14B9"/>
    <w:rsid w:val="009E1D64"/>
    <w:rsid w:val="009E2AD4"/>
    <w:rsid w:val="009E321A"/>
    <w:rsid w:val="009E3E81"/>
    <w:rsid w:val="009E44AE"/>
    <w:rsid w:val="009E44BC"/>
    <w:rsid w:val="009E45AD"/>
    <w:rsid w:val="009E483D"/>
    <w:rsid w:val="009E59C7"/>
    <w:rsid w:val="009E5F17"/>
    <w:rsid w:val="009E653E"/>
    <w:rsid w:val="009E71F8"/>
    <w:rsid w:val="009E73A8"/>
    <w:rsid w:val="009E759D"/>
    <w:rsid w:val="009E7E2C"/>
    <w:rsid w:val="009F1966"/>
    <w:rsid w:val="009F2095"/>
    <w:rsid w:val="009F2435"/>
    <w:rsid w:val="009F2479"/>
    <w:rsid w:val="009F2929"/>
    <w:rsid w:val="009F3509"/>
    <w:rsid w:val="009F3D4D"/>
    <w:rsid w:val="009F40C2"/>
    <w:rsid w:val="009F4422"/>
    <w:rsid w:val="009F4DBC"/>
    <w:rsid w:val="009F4F4A"/>
    <w:rsid w:val="009F6111"/>
    <w:rsid w:val="009F661F"/>
    <w:rsid w:val="009F68F8"/>
    <w:rsid w:val="009F71A8"/>
    <w:rsid w:val="009F744C"/>
    <w:rsid w:val="009F7CC6"/>
    <w:rsid w:val="009F7E4F"/>
    <w:rsid w:val="00A00559"/>
    <w:rsid w:val="00A0093C"/>
    <w:rsid w:val="00A00974"/>
    <w:rsid w:val="00A0186B"/>
    <w:rsid w:val="00A02268"/>
    <w:rsid w:val="00A02B9E"/>
    <w:rsid w:val="00A0317B"/>
    <w:rsid w:val="00A034C1"/>
    <w:rsid w:val="00A049CA"/>
    <w:rsid w:val="00A051BE"/>
    <w:rsid w:val="00A052DE"/>
    <w:rsid w:val="00A05670"/>
    <w:rsid w:val="00A05694"/>
    <w:rsid w:val="00A06036"/>
    <w:rsid w:val="00A06257"/>
    <w:rsid w:val="00A06281"/>
    <w:rsid w:val="00A06D36"/>
    <w:rsid w:val="00A07EBF"/>
    <w:rsid w:val="00A10AEE"/>
    <w:rsid w:val="00A12593"/>
    <w:rsid w:val="00A12667"/>
    <w:rsid w:val="00A12FC1"/>
    <w:rsid w:val="00A131C9"/>
    <w:rsid w:val="00A13C58"/>
    <w:rsid w:val="00A13D7B"/>
    <w:rsid w:val="00A15BE2"/>
    <w:rsid w:val="00A15C06"/>
    <w:rsid w:val="00A16D13"/>
    <w:rsid w:val="00A16E38"/>
    <w:rsid w:val="00A17580"/>
    <w:rsid w:val="00A20502"/>
    <w:rsid w:val="00A205CE"/>
    <w:rsid w:val="00A207E1"/>
    <w:rsid w:val="00A20893"/>
    <w:rsid w:val="00A21152"/>
    <w:rsid w:val="00A22782"/>
    <w:rsid w:val="00A245B6"/>
    <w:rsid w:val="00A24E61"/>
    <w:rsid w:val="00A2526B"/>
    <w:rsid w:val="00A253D5"/>
    <w:rsid w:val="00A2566C"/>
    <w:rsid w:val="00A25C0E"/>
    <w:rsid w:val="00A25C88"/>
    <w:rsid w:val="00A2618A"/>
    <w:rsid w:val="00A26961"/>
    <w:rsid w:val="00A26E0F"/>
    <w:rsid w:val="00A26E7A"/>
    <w:rsid w:val="00A27138"/>
    <w:rsid w:val="00A276CE"/>
    <w:rsid w:val="00A27FEE"/>
    <w:rsid w:val="00A301B8"/>
    <w:rsid w:val="00A31159"/>
    <w:rsid w:val="00A319F6"/>
    <w:rsid w:val="00A31DC4"/>
    <w:rsid w:val="00A323C5"/>
    <w:rsid w:val="00A3251A"/>
    <w:rsid w:val="00A32968"/>
    <w:rsid w:val="00A32AE5"/>
    <w:rsid w:val="00A338C3"/>
    <w:rsid w:val="00A33D42"/>
    <w:rsid w:val="00A3556F"/>
    <w:rsid w:val="00A355B1"/>
    <w:rsid w:val="00A35F7D"/>
    <w:rsid w:val="00A36034"/>
    <w:rsid w:val="00A361BB"/>
    <w:rsid w:val="00A36564"/>
    <w:rsid w:val="00A3661C"/>
    <w:rsid w:val="00A36BB3"/>
    <w:rsid w:val="00A3727C"/>
    <w:rsid w:val="00A376C7"/>
    <w:rsid w:val="00A40065"/>
    <w:rsid w:val="00A402D3"/>
    <w:rsid w:val="00A417B3"/>
    <w:rsid w:val="00A41822"/>
    <w:rsid w:val="00A41D80"/>
    <w:rsid w:val="00A421A3"/>
    <w:rsid w:val="00A4220E"/>
    <w:rsid w:val="00A428D8"/>
    <w:rsid w:val="00A42C75"/>
    <w:rsid w:val="00A44626"/>
    <w:rsid w:val="00A44C5B"/>
    <w:rsid w:val="00A4505D"/>
    <w:rsid w:val="00A46450"/>
    <w:rsid w:val="00A47324"/>
    <w:rsid w:val="00A47813"/>
    <w:rsid w:val="00A47DA5"/>
    <w:rsid w:val="00A502A9"/>
    <w:rsid w:val="00A50CB2"/>
    <w:rsid w:val="00A5118D"/>
    <w:rsid w:val="00A523BF"/>
    <w:rsid w:val="00A526DD"/>
    <w:rsid w:val="00A53248"/>
    <w:rsid w:val="00A54AAE"/>
    <w:rsid w:val="00A552B3"/>
    <w:rsid w:val="00A55587"/>
    <w:rsid w:val="00A56F3D"/>
    <w:rsid w:val="00A57226"/>
    <w:rsid w:val="00A60314"/>
    <w:rsid w:val="00A60B1B"/>
    <w:rsid w:val="00A611A1"/>
    <w:rsid w:val="00A6132D"/>
    <w:rsid w:val="00A61A27"/>
    <w:rsid w:val="00A61A42"/>
    <w:rsid w:val="00A621E0"/>
    <w:rsid w:val="00A6224E"/>
    <w:rsid w:val="00A64A9D"/>
    <w:rsid w:val="00A64C31"/>
    <w:rsid w:val="00A64FFF"/>
    <w:rsid w:val="00A65988"/>
    <w:rsid w:val="00A65C2B"/>
    <w:rsid w:val="00A66B8A"/>
    <w:rsid w:val="00A66E2B"/>
    <w:rsid w:val="00A66EFE"/>
    <w:rsid w:val="00A66F8A"/>
    <w:rsid w:val="00A67104"/>
    <w:rsid w:val="00A675D1"/>
    <w:rsid w:val="00A7025F"/>
    <w:rsid w:val="00A7044E"/>
    <w:rsid w:val="00A709FD"/>
    <w:rsid w:val="00A70E56"/>
    <w:rsid w:val="00A70FF1"/>
    <w:rsid w:val="00A710D8"/>
    <w:rsid w:val="00A72496"/>
    <w:rsid w:val="00A73373"/>
    <w:rsid w:val="00A73A70"/>
    <w:rsid w:val="00A74854"/>
    <w:rsid w:val="00A74C1C"/>
    <w:rsid w:val="00A758D5"/>
    <w:rsid w:val="00A759AF"/>
    <w:rsid w:val="00A75B8C"/>
    <w:rsid w:val="00A76549"/>
    <w:rsid w:val="00A76DCC"/>
    <w:rsid w:val="00A770D0"/>
    <w:rsid w:val="00A7743A"/>
    <w:rsid w:val="00A81738"/>
    <w:rsid w:val="00A81935"/>
    <w:rsid w:val="00A822D6"/>
    <w:rsid w:val="00A823A8"/>
    <w:rsid w:val="00A825A2"/>
    <w:rsid w:val="00A83053"/>
    <w:rsid w:val="00A836C9"/>
    <w:rsid w:val="00A83B3C"/>
    <w:rsid w:val="00A85068"/>
    <w:rsid w:val="00A8507F"/>
    <w:rsid w:val="00A8770E"/>
    <w:rsid w:val="00A900D2"/>
    <w:rsid w:val="00A9043D"/>
    <w:rsid w:val="00A90479"/>
    <w:rsid w:val="00A90956"/>
    <w:rsid w:val="00A90D57"/>
    <w:rsid w:val="00A91099"/>
    <w:rsid w:val="00A91DD7"/>
    <w:rsid w:val="00A922D4"/>
    <w:rsid w:val="00A92B0F"/>
    <w:rsid w:val="00A92C88"/>
    <w:rsid w:val="00A92DEB"/>
    <w:rsid w:val="00A92FF8"/>
    <w:rsid w:val="00A93144"/>
    <w:rsid w:val="00A93190"/>
    <w:rsid w:val="00A931D0"/>
    <w:rsid w:val="00A941CB"/>
    <w:rsid w:val="00A953B5"/>
    <w:rsid w:val="00A95B20"/>
    <w:rsid w:val="00A96E18"/>
    <w:rsid w:val="00A97100"/>
    <w:rsid w:val="00A97111"/>
    <w:rsid w:val="00AA077E"/>
    <w:rsid w:val="00AA0898"/>
    <w:rsid w:val="00AA0CBA"/>
    <w:rsid w:val="00AA132E"/>
    <w:rsid w:val="00AA1842"/>
    <w:rsid w:val="00AA1D1A"/>
    <w:rsid w:val="00AA1E9C"/>
    <w:rsid w:val="00AA31FF"/>
    <w:rsid w:val="00AA3326"/>
    <w:rsid w:val="00AA4952"/>
    <w:rsid w:val="00AA4D52"/>
    <w:rsid w:val="00AA4F4F"/>
    <w:rsid w:val="00AA524F"/>
    <w:rsid w:val="00AA5B68"/>
    <w:rsid w:val="00AA5FD8"/>
    <w:rsid w:val="00AA68F3"/>
    <w:rsid w:val="00AA6B0E"/>
    <w:rsid w:val="00AA6F50"/>
    <w:rsid w:val="00AA7069"/>
    <w:rsid w:val="00AA737F"/>
    <w:rsid w:val="00AB00E0"/>
    <w:rsid w:val="00AB13C1"/>
    <w:rsid w:val="00AB1C36"/>
    <w:rsid w:val="00AB2682"/>
    <w:rsid w:val="00AB2B17"/>
    <w:rsid w:val="00AB34A4"/>
    <w:rsid w:val="00AB3DD1"/>
    <w:rsid w:val="00AB5BEE"/>
    <w:rsid w:val="00AB5D7B"/>
    <w:rsid w:val="00AC0C14"/>
    <w:rsid w:val="00AC1249"/>
    <w:rsid w:val="00AC1CEF"/>
    <w:rsid w:val="00AC240E"/>
    <w:rsid w:val="00AC2E58"/>
    <w:rsid w:val="00AC31B8"/>
    <w:rsid w:val="00AC3A7C"/>
    <w:rsid w:val="00AC3B29"/>
    <w:rsid w:val="00AC3CCE"/>
    <w:rsid w:val="00AC3E60"/>
    <w:rsid w:val="00AC4512"/>
    <w:rsid w:val="00AC48D2"/>
    <w:rsid w:val="00AC59C1"/>
    <w:rsid w:val="00AC6238"/>
    <w:rsid w:val="00AC6D38"/>
    <w:rsid w:val="00AC6FBB"/>
    <w:rsid w:val="00AC7225"/>
    <w:rsid w:val="00AC7A85"/>
    <w:rsid w:val="00AD02B8"/>
    <w:rsid w:val="00AD07AC"/>
    <w:rsid w:val="00AD0A12"/>
    <w:rsid w:val="00AD0CB7"/>
    <w:rsid w:val="00AD1541"/>
    <w:rsid w:val="00AD1F4F"/>
    <w:rsid w:val="00AD1F5E"/>
    <w:rsid w:val="00AD202B"/>
    <w:rsid w:val="00AD2F30"/>
    <w:rsid w:val="00AD3157"/>
    <w:rsid w:val="00AD32C6"/>
    <w:rsid w:val="00AD3AD5"/>
    <w:rsid w:val="00AD45C8"/>
    <w:rsid w:val="00AD7CF5"/>
    <w:rsid w:val="00AD7D93"/>
    <w:rsid w:val="00AE05B9"/>
    <w:rsid w:val="00AE098C"/>
    <w:rsid w:val="00AE10B3"/>
    <w:rsid w:val="00AE15AC"/>
    <w:rsid w:val="00AE1899"/>
    <w:rsid w:val="00AE24E5"/>
    <w:rsid w:val="00AE28B6"/>
    <w:rsid w:val="00AE2B8C"/>
    <w:rsid w:val="00AE30BA"/>
    <w:rsid w:val="00AE35DE"/>
    <w:rsid w:val="00AE391A"/>
    <w:rsid w:val="00AE3ADB"/>
    <w:rsid w:val="00AE3AF6"/>
    <w:rsid w:val="00AE3C69"/>
    <w:rsid w:val="00AE3D14"/>
    <w:rsid w:val="00AE4479"/>
    <w:rsid w:val="00AE4AE8"/>
    <w:rsid w:val="00AE5077"/>
    <w:rsid w:val="00AE66A3"/>
    <w:rsid w:val="00AE6AB9"/>
    <w:rsid w:val="00AE6D32"/>
    <w:rsid w:val="00AF0614"/>
    <w:rsid w:val="00AF2EBD"/>
    <w:rsid w:val="00AF36E4"/>
    <w:rsid w:val="00AF3B29"/>
    <w:rsid w:val="00AF429A"/>
    <w:rsid w:val="00AF4DDD"/>
    <w:rsid w:val="00AF5541"/>
    <w:rsid w:val="00AF564C"/>
    <w:rsid w:val="00AF5733"/>
    <w:rsid w:val="00AF6296"/>
    <w:rsid w:val="00AF6466"/>
    <w:rsid w:val="00AF65C3"/>
    <w:rsid w:val="00AF6CA8"/>
    <w:rsid w:val="00AF6F77"/>
    <w:rsid w:val="00AF7348"/>
    <w:rsid w:val="00AF7F8E"/>
    <w:rsid w:val="00B00CEA"/>
    <w:rsid w:val="00B00FB4"/>
    <w:rsid w:val="00B01775"/>
    <w:rsid w:val="00B0231D"/>
    <w:rsid w:val="00B02472"/>
    <w:rsid w:val="00B026BF"/>
    <w:rsid w:val="00B027E3"/>
    <w:rsid w:val="00B028BF"/>
    <w:rsid w:val="00B02CEA"/>
    <w:rsid w:val="00B03267"/>
    <w:rsid w:val="00B042BA"/>
    <w:rsid w:val="00B05912"/>
    <w:rsid w:val="00B064A6"/>
    <w:rsid w:val="00B07B6A"/>
    <w:rsid w:val="00B102E2"/>
    <w:rsid w:val="00B108F7"/>
    <w:rsid w:val="00B10ACC"/>
    <w:rsid w:val="00B1152B"/>
    <w:rsid w:val="00B1240A"/>
    <w:rsid w:val="00B13581"/>
    <w:rsid w:val="00B13584"/>
    <w:rsid w:val="00B14127"/>
    <w:rsid w:val="00B14231"/>
    <w:rsid w:val="00B1507B"/>
    <w:rsid w:val="00B151A6"/>
    <w:rsid w:val="00B1545F"/>
    <w:rsid w:val="00B1631C"/>
    <w:rsid w:val="00B16C3B"/>
    <w:rsid w:val="00B16E48"/>
    <w:rsid w:val="00B16F0A"/>
    <w:rsid w:val="00B1742B"/>
    <w:rsid w:val="00B17543"/>
    <w:rsid w:val="00B17AF6"/>
    <w:rsid w:val="00B17E9F"/>
    <w:rsid w:val="00B20D96"/>
    <w:rsid w:val="00B213F8"/>
    <w:rsid w:val="00B21D51"/>
    <w:rsid w:val="00B22C04"/>
    <w:rsid w:val="00B22C12"/>
    <w:rsid w:val="00B24A36"/>
    <w:rsid w:val="00B25FB7"/>
    <w:rsid w:val="00B2608B"/>
    <w:rsid w:val="00B26177"/>
    <w:rsid w:val="00B263E7"/>
    <w:rsid w:val="00B26563"/>
    <w:rsid w:val="00B26690"/>
    <w:rsid w:val="00B26857"/>
    <w:rsid w:val="00B2743B"/>
    <w:rsid w:val="00B27458"/>
    <w:rsid w:val="00B27C06"/>
    <w:rsid w:val="00B305EA"/>
    <w:rsid w:val="00B30E5C"/>
    <w:rsid w:val="00B3134A"/>
    <w:rsid w:val="00B315F5"/>
    <w:rsid w:val="00B31739"/>
    <w:rsid w:val="00B32377"/>
    <w:rsid w:val="00B32DE9"/>
    <w:rsid w:val="00B3436F"/>
    <w:rsid w:val="00B343A9"/>
    <w:rsid w:val="00B344F7"/>
    <w:rsid w:val="00B3509E"/>
    <w:rsid w:val="00B350E5"/>
    <w:rsid w:val="00B35B4C"/>
    <w:rsid w:val="00B35D5A"/>
    <w:rsid w:val="00B35DC2"/>
    <w:rsid w:val="00B36505"/>
    <w:rsid w:val="00B375B9"/>
    <w:rsid w:val="00B37853"/>
    <w:rsid w:val="00B37BAA"/>
    <w:rsid w:val="00B37D83"/>
    <w:rsid w:val="00B37F4B"/>
    <w:rsid w:val="00B409FD"/>
    <w:rsid w:val="00B40BF6"/>
    <w:rsid w:val="00B41102"/>
    <w:rsid w:val="00B411DA"/>
    <w:rsid w:val="00B412FD"/>
    <w:rsid w:val="00B4179C"/>
    <w:rsid w:val="00B418C1"/>
    <w:rsid w:val="00B41FF1"/>
    <w:rsid w:val="00B428D5"/>
    <w:rsid w:val="00B42D21"/>
    <w:rsid w:val="00B42DB7"/>
    <w:rsid w:val="00B42F1C"/>
    <w:rsid w:val="00B435AC"/>
    <w:rsid w:val="00B43A41"/>
    <w:rsid w:val="00B43EBB"/>
    <w:rsid w:val="00B43F99"/>
    <w:rsid w:val="00B44540"/>
    <w:rsid w:val="00B4484A"/>
    <w:rsid w:val="00B44ED8"/>
    <w:rsid w:val="00B459EB"/>
    <w:rsid w:val="00B45E36"/>
    <w:rsid w:val="00B460FB"/>
    <w:rsid w:val="00B464D0"/>
    <w:rsid w:val="00B467D1"/>
    <w:rsid w:val="00B4699F"/>
    <w:rsid w:val="00B47249"/>
    <w:rsid w:val="00B479F3"/>
    <w:rsid w:val="00B50C3F"/>
    <w:rsid w:val="00B51769"/>
    <w:rsid w:val="00B52AC4"/>
    <w:rsid w:val="00B5385D"/>
    <w:rsid w:val="00B53B28"/>
    <w:rsid w:val="00B53F0A"/>
    <w:rsid w:val="00B545FF"/>
    <w:rsid w:val="00B56067"/>
    <w:rsid w:val="00B561C0"/>
    <w:rsid w:val="00B5669F"/>
    <w:rsid w:val="00B56D3A"/>
    <w:rsid w:val="00B5731A"/>
    <w:rsid w:val="00B57468"/>
    <w:rsid w:val="00B6075C"/>
    <w:rsid w:val="00B60862"/>
    <w:rsid w:val="00B6238E"/>
    <w:rsid w:val="00B624E1"/>
    <w:rsid w:val="00B62F13"/>
    <w:rsid w:val="00B6396C"/>
    <w:rsid w:val="00B639DF"/>
    <w:rsid w:val="00B63C0A"/>
    <w:rsid w:val="00B63E24"/>
    <w:rsid w:val="00B640CD"/>
    <w:rsid w:val="00B64CC4"/>
    <w:rsid w:val="00B653BA"/>
    <w:rsid w:val="00B65A86"/>
    <w:rsid w:val="00B65D21"/>
    <w:rsid w:val="00B66567"/>
    <w:rsid w:val="00B66B88"/>
    <w:rsid w:val="00B67469"/>
    <w:rsid w:val="00B70092"/>
    <w:rsid w:val="00B708CF"/>
    <w:rsid w:val="00B731FD"/>
    <w:rsid w:val="00B74BD8"/>
    <w:rsid w:val="00B7504B"/>
    <w:rsid w:val="00B7518C"/>
    <w:rsid w:val="00B75838"/>
    <w:rsid w:val="00B7595D"/>
    <w:rsid w:val="00B76042"/>
    <w:rsid w:val="00B7650B"/>
    <w:rsid w:val="00B767EA"/>
    <w:rsid w:val="00B768D5"/>
    <w:rsid w:val="00B76977"/>
    <w:rsid w:val="00B76ECF"/>
    <w:rsid w:val="00B77387"/>
    <w:rsid w:val="00B773E5"/>
    <w:rsid w:val="00B77BA2"/>
    <w:rsid w:val="00B77C85"/>
    <w:rsid w:val="00B80DC1"/>
    <w:rsid w:val="00B811FF"/>
    <w:rsid w:val="00B81A4A"/>
    <w:rsid w:val="00B82F3A"/>
    <w:rsid w:val="00B838BE"/>
    <w:rsid w:val="00B84697"/>
    <w:rsid w:val="00B84970"/>
    <w:rsid w:val="00B85A8A"/>
    <w:rsid w:val="00B85AD4"/>
    <w:rsid w:val="00B86A4F"/>
    <w:rsid w:val="00B87186"/>
    <w:rsid w:val="00B87724"/>
    <w:rsid w:val="00B87A64"/>
    <w:rsid w:val="00B9049F"/>
    <w:rsid w:val="00B905D4"/>
    <w:rsid w:val="00B9082F"/>
    <w:rsid w:val="00B90AB3"/>
    <w:rsid w:val="00B913BB"/>
    <w:rsid w:val="00B9203A"/>
    <w:rsid w:val="00B937F3"/>
    <w:rsid w:val="00B942A9"/>
    <w:rsid w:val="00B945F6"/>
    <w:rsid w:val="00B95203"/>
    <w:rsid w:val="00B9575E"/>
    <w:rsid w:val="00B95E37"/>
    <w:rsid w:val="00B96546"/>
    <w:rsid w:val="00B96A73"/>
    <w:rsid w:val="00B97877"/>
    <w:rsid w:val="00B97880"/>
    <w:rsid w:val="00B97915"/>
    <w:rsid w:val="00BA0B29"/>
    <w:rsid w:val="00BA0CD6"/>
    <w:rsid w:val="00BA1908"/>
    <w:rsid w:val="00BA1C59"/>
    <w:rsid w:val="00BA1FAA"/>
    <w:rsid w:val="00BA2327"/>
    <w:rsid w:val="00BA269E"/>
    <w:rsid w:val="00BA29F3"/>
    <w:rsid w:val="00BA2E1A"/>
    <w:rsid w:val="00BA313F"/>
    <w:rsid w:val="00BA36B8"/>
    <w:rsid w:val="00BA3BAD"/>
    <w:rsid w:val="00BA4531"/>
    <w:rsid w:val="00BA4C49"/>
    <w:rsid w:val="00BA4CA3"/>
    <w:rsid w:val="00BA4F2F"/>
    <w:rsid w:val="00BA5015"/>
    <w:rsid w:val="00BA5355"/>
    <w:rsid w:val="00BA5668"/>
    <w:rsid w:val="00BA605F"/>
    <w:rsid w:val="00BA659E"/>
    <w:rsid w:val="00BA7873"/>
    <w:rsid w:val="00BB06C9"/>
    <w:rsid w:val="00BB09EA"/>
    <w:rsid w:val="00BB09F1"/>
    <w:rsid w:val="00BB18F4"/>
    <w:rsid w:val="00BB200A"/>
    <w:rsid w:val="00BB224A"/>
    <w:rsid w:val="00BB267D"/>
    <w:rsid w:val="00BB2F95"/>
    <w:rsid w:val="00BB314A"/>
    <w:rsid w:val="00BB32C8"/>
    <w:rsid w:val="00BB4094"/>
    <w:rsid w:val="00BB4749"/>
    <w:rsid w:val="00BB51F3"/>
    <w:rsid w:val="00BB58ED"/>
    <w:rsid w:val="00BB651C"/>
    <w:rsid w:val="00BB6787"/>
    <w:rsid w:val="00BB7B0C"/>
    <w:rsid w:val="00BC0A84"/>
    <w:rsid w:val="00BC0BDD"/>
    <w:rsid w:val="00BC23C0"/>
    <w:rsid w:val="00BC2AEE"/>
    <w:rsid w:val="00BC4E06"/>
    <w:rsid w:val="00BC566E"/>
    <w:rsid w:val="00BC665A"/>
    <w:rsid w:val="00BC6977"/>
    <w:rsid w:val="00BC71B1"/>
    <w:rsid w:val="00BC735E"/>
    <w:rsid w:val="00BC79DD"/>
    <w:rsid w:val="00BD012A"/>
    <w:rsid w:val="00BD03C4"/>
    <w:rsid w:val="00BD0947"/>
    <w:rsid w:val="00BD09C4"/>
    <w:rsid w:val="00BD161B"/>
    <w:rsid w:val="00BD1ACE"/>
    <w:rsid w:val="00BD2913"/>
    <w:rsid w:val="00BD2DC8"/>
    <w:rsid w:val="00BD39FC"/>
    <w:rsid w:val="00BD48AB"/>
    <w:rsid w:val="00BD4DB9"/>
    <w:rsid w:val="00BD5408"/>
    <w:rsid w:val="00BD6143"/>
    <w:rsid w:val="00BD67F2"/>
    <w:rsid w:val="00BE140F"/>
    <w:rsid w:val="00BE182C"/>
    <w:rsid w:val="00BE1BC2"/>
    <w:rsid w:val="00BE1CE7"/>
    <w:rsid w:val="00BE2A19"/>
    <w:rsid w:val="00BE32D7"/>
    <w:rsid w:val="00BE37DB"/>
    <w:rsid w:val="00BE49BA"/>
    <w:rsid w:val="00BE5295"/>
    <w:rsid w:val="00BE599A"/>
    <w:rsid w:val="00BE5E66"/>
    <w:rsid w:val="00BE5F4C"/>
    <w:rsid w:val="00BE7026"/>
    <w:rsid w:val="00BE79FF"/>
    <w:rsid w:val="00BE7D56"/>
    <w:rsid w:val="00BE7E32"/>
    <w:rsid w:val="00BF0053"/>
    <w:rsid w:val="00BF035C"/>
    <w:rsid w:val="00BF07AB"/>
    <w:rsid w:val="00BF1993"/>
    <w:rsid w:val="00BF1A36"/>
    <w:rsid w:val="00BF251F"/>
    <w:rsid w:val="00BF2767"/>
    <w:rsid w:val="00BF291C"/>
    <w:rsid w:val="00BF32CD"/>
    <w:rsid w:val="00BF33B8"/>
    <w:rsid w:val="00BF3CFC"/>
    <w:rsid w:val="00BF3ECD"/>
    <w:rsid w:val="00BF4122"/>
    <w:rsid w:val="00BF49A2"/>
    <w:rsid w:val="00BF51D7"/>
    <w:rsid w:val="00BF5A24"/>
    <w:rsid w:val="00BF60BC"/>
    <w:rsid w:val="00BF69C5"/>
    <w:rsid w:val="00BF6C19"/>
    <w:rsid w:val="00BF7231"/>
    <w:rsid w:val="00BF782A"/>
    <w:rsid w:val="00BF790C"/>
    <w:rsid w:val="00BF79CF"/>
    <w:rsid w:val="00C00A67"/>
    <w:rsid w:val="00C0106B"/>
    <w:rsid w:val="00C01535"/>
    <w:rsid w:val="00C01717"/>
    <w:rsid w:val="00C01B43"/>
    <w:rsid w:val="00C01C7E"/>
    <w:rsid w:val="00C02485"/>
    <w:rsid w:val="00C03005"/>
    <w:rsid w:val="00C03430"/>
    <w:rsid w:val="00C0439A"/>
    <w:rsid w:val="00C0478D"/>
    <w:rsid w:val="00C048B6"/>
    <w:rsid w:val="00C059F5"/>
    <w:rsid w:val="00C05DF7"/>
    <w:rsid w:val="00C062DE"/>
    <w:rsid w:val="00C063DC"/>
    <w:rsid w:val="00C064A5"/>
    <w:rsid w:val="00C06786"/>
    <w:rsid w:val="00C06B39"/>
    <w:rsid w:val="00C07374"/>
    <w:rsid w:val="00C10503"/>
    <w:rsid w:val="00C1054F"/>
    <w:rsid w:val="00C106B8"/>
    <w:rsid w:val="00C111B9"/>
    <w:rsid w:val="00C11D34"/>
    <w:rsid w:val="00C11EB6"/>
    <w:rsid w:val="00C1200E"/>
    <w:rsid w:val="00C12389"/>
    <w:rsid w:val="00C12812"/>
    <w:rsid w:val="00C136D1"/>
    <w:rsid w:val="00C1414E"/>
    <w:rsid w:val="00C14465"/>
    <w:rsid w:val="00C14E73"/>
    <w:rsid w:val="00C15483"/>
    <w:rsid w:val="00C15A11"/>
    <w:rsid w:val="00C15D14"/>
    <w:rsid w:val="00C16BAE"/>
    <w:rsid w:val="00C20932"/>
    <w:rsid w:val="00C20DCD"/>
    <w:rsid w:val="00C21201"/>
    <w:rsid w:val="00C21A46"/>
    <w:rsid w:val="00C21A57"/>
    <w:rsid w:val="00C223A7"/>
    <w:rsid w:val="00C227F5"/>
    <w:rsid w:val="00C22E64"/>
    <w:rsid w:val="00C22F09"/>
    <w:rsid w:val="00C22FB0"/>
    <w:rsid w:val="00C245D8"/>
    <w:rsid w:val="00C248F0"/>
    <w:rsid w:val="00C24CA0"/>
    <w:rsid w:val="00C26C23"/>
    <w:rsid w:val="00C304A5"/>
    <w:rsid w:val="00C3065B"/>
    <w:rsid w:val="00C308F2"/>
    <w:rsid w:val="00C30960"/>
    <w:rsid w:val="00C30E87"/>
    <w:rsid w:val="00C31F95"/>
    <w:rsid w:val="00C33CF7"/>
    <w:rsid w:val="00C33FCA"/>
    <w:rsid w:val="00C343D0"/>
    <w:rsid w:val="00C3550D"/>
    <w:rsid w:val="00C356BE"/>
    <w:rsid w:val="00C358B4"/>
    <w:rsid w:val="00C358C5"/>
    <w:rsid w:val="00C36992"/>
    <w:rsid w:val="00C40905"/>
    <w:rsid w:val="00C411D3"/>
    <w:rsid w:val="00C4130F"/>
    <w:rsid w:val="00C41437"/>
    <w:rsid w:val="00C42A00"/>
    <w:rsid w:val="00C42B79"/>
    <w:rsid w:val="00C42D63"/>
    <w:rsid w:val="00C42F80"/>
    <w:rsid w:val="00C43D5F"/>
    <w:rsid w:val="00C44463"/>
    <w:rsid w:val="00C449F9"/>
    <w:rsid w:val="00C44F23"/>
    <w:rsid w:val="00C462C8"/>
    <w:rsid w:val="00C46F6D"/>
    <w:rsid w:val="00C47011"/>
    <w:rsid w:val="00C47D98"/>
    <w:rsid w:val="00C50313"/>
    <w:rsid w:val="00C504E3"/>
    <w:rsid w:val="00C50C52"/>
    <w:rsid w:val="00C512D1"/>
    <w:rsid w:val="00C5194D"/>
    <w:rsid w:val="00C52057"/>
    <w:rsid w:val="00C52114"/>
    <w:rsid w:val="00C529DC"/>
    <w:rsid w:val="00C53A41"/>
    <w:rsid w:val="00C54F8E"/>
    <w:rsid w:val="00C560F2"/>
    <w:rsid w:val="00C568EF"/>
    <w:rsid w:val="00C57412"/>
    <w:rsid w:val="00C57A20"/>
    <w:rsid w:val="00C57A37"/>
    <w:rsid w:val="00C60311"/>
    <w:rsid w:val="00C608E2"/>
    <w:rsid w:val="00C60902"/>
    <w:rsid w:val="00C60A44"/>
    <w:rsid w:val="00C60FE6"/>
    <w:rsid w:val="00C61430"/>
    <w:rsid w:val="00C61533"/>
    <w:rsid w:val="00C6227C"/>
    <w:rsid w:val="00C6263C"/>
    <w:rsid w:val="00C62BDB"/>
    <w:rsid w:val="00C62BF2"/>
    <w:rsid w:val="00C6304F"/>
    <w:rsid w:val="00C6373D"/>
    <w:rsid w:val="00C64CF5"/>
    <w:rsid w:val="00C650CC"/>
    <w:rsid w:val="00C6547A"/>
    <w:rsid w:val="00C6657F"/>
    <w:rsid w:val="00C700C0"/>
    <w:rsid w:val="00C708DD"/>
    <w:rsid w:val="00C71B62"/>
    <w:rsid w:val="00C7249A"/>
    <w:rsid w:val="00C725DD"/>
    <w:rsid w:val="00C72A9C"/>
    <w:rsid w:val="00C72FFF"/>
    <w:rsid w:val="00C73244"/>
    <w:rsid w:val="00C73C00"/>
    <w:rsid w:val="00C74487"/>
    <w:rsid w:val="00C75158"/>
    <w:rsid w:val="00C75631"/>
    <w:rsid w:val="00C75AF7"/>
    <w:rsid w:val="00C75C51"/>
    <w:rsid w:val="00C7604B"/>
    <w:rsid w:val="00C768A8"/>
    <w:rsid w:val="00C76B47"/>
    <w:rsid w:val="00C76CA1"/>
    <w:rsid w:val="00C76CC1"/>
    <w:rsid w:val="00C7717F"/>
    <w:rsid w:val="00C80639"/>
    <w:rsid w:val="00C80BA9"/>
    <w:rsid w:val="00C80CA2"/>
    <w:rsid w:val="00C82102"/>
    <w:rsid w:val="00C82D4A"/>
    <w:rsid w:val="00C83434"/>
    <w:rsid w:val="00C83A9B"/>
    <w:rsid w:val="00C83B7A"/>
    <w:rsid w:val="00C84656"/>
    <w:rsid w:val="00C85090"/>
    <w:rsid w:val="00C8549F"/>
    <w:rsid w:val="00C8690B"/>
    <w:rsid w:val="00C86FCA"/>
    <w:rsid w:val="00C873A6"/>
    <w:rsid w:val="00C87D20"/>
    <w:rsid w:val="00C90C01"/>
    <w:rsid w:val="00C90EFC"/>
    <w:rsid w:val="00C912F0"/>
    <w:rsid w:val="00C91EED"/>
    <w:rsid w:val="00C9277F"/>
    <w:rsid w:val="00C9299E"/>
    <w:rsid w:val="00C9304F"/>
    <w:rsid w:val="00C93C95"/>
    <w:rsid w:val="00C93D26"/>
    <w:rsid w:val="00C93E86"/>
    <w:rsid w:val="00C942D2"/>
    <w:rsid w:val="00C95186"/>
    <w:rsid w:val="00C96B5F"/>
    <w:rsid w:val="00C97096"/>
    <w:rsid w:val="00CA0405"/>
    <w:rsid w:val="00CA0737"/>
    <w:rsid w:val="00CA07E1"/>
    <w:rsid w:val="00CA0D50"/>
    <w:rsid w:val="00CA0D5C"/>
    <w:rsid w:val="00CA1258"/>
    <w:rsid w:val="00CA132D"/>
    <w:rsid w:val="00CA17D5"/>
    <w:rsid w:val="00CA19E2"/>
    <w:rsid w:val="00CA1EBA"/>
    <w:rsid w:val="00CA23A0"/>
    <w:rsid w:val="00CA2D8A"/>
    <w:rsid w:val="00CA54C6"/>
    <w:rsid w:val="00CA58FD"/>
    <w:rsid w:val="00CA5D3B"/>
    <w:rsid w:val="00CA6ECD"/>
    <w:rsid w:val="00CA761D"/>
    <w:rsid w:val="00CA7650"/>
    <w:rsid w:val="00CA7DD6"/>
    <w:rsid w:val="00CB0161"/>
    <w:rsid w:val="00CB2E3C"/>
    <w:rsid w:val="00CB2FB1"/>
    <w:rsid w:val="00CB34A9"/>
    <w:rsid w:val="00CB374A"/>
    <w:rsid w:val="00CB3ECC"/>
    <w:rsid w:val="00CB4427"/>
    <w:rsid w:val="00CB477F"/>
    <w:rsid w:val="00CB543F"/>
    <w:rsid w:val="00CB618C"/>
    <w:rsid w:val="00CB632D"/>
    <w:rsid w:val="00CB69DF"/>
    <w:rsid w:val="00CB7945"/>
    <w:rsid w:val="00CB79C5"/>
    <w:rsid w:val="00CB7F69"/>
    <w:rsid w:val="00CC0BA6"/>
    <w:rsid w:val="00CC0C84"/>
    <w:rsid w:val="00CC1158"/>
    <w:rsid w:val="00CC1DCD"/>
    <w:rsid w:val="00CC222E"/>
    <w:rsid w:val="00CC23FF"/>
    <w:rsid w:val="00CC28E7"/>
    <w:rsid w:val="00CC2B65"/>
    <w:rsid w:val="00CC34E7"/>
    <w:rsid w:val="00CC4061"/>
    <w:rsid w:val="00CC4941"/>
    <w:rsid w:val="00CC57C0"/>
    <w:rsid w:val="00CC664F"/>
    <w:rsid w:val="00CC6B40"/>
    <w:rsid w:val="00CC72E8"/>
    <w:rsid w:val="00CD00A0"/>
    <w:rsid w:val="00CD00CB"/>
    <w:rsid w:val="00CD0844"/>
    <w:rsid w:val="00CD141C"/>
    <w:rsid w:val="00CD1664"/>
    <w:rsid w:val="00CD20C9"/>
    <w:rsid w:val="00CD2A93"/>
    <w:rsid w:val="00CD2C53"/>
    <w:rsid w:val="00CD2C8F"/>
    <w:rsid w:val="00CD3321"/>
    <w:rsid w:val="00CD3383"/>
    <w:rsid w:val="00CD3AB9"/>
    <w:rsid w:val="00CD3F6F"/>
    <w:rsid w:val="00CD4196"/>
    <w:rsid w:val="00CD4649"/>
    <w:rsid w:val="00CD5761"/>
    <w:rsid w:val="00CD5A8A"/>
    <w:rsid w:val="00CD5BC7"/>
    <w:rsid w:val="00CD6063"/>
    <w:rsid w:val="00CD705F"/>
    <w:rsid w:val="00CD7CD2"/>
    <w:rsid w:val="00CE0025"/>
    <w:rsid w:val="00CE128B"/>
    <w:rsid w:val="00CE2576"/>
    <w:rsid w:val="00CE27F9"/>
    <w:rsid w:val="00CE2AEE"/>
    <w:rsid w:val="00CE3C96"/>
    <w:rsid w:val="00CE487C"/>
    <w:rsid w:val="00CE49DC"/>
    <w:rsid w:val="00CE51E4"/>
    <w:rsid w:val="00CE5B0A"/>
    <w:rsid w:val="00CE5ED8"/>
    <w:rsid w:val="00CE66A7"/>
    <w:rsid w:val="00CE6D67"/>
    <w:rsid w:val="00CE7BA2"/>
    <w:rsid w:val="00CE7C15"/>
    <w:rsid w:val="00CE7F2F"/>
    <w:rsid w:val="00CF09A0"/>
    <w:rsid w:val="00CF1868"/>
    <w:rsid w:val="00CF18EE"/>
    <w:rsid w:val="00CF1AA3"/>
    <w:rsid w:val="00CF1E96"/>
    <w:rsid w:val="00CF2564"/>
    <w:rsid w:val="00CF2ED2"/>
    <w:rsid w:val="00CF3349"/>
    <w:rsid w:val="00CF33C7"/>
    <w:rsid w:val="00CF3BD1"/>
    <w:rsid w:val="00CF408F"/>
    <w:rsid w:val="00CF5A4E"/>
    <w:rsid w:val="00CF5C10"/>
    <w:rsid w:val="00CF5FFA"/>
    <w:rsid w:val="00CF62BD"/>
    <w:rsid w:val="00CF67A3"/>
    <w:rsid w:val="00CF7076"/>
    <w:rsid w:val="00CF7623"/>
    <w:rsid w:val="00CF7D33"/>
    <w:rsid w:val="00D00149"/>
    <w:rsid w:val="00D004FE"/>
    <w:rsid w:val="00D00565"/>
    <w:rsid w:val="00D005DB"/>
    <w:rsid w:val="00D0066F"/>
    <w:rsid w:val="00D00757"/>
    <w:rsid w:val="00D00982"/>
    <w:rsid w:val="00D00CBC"/>
    <w:rsid w:val="00D00F7F"/>
    <w:rsid w:val="00D010D2"/>
    <w:rsid w:val="00D01C71"/>
    <w:rsid w:val="00D026A6"/>
    <w:rsid w:val="00D0344E"/>
    <w:rsid w:val="00D03F62"/>
    <w:rsid w:val="00D0426A"/>
    <w:rsid w:val="00D04937"/>
    <w:rsid w:val="00D05585"/>
    <w:rsid w:val="00D060C2"/>
    <w:rsid w:val="00D06915"/>
    <w:rsid w:val="00D06ADE"/>
    <w:rsid w:val="00D07D19"/>
    <w:rsid w:val="00D07E04"/>
    <w:rsid w:val="00D101D7"/>
    <w:rsid w:val="00D106D2"/>
    <w:rsid w:val="00D107CD"/>
    <w:rsid w:val="00D10AD2"/>
    <w:rsid w:val="00D11398"/>
    <w:rsid w:val="00D117A5"/>
    <w:rsid w:val="00D1206B"/>
    <w:rsid w:val="00D12084"/>
    <w:rsid w:val="00D1281C"/>
    <w:rsid w:val="00D12988"/>
    <w:rsid w:val="00D12E56"/>
    <w:rsid w:val="00D13367"/>
    <w:rsid w:val="00D138B9"/>
    <w:rsid w:val="00D1452E"/>
    <w:rsid w:val="00D145E2"/>
    <w:rsid w:val="00D14DCB"/>
    <w:rsid w:val="00D14F7C"/>
    <w:rsid w:val="00D1550B"/>
    <w:rsid w:val="00D15881"/>
    <w:rsid w:val="00D15E84"/>
    <w:rsid w:val="00D166A4"/>
    <w:rsid w:val="00D169B4"/>
    <w:rsid w:val="00D16EFE"/>
    <w:rsid w:val="00D208C7"/>
    <w:rsid w:val="00D20C3D"/>
    <w:rsid w:val="00D21C28"/>
    <w:rsid w:val="00D225AF"/>
    <w:rsid w:val="00D22BA7"/>
    <w:rsid w:val="00D22C54"/>
    <w:rsid w:val="00D22CD1"/>
    <w:rsid w:val="00D2309C"/>
    <w:rsid w:val="00D236C0"/>
    <w:rsid w:val="00D23AF8"/>
    <w:rsid w:val="00D243B2"/>
    <w:rsid w:val="00D24760"/>
    <w:rsid w:val="00D24795"/>
    <w:rsid w:val="00D2482E"/>
    <w:rsid w:val="00D24CBC"/>
    <w:rsid w:val="00D25C6A"/>
    <w:rsid w:val="00D260F8"/>
    <w:rsid w:val="00D26FF5"/>
    <w:rsid w:val="00D31465"/>
    <w:rsid w:val="00D3389D"/>
    <w:rsid w:val="00D345B3"/>
    <w:rsid w:val="00D34719"/>
    <w:rsid w:val="00D35688"/>
    <w:rsid w:val="00D369A3"/>
    <w:rsid w:val="00D36D0E"/>
    <w:rsid w:val="00D40F0B"/>
    <w:rsid w:val="00D419CD"/>
    <w:rsid w:val="00D41D62"/>
    <w:rsid w:val="00D42ABC"/>
    <w:rsid w:val="00D42B2B"/>
    <w:rsid w:val="00D43E3C"/>
    <w:rsid w:val="00D44478"/>
    <w:rsid w:val="00D449DC"/>
    <w:rsid w:val="00D44BB0"/>
    <w:rsid w:val="00D456F8"/>
    <w:rsid w:val="00D459EC"/>
    <w:rsid w:val="00D46334"/>
    <w:rsid w:val="00D46422"/>
    <w:rsid w:val="00D468A3"/>
    <w:rsid w:val="00D46DE6"/>
    <w:rsid w:val="00D470F4"/>
    <w:rsid w:val="00D50ED7"/>
    <w:rsid w:val="00D51583"/>
    <w:rsid w:val="00D5200F"/>
    <w:rsid w:val="00D52138"/>
    <w:rsid w:val="00D52973"/>
    <w:rsid w:val="00D52B74"/>
    <w:rsid w:val="00D53244"/>
    <w:rsid w:val="00D53D5C"/>
    <w:rsid w:val="00D55103"/>
    <w:rsid w:val="00D5540D"/>
    <w:rsid w:val="00D55744"/>
    <w:rsid w:val="00D57B7B"/>
    <w:rsid w:val="00D57EEB"/>
    <w:rsid w:val="00D60D5F"/>
    <w:rsid w:val="00D61449"/>
    <w:rsid w:val="00D61FB5"/>
    <w:rsid w:val="00D62127"/>
    <w:rsid w:val="00D6241A"/>
    <w:rsid w:val="00D631DE"/>
    <w:rsid w:val="00D63376"/>
    <w:rsid w:val="00D6340E"/>
    <w:rsid w:val="00D63C54"/>
    <w:rsid w:val="00D64C0D"/>
    <w:rsid w:val="00D65F14"/>
    <w:rsid w:val="00D66139"/>
    <w:rsid w:val="00D66586"/>
    <w:rsid w:val="00D66809"/>
    <w:rsid w:val="00D66FBA"/>
    <w:rsid w:val="00D67126"/>
    <w:rsid w:val="00D6776E"/>
    <w:rsid w:val="00D67E12"/>
    <w:rsid w:val="00D7049F"/>
    <w:rsid w:val="00D70D18"/>
    <w:rsid w:val="00D71118"/>
    <w:rsid w:val="00D716B9"/>
    <w:rsid w:val="00D7331F"/>
    <w:rsid w:val="00D737CD"/>
    <w:rsid w:val="00D739E7"/>
    <w:rsid w:val="00D75929"/>
    <w:rsid w:val="00D7593E"/>
    <w:rsid w:val="00D75A47"/>
    <w:rsid w:val="00D75EDB"/>
    <w:rsid w:val="00D75F33"/>
    <w:rsid w:val="00D764A8"/>
    <w:rsid w:val="00D76E73"/>
    <w:rsid w:val="00D77344"/>
    <w:rsid w:val="00D77ABA"/>
    <w:rsid w:val="00D77E84"/>
    <w:rsid w:val="00D77FCA"/>
    <w:rsid w:val="00D80116"/>
    <w:rsid w:val="00D80272"/>
    <w:rsid w:val="00D810C6"/>
    <w:rsid w:val="00D81DE0"/>
    <w:rsid w:val="00D836B7"/>
    <w:rsid w:val="00D83B1D"/>
    <w:rsid w:val="00D84332"/>
    <w:rsid w:val="00D853F1"/>
    <w:rsid w:val="00D85AC1"/>
    <w:rsid w:val="00D8626A"/>
    <w:rsid w:val="00D862A4"/>
    <w:rsid w:val="00D86D7F"/>
    <w:rsid w:val="00D8777C"/>
    <w:rsid w:val="00D902B1"/>
    <w:rsid w:val="00D90B39"/>
    <w:rsid w:val="00D92234"/>
    <w:rsid w:val="00D92C94"/>
    <w:rsid w:val="00D93727"/>
    <w:rsid w:val="00D94F76"/>
    <w:rsid w:val="00D95ABB"/>
    <w:rsid w:val="00D95C53"/>
    <w:rsid w:val="00D9621D"/>
    <w:rsid w:val="00D96695"/>
    <w:rsid w:val="00D96E73"/>
    <w:rsid w:val="00DA08A9"/>
    <w:rsid w:val="00DA0BD3"/>
    <w:rsid w:val="00DA0E8A"/>
    <w:rsid w:val="00DA0E9D"/>
    <w:rsid w:val="00DA15B9"/>
    <w:rsid w:val="00DA1A31"/>
    <w:rsid w:val="00DA1C44"/>
    <w:rsid w:val="00DA22F0"/>
    <w:rsid w:val="00DA2512"/>
    <w:rsid w:val="00DA2910"/>
    <w:rsid w:val="00DA2FD2"/>
    <w:rsid w:val="00DA362D"/>
    <w:rsid w:val="00DA37AC"/>
    <w:rsid w:val="00DA3C0A"/>
    <w:rsid w:val="00DA484B"/>
    <w:rsid w:val="00DA50D1"/>
    <w:rsid w:val="00DA59DE"/>
    <w:rsid w:val="00DA5A78"/>
    <w:rsid w:val="00DA6FC6"/>
    <w:rsid w:val="00DB04C5"/>
    <w:rsid w:val="00DB05FF"/>
    <w:rsid w:val="00DB0A71"/>
    <w:rsid w:val="00DB0D36"/>
    <w:rsid w:val="00DB0D9D"/>
    <w:rsid w:val="00DB1065"/>
    <w:rsid w:val="00DB13EF"/>
    <w:rsid w:val="00DB20EC"/>
    <w:rsid w:val="00DB29C2"/>
    <w:rsid w:val="00DB4099"/>
    <w:rsid w:val="00DB40CA"/>
    <w:rsid w:val="00DB4429"/>
    <w:rsid w:val="00DB44DB"/>
    <w:rsid w:val="00DB48AA"/>
    <w:rsid w:val="00DB48CE"/>
    <w:rsid w:val="00DB4970"/>
    <w:rsid w:val="00DB55F0"/>
    <w:rsid w:val="00DB5875"/>
    <w:rsid w:val="00DB7670"/>
    <w:rsid w:val="00DB7A33"/>
    <w:rsid w:val="00DB7DC2"/>
    <w:rsid w:val="00DB7E12"/>
    <w:rsid w:val="00DC0881"/>
    <w:rsid w:val="00DC13B2"/>
    <w:rsid w:val="00DC17EF"/>
    <w:rsid w:val="00DC199A"/>
    <w:rsid w:val="00DC3411"/>
    <w:rsid w:val="00DC3649"/>
    <w:rsid w:val="00DC49D8"/>
    <w:rsid w:val="00DC4ACC"/>
    <w:rsid w:val="00DC53EA"/>
    <w:rsid w:val="00DC5501"/>
    <w:rsid w:val="00DC5FFB"/>
    <w:rsid w:val="00DC6015"/>
    <w:rsid w:val="00DC6170"/>
    <w:rsid w:val="00DC6829"/>
    <w:rsid w:val="00DC76B3"/>
    <w:rsid w:val="00DC7A93"/>
    <w:rsid w:val="00DC7DA1"/>
    <w:rsid w:val="00DD0011"/>
    <w:rsid w:val="00DD0BC4"/>
    <w:rsid w:val="00DD1FB0"/>
    <w:rsid w:val="00DD2671"/>
    <w:rsid w:val="00DD2695"/>
    <w:rsid w:val="00DD293F"/>
    <w:rsid w:val="00DD2B63"/>
    <w:rsid w:val="00DD2CB3"/>
    <w:rsid w:val="00DD330D"/>
    <w:rsid w:val="00DD33A3"/>
    <w:rsid w:val="00DD3837"/>
    <w:rsid w:val="00DD3BD6"/>
    <w:rsid w:val="00DD51F5"/>
    <w:rsid w:val="00DD56D7"/>
    <w:rsid w:val="00DD5DB2"/>
    <w:rsid w:val="00DD6570"/>
    <w:rsid w:val="00DD6BE4"/>
    <w:rsid w:val="00DD71F3"/>
    <w:rsid w:val="00DD7487"/>
    <w:rsid w:val="00DD7605"/>
    <w:rsid w:val="00DD7CB8"/>
    <w:rsid w:val="00DD7D09"/>
    <w:rsid w:val="00DE1314"/>
    <w:rsid w:val="00DE1370"/>
    <w:rsid w:val="00DE1A62"/>
    <w:rsid w:val="00DE1E56"/>
    <w:rsid w:val="00DE3307"/>
    <w:rsid w:val="00DE346E"/>
    <w:rsid w:val="00DE3BCB"/>
    <w:rsid w:val="00DE3EA3"/>
    <w:rsid w:val="00DE479D"/>
    <w:rsid w:val="00DE5570"/>
    <w:rsid w:val="00DE5BF4"/>
    <w:rsid w:val="00DE75D1"/>
    <w:rsid w:val="00DF0D80"/>
    <w:rsid w:val="00DF13CB"/>
    <w:rsid w:val="00DF1CB3"/>
    <w:rsid w:val="00DF283E"/>
    <w:rsid w:val="00DF2A11"/>
    <w:rsid w:val="00DF2B74"/>
    <w:rsid w:val="00DF3638"/>
    <w:rsid w:val="00DF3755"/>
    <w:rsid w:val="00DF3A34"/>
    <w:rsid w:val="00DF3E29"/>
    <w:rsid w:val="00DF40E2"/>
    <w:rsid w:val="00DF526D"/>
    <w:rsid w:val="00DF5728"/>
    <w:rsid w:val="00DF67C3"/>
    <w:rsid w:val="00DF70BC"/>
    <w:rsid w:val="00DF7A43"/>
    <w:rsid w:val="00E00059"/>
    <w:rsid w:val="00E00348"/>
    <w:rsid w:val="00E003C2"/>
    <w:rsid w:val="00E00491"/>
    <w:rsid w:val="00E004C0"/>
    <w:rsid w:val="00E00778"/>
    <w:rsid w:val="00E0080B"/>
    <w:rsid w:val="00E01AE8"/>
    <w:rsid w:val="00E01EC8"/>
    <w:rsid w:val="00E02059"/>
    <w:rsid w:val="00E02F6D"/>
    <w:rsid w:val="00E0318A"/>
    <w:rsid w:val="00E03EC6"/>
    <w:rsid w:val="00E04888"/>
    <w:rsid w:val="00E048B8"/>
    <w:rsid w:val="00E052B3"/>
    <w:rsid w:val="00E0536C"/>
    <w:rsid w:val="00E059C0"/>
    <w:rsid w:val="00E06BBE"/>
    <w:rsid w:val="00E07A50"/>
    <w:rsid w:val="00E07C14"/>
    <w:rsid w:val="00E07FC8"/>
    <w:rsid w:val="00E10A63"/>
    <w:rsid w:val="00E10F63"/>
    <w:rsid w:val="00E1156F"/>
    <w:rsid w:val="00E11AC6"/>
    <w:rsid w:val="00E12C4A"/>
    <w:rsid w:val="00E13683"/>
    <w:rsid w:val="00E13ADE"/>
    <w:rsid w:val="00E13DEF"/>
    <w:rsid w:val="00E14023"/>
    <w:rsid w:val="00E1419D"/>
    <w:rsid w:val="00E145B0"/>
    <w:rsid w:val="00E14743"/>
    <w:rsid w:val="00E147DE"/>
    <w:rsid w:val="00E153AD"/>
    <w:rsid w:val="00E15F0F"/>
    <w:rsid w:val="00E1695B"/>
    <w:rsid w:val="00E16DB6"/>
    <w:rsid w:val="00E179BB"/>
    <w:rsid w:val="00E20246"/>
    <w:rsid w:val="00E20DF4"/>
    <w:rsid w:val="00E20F98"/>
    <w:rsid w:val="00E23163"/>
    <w:rsid w:val="00E23682"/>
    <w:rsid w:val="00E24A8A"/>
    <w:rsid w:val="00E24B43"/>
    <w:rsid w:val="00E255B5"/>
    <w:rsid w:val="00E25614"/>
    <w:rsid w:val="00E25AA4"/>
    <w:rsid w:val="00E271A9"/>
    <w:rsid w:val="00E309A7"/>
    <w:rsid w:val="00E310E5"/>
    <w:rsid w:val="00E33702"/>
    <w:rsid w:val="00E33AB6"/>
    <w:rsid w:val="00E34117"/>
    <w:rsid w:val="00E34281"/>
    <w:rsid w:val="00E34499"/>
    <w:rsid w:val="00E34987"/>
    <w:rsid w:val="00E35377"/>
    <w:rsid w:val="00E35647"/>
    <w:rsid w:val="00E357D5"/>
    <w:rsid w:val="00E35988"/>
    <w:rsid w:val="00E35ED0"/>
    <w:rsid w:val="00E36671"/>
    <w:rsid w:val="00E369DB"/>
    <w:rsid w:val="00E36B19"/>
    <w:rsid w:val="00E400E4"/>
    <w:rsid w:val="00E40341"/>
    <w:rsid w:val="00E404B8"/>
    <w:rsid w:val="00E41005"/>
    <w:rsid w:val="00E41CD3"/>
    <w:rsid w:val="00E433D7"/>
    <w:rsid w:val="00E43403"/>
    <w:rsid w:val="00E43830"/>
    <w:rsid w:val="00E43971"/>
    <w:rsid w:val="00E44F2E"/>
    <w:rsid w:val="00E451AD"/>
    <w:rsid w:val="00E45778"/>
    <w:rsid w:val="00E46242"/>
    <w:rsid w:val="00E47B5F"/>
    <w:rsid w:val="00E51ADD"/>
    <w:rsid w:val="00E51E39"/>
    <w:rsid w:val="00E51E7E"/>
    <w:rsid w:val="00E52544"/>
    <w:rsid w:val="00E5308C"/>
    <w:rsid w:val="00E53334"/>
    <w:rsid w:val="00E5344B"/>
    <w:rsid w:val="00E53676"/>
    <w:rsid w:val="00E54307"/>
    <w:rsid w:val="00E543FC"/>
    <w:rsid w:val="00E54666"/>
    <w:rsid w:val="00E54ABD"/>
    <w:rsid w:val="00E54FA0"/>
    <w:rsid w:val="00E5595C"/>
    <w:rsid w:val="00E56CB8"/>
    <w:rsid w:val="00E56DD4"/>
    <w:rsid w:val="00E606D7"/>
    <w:rsid w:val="00E60703"/>
    <w:rsid w:val="00E60B10"/>
    <w:rsid w:val="00E60FA5"/>
    <w:rsid w:val="00E6141F"/>
    <w:rsid w:val="00E61487"/>
    <w:rsid w:val="00E61A23"/>
    <w:rsid w:val="00E61B0A"/>
    <w:rsid w:val="00E62FC0"/>
    <w:rsid w:val="00E63095"/>
    <w:rsid w:val="00E63587"/>
    <w:rsid w:val="00E64792"/>
    <w:rsid w:val="00E64828"/>
    <w:rsid w:val="00E64B0F"/>
    <w:rsid w:val="00E64D51"/>
    <w:rsid w:val="00E64DDE"/>
    <w:rsid w:val="00E64FA6"/>
    <w:rsid w:val="00E656AF"/>
    <w:rsid w:val="00E65AB0"/>
    <w:rsid w:val="00E65ACA"/>
    <w:rsid w:val="00E65D47"/>
    <w:rsid w:val="00E661E9"/>
    <w:rsid w:val="00E6621B"/>
    <w:rsid w:val="00E707B3"/>
    <w:rsid w:val="00E70A0A"/>
    <w:rsid w:val="00E70C25"/>
    <w:rsid w:val="00E71186"/>
    <w:rsid w:val="00E714F7"/>
    <w:rsid w:val="00E71A54"/>
    <w:rsid w:val="00E71D53"/>
    <w:rsid w:val="00E72615"/>
    <w:rsid w:val="00E72A81"/>
    <w:rsid w:val="00E72B64"/>
    <w:rsid w:val="00E733F5"/>
    <w:rsid w:val="00E73660"/>
    <w:rsid w:val="00E7434F"/>
    <w:rsid w:val="00E747B1"/>
    <w:rsid w:val="00E74E38"/>
    <w:rsid w:val="00E76537"/>
    <w:rsid w:val="00E76B72"/>
    <w:rsid w:val="00E76E5F"/>
    <w:rsid w:val="00E7722C"/>
    <w:rsid w:val="00E7776E"/>
    <w:rsid w:val="00E77A87"/>
    <w:rsid w:val="00E77B3E"/>
    <w:rsid w:val="00E80384"/>
    <w:rsid w:val="00E80640"/>
    <w:rsid w:val="00E81D16"/>
    <w:rsid w:val="00E8363B"/>
    <w:rsid w:val="00E83D67"/>
    <w:rsid w:val="00E857EE"/>
    <w:rsid w:val="00E86764"/>
    <w:rsid w:val="00E86B1B"/>
    <w:rsid w:val="00E87013"/>
    <w:rsid w:val="00E908E6"/>
    <w:rsid w:val="00E91849"/>
    <w:rsid w:val="00E91D0D"/>
    <w:rsid w:val="00E92122"/>
    <w:rsid w:val="00E92DAB"/>
    <w:rsid w:val="00E93294"/>
    <w:rsid w:val="00E943BD"/>
    <w:rsid w:val="00E9629F"/>
    <w:rsid w:val="00E967F0"/>
    <w:rsid w:val="00E96FA4"/>
    <w:rsid w:val="00E97347"/>
    <w:rsid w:val="00E9784A"/>
    <w:rsid w:val="00E979C2"/>
    <w:rsid w:val="00EA03A1"/>
    <w:rsid w:val="00EA17E8"/>
    <w:rsid w:val="00EA1AAB"/>
    <w:rsid w:val="00EA2340"/>
    <w:rsid w:val="00EA2ABA"/>
    <w:rsid w:val="00EA33B9"/>
    <w:rsid w:val="00EA39FD"/>
    <w:rsid w:val="00EA48BA"/>
    <w:rsid w:val="00EA4B16"/>
    <w:rsid w:val="00EA51B0"/>
    <w:rsid w:val="00EA55E9"/>
    <w:rsid w:val="00EA763E"/>
    <w:rsid w:val="00EA7DF0"/>
    <w:rsid w:val="00EB0141"/>
    <w:rsid w:val="00EB0205"/>
    <w:rsid w:val="00EB04F7"/>
    <w:rsid w:val="00EB0A23"/>
    <w:rsid w:val="00EB0B06"/>
    <w:rsid w:val="00EB0FFA"/>
    <w:rsid w:val="00EB1F80"/>
    <w:rsid w:val="00EB2901"/>
    <w:rsid w:val="00EB3D75"/>
    <w:rsid w:val="00EB57DE"/>
    <w:rsid w:val="00EB6366"/>
    <w:rsid w:val="00EB75D8"/>
    <w:rsid w:val="00EB766F"/>
    <w:rsid w:val="00EB7970"/>
    <w:rsid w:val="00EC138A"/>
    <w:rsid w:val="00EC23FA"/>
    <w:rsid w:val="00EC31E6"/>
    <w:rsid w:val="00EC430D"/>
    <w:rsid w:val="00EC4FA6"/>
    <w:rsid w:val="00EC5249"/>
    <w:rsid w:val="00EC56A4"/>
    <w:rsid w:val="00EC5779"/>
    <w:rsid w:val="00EC61EE"/>
    <w:rsid w:val="00EC67F9"/>
    <w:rsid w:val="00EC6A25"/>
    <w:rsid w:val="00EC6D2E"/>
    <w:rsid w:val="00EC76F8"/>
    <w:rsid w:val="00EC7BCA"/>
    <w:rsid w:val="00ED0535"/>
    <w:rsid w:val="00ED1BF1"/>
    <w:rsid w:val="00ED23E8"/>
    <w:rsid w:val="00ED23F0"/>
    <w:rsid w:val="00ED2ADB"/>
    <w:rsid w:val="00ED2ED7"/>
    <w:rsid w:val="00ED30D9"/>
    <w:rsid w:val="00ED3BA7"/>
    <w:rsid w:val="00ED463B"/>
    <w:rsid w:val="00ED489F"/>
    <w:rsid w:val="00ED51DF"/>
    <w:rsid w:val="00ED55F0"/>
    <w:rsid w:val="00ED5629"/>
    <w:rsid w:val="00ED5723"/>
    <w:rsid w:val="00ED5795"/>
    <w:rsid w:val="00ED5F4D"/>
    <w:rsid w:val="00ED68CE"/>
    <w:rsid w:val="00ED6A98"/>
    <w:rsid w:val="00ED6F96"/>
    <w:rsid w:val="00ED778D"/>
    <w:rsid w:val="00ED7902"/>
    <w:rsid w:val="00ED7AC8"/>
    <w:rsid w:val="00EE01FF"/>
    <w:rsid w:val="00EE26B9"/>
    <w:rsid w:val="00EE29FF"/>
    <w:rsid w:val="00EE2A29"/>
    <w:rsid w:val="00EE3CBA"/>
    <w:rsid w:val="00EE4983"/>
    <w:rsid w:val="00EE4DD6"/>
    <w:rsid w:val="00EE4E21"/>
    <w:rsid w:val="00EE53D1"/>
    <w:rsid w:val="00EE5C30"/>
    <w:rsid w:val="00EE6747"/>
    <w:rsid w:val="00EE6BA9"/>
    <w:rsid w:val="00EE6BAA"/>
    <w:rsid w:val="00EE73BF"/>
    <w:rsid w:val="00EE7905"/>
    <w:rsid w:val="00EE7B94"/>
    <w:rsid w:val="00EF0473"/>
    <w:rsid w:val="00EF121E"/>
    <w:rsid w:val="00EF23C5"/>
    <w:rsid w:val="00EF240C"/>
    <w:rsid w:val="00EF300C"/>
    <w:rsid w:val="00EF36AC"/>
    <w:rsid w:val="00EF3A1D"/>
    <w:rsid w:val="00EF3FCA"/>
    <w:rsid w:val="00EF430F"/>
    <w:rsid w:val="00EF47B1"/>
    <w:rsid w:val="00EF49AD"/>
    <w:rsid w:val="00EF4F12"/>
    <w:rsid w:val="00EF50BC"/>
    <w:rsid w:val="00EF549B"/>
    <w:rsid w:val="00EF5F4A"/>
    <w:rsid w:val="00EF5F4F"/>
    <w:rsid w:val="00EF676A"/>
    <w:rsid w:val="00EF722D"/>
    <w:rsid w:val="00EF726B"/>
    <w:rsid w:val="00EF7604"/>
    <w:rsid w:val="00F01570"/>
    <w:rsid w:val="00F01CE5"/>
    <w:rsid w:val="00F041F5"/>
    <w:rsid w:val="00F048F0"/>
    <w:rsid w:val="00F04AFF"/>
    <w:rsid w:val="00F04B06"/>
    <w:rsid w:val="00F04E92"/>
    <w:rsid w:val="00F064A8"/>
    <w:rsid w:val="00F066A2"/>
    <w:rsid w:val="00F06B5C"/>
    <w:rsid w:val="00F06C50"/>
    <w:rsid w:val="00F0768A"/>
    <w:rsid w:val="00F076E8"/>
    <w:rsid w:val="00F07932"/>
    <w:rsid w:val="00F1021C"/>
    <w:rsid w:val="00F104D3"/>
    <w:rsid w:val="00F108A4"/>
    <w:rsid w:val="00F1190E"/>
    <w:rsid w:val="00F1193B"/>
    <w:rsid w:val="00F12240"/>
    <w:rsid w:val="00F12610"/>
    <w:rsid w:val="00F13472"/>
    <w:rsid w:val="00F13512"/>
    <w:rsid w:val="00F135E5"/>
    <w:rsid w:val="00F13BE0"/>
    <w:rsid w:val="00F13C46"/>
    <w:rsid w:val="00F13CEA"/>
    <w:rsid w:val="00F148E9"/>
    <w:rsid w:val="00F1492B"/>
    <w:rsid w:val="00F14B5A"/>
    <w:rsid w:val="00F14B5B"/>
    <w:rsid w:val="00F1505B"/>
    <w:rsid w:val="00F159BF"/>
    <w:rsid w:val="00F15E1B"/>
    <w:rsid w:val="00F15EFA"/>
    <w:rsid w:val="00F16D53"/>
    <w:rsid w:val="00F20107"/>
    <w:rsid w:val="00F2037A"/>
    <w:rsid w:val="00F2065D"/>
    <w:rsid w:val="00F21571"/>
    <w:rsid w:val="00F21894"/>
    <w:rsid w:val="00F21BCB"/>
    <w:rsid w:val="00F22BE9"/>
    <w:rsid w:val="00F22C3B"/>
    <w:rsid w:val="00F230CD"/>
    <w:rsid w:val="00F23920"/>
    <w:rsid w:val="00F241F0"/>
    <w:rsid w:val="00F25567"/>
    <w:rsid w:val="00F259B1"/>
    <w:rsid w:val="00F26AD2"/>
    <w:rsid w:val="00F26E4C"/>
    <w:rsid w:val="00F26FE6"/>
    <w:rsid w:val="00F2760A"/>
    <w:rsid w:val="00F27829"/>
    <w:rsid w:val="00F279A8"/>
    <w:rsid w:val="00F27BBE"/>
    <w:rsid w:val="00F27D01"/>
    <w:rsid w:val="00F3025F"/>
    <w:rsid w:val="00F302AB"/>
    <w:rsid w:val="00F318B7"/>
    <w:rsid w:val="00F31A4E"/>
    <w:rsid w:val="00F322CF"/>
    <w:rsid w:val="00F32934"/>
    <w:rsid w:val="00F33B3B"/>
    <w:rsid w:val="00F33C2B"/>
    <w:rsid w:val="00F33CB4"/>
    <w:rsid w:val="00F34EEC"/>
    <w:rsid w:val="00F3570C"/>
    <w:rsid w:val="00F35F94"/>
    <w:rsid w:val="00F36B9D"/>
    <w:rsid w:val="00F37B16"/>
    <w:rsid w:val="00F41560"/>
    <w:rsid w:val="00F41675"/>
    <w:rsid w:val="00F418D1"/>
    <w:rsid w:val="00F41EFB"/>
    <w:rsid w:val="00F42667"/>
    <w:rsid w:val="00F4271B"/>
    <w:rsid w:val="00F432BE"/>
    <w:rsid w:val="00F43B59"/>
    <w:rsid w:val="00F4483E"/>
    <w:rsid w:val="00F44C3E"/>
    <w:rsid w:val="00F44CF0"/>
    <w:rsid w:val="00F451B8"/>
    <w:rsid w:val="00F45EF1"/>
    <w:rsid w:val="00F45F47"/>
    <w:rsid w:val="00F463D0"/>
    <w:rsid w:val="00F46B8F"/>
    <w:rsid w:val="00F46F96"/>
    <w:rsid w:val="00F50278"/>
    <w:rsid w:val="00F51AE4"/>
    <w:rsid w:val="00F51E14"/>
    <w:rsid w:val="00F5241B"/>
    <w:rsid w:val="00F5253F"/>
    <w:rsid w:val="00F53623"/>
    <w:rsid w:val="00F53C97"/>
    <w:rsid w:val="00F53E07"/>
    <w:rsid w:val="00F53EAF"/>
    <w:rsid w:val="00F54F82"/>
    <w:rsid w:val="00F55479"/>
    <w:rsid w:val="00F560F2"/>
    <w:rsid w:val="00F5728E"/>
    <w:rsid w:val="00F574A7"/>
    <w:rsid w:val="00F606CD"/>
    <w:rsid w:val="00F6074C"/>
    <w:rsid w:val="00F60BEE"/>
    <w:rsid w:val="00F60F5F"/>
    <w:rsid w:val="00F61A8E"/>
    <w:rsid w:val="00F61D9A"/>
    <w:rsid w:val="00F62490"/>
    <w:rsid w:val="00F62E1E"/>
    <w:rsid w:val="00F63388"/>
    <w:rsid w:val="00F639CA"/>
    <w:rsid w:val="00F64632"/>
    <w:rsid w:val="00F64CC4"/>
    <w:rsid w:val="00F65105"/>
    <w:rsid w:val="00F65613"/>
    <w:rsid w:val="00F679A3"/>
    <w:rsid w:val="00F7013B"/>
    <w:rsid w:val="00F70786"/>
    <w:rsid w:val="00F70E6B"/>
    <w:rsid w:val="00F71397"/>
    <w:rsid w:val="00F71546"/>
    <w:rsid w:val="00F7159C"/>
    <w:rsid w:val="00F71DAD"/>
    <w:rsid w:val="00F725E7"/>
    <w:rsid w:val="00F740AA"/>
    <w:rsid w:val="00F7454A"/>
    <w:rsid w:val="00F74A84"/>
    <w:rsid w:val="00F74C07"/>
    <w:rsid w:val="00F75F10"/>
    <w:rsid w:val="00F7612D"/>
    <w:rsid w:val="00F76164"/>
    <w:rsid w:val="00F763BE"/>
    <w:rsid w:val="00F7672C"/>
    <w:rsid w:val="00F77553"/>
    <w:rsid w:val="00F7769E"/>
    <w:rsid w:val="00F77867"/>
    <w:rsid w:val="00F77E3F"/>
    <w:rsid w:val="00F80067"/>
    <w:rsid w:val="00F80131"/>
    <w:rsid w:val="00F80827"/>
    <w:rsid w:val="00F80E27"/>
    <w:rsid w:val="00F824EC"/>
    <w:rsid w:val="00F824F0"/>
    <w:rsid w:val="00F83C88"/>
    <w:rsid w:val="00F83D47"/>
    <w:rsid w:val="00F83F2B"/>
    <w:rsid w:val="00F84C5E"/>
    <w:rsid w:val="00F84D1F"/>
    <w:rsid w:val="00F8553F"/>
    <w:rsid w:val="00F86003"/>
    <w:rsid w:val="00F86E78"/>
    <w:rsid w:val="00F86FD3"/>
    <w:rsid w:val="00F87BF6"/>
    <w:rsid w:val="00F90DA0"/>
    <w:rsid w:val="00F91D81"/>
    <w:rsid w:val="00F91F77"/>
    <w:rsid w:val="00F93361"/>
    <w:rsid w:val="00F9404C"/>
    <w:rsid w:val="00F944AC"/>
    <w:rsid w:val="00F94661"/>
    <w:rsid w:val="00F948F0"/>
    <w:rsid w:val="00F95019"/>
    <w:rsid w:val="00F95534"/>
    <w:rsid w:val="00F95696"/>
    <w:rsid w:val="00F9600D"/>
    <w:rsid w:val="00F96FD5"/>
    <w:rsid w:val="00F97A3D"/>
    <w:rsid w:val="00F97B24"/>
    <w:rsid w:val="00F97CDC"/>
    <w:rsid w:val="00F97D83"/>
    <w:rsid w:val="00FA1560"/>
    <w:rsid w:val="00FA1A0C"/>
    <w:rsid w:val="00FA1A9A"/>
    <w:rsid w:val="00FA1DB7"/>
    <w:rsid w:val="00FA29DE"/>
    <w:rsid w:val="00FA2AA0"/>
    <w:rsid w:val="00FA377D"/>
    <w:rsid w:val="00FA41D5"/>
    <w:rsid w:val="00FA44D6"/>
    <w:rsid w:val="00FA4832"/>
    <w:rsid w:val="00FA4BC0"/>
    <w:rsid w:val="00FA5442"/>
    <w:rsid w:val="00FA5926"/>
    <w:rsid w:val="00FA6675"/>
    <w:rsid w:val="00FB2203"/>
    <w:rsid w:val="00FB2627"/>
    <w:rsid w:val="00FB2842"/>
    <w:rsid w:val="00FB36CF"/>
    <w:rsid w:val="00FB36E6"/>
    <w:rsid w:val="00FB370F"/>
    <w:rsid w:val="00FB3897"/>
    <w:rsid w:val="00FB43CC"/>
    <w:rsid w:val="00FB4757"/>
    <w:rsid w:val="00FB51B6"/>
    <w:rsid w:val="00FB51C8"/>
    <w:rsid w:val="00FB5E1D"/>
    <w:rsid w:val="00FB6918"/>
    <w:rsid w:val="00FB6C38"/>
    <w:rsid w:val="00FB7660"/>
    <w:rsid w:val="00FB79D4"/>
    <w:rsid w:val="00FC0127"/>
    <w:rsid w:val="00FC2125"/>
    <w:rsid w:val="00FC221D"/>
    <w:rsid w:val="00FC257D"/>
    <w:rsid w:val="00FC468D"/>
    <w:rsid w:val="00FC4C84"/>
    <w:rsid w:val="00FC53EE"/>
    <w:rsid w:val="00FC55B8"/>
    <w:rsid w:val="00FC5CA9"/>
    <w:rsid w:val="00FC5E29"/>
    <w:rsid w:val="00FC6493"/>
    <w:rsid w:val="00FC677F"/>
    <w:rsid w:val="00FC6B1C"/>
    <w:rsid w:val="00FC75AB"/>
    <w:rsid w:val="00FC769D"/>
    <w:rsid w:val="00FC7F1D"/>
    <w:rsid w:val="00FC7F88"/>
    <w:rsid w:val="00FC7FE5"/>
    <w:rsid w:val="00FD0473"/>
    <w:rsid w:val="00FD22B5"/>
    <w:rsid w:val="00FD2400"/>
    <w:rsid w:val="00FD2BDE"/>
    <w:rsid w:val="00FD3323"/>
    <w:rsid w:val="00FD3930"/>
    <w:rsid w:val="00FD3F8F"/>
    <w:rsid w:val="00FD40F9"/>
    <w:rsid w:val="00FD4120"/>
    <w:rsid w:val="00FD5C2A"/>
    <w:rsid w:val="00FD7B0A"/>
    <w:rsid w:val="00FD7B56"/>
    <w:rsid w:val="00FD7C9B"/>
    <w:rsid w:val="00FD7CF5"/>
    <w:rsid w:val="00FE1324"/>
    <w:rsid w:val="00FE1755"/>
    <w:rsid w:val="00FE2868"/>
    <w:rsid w:val="00FE397D"/>
    <w:rsid w:val="00FE3B3E"/>
    <w:rsid w:val="00FE4FDF"/>
    <w:rsid w:val="00FE5823"/>
    <w:rsid w:val="00FE5F39"/>
    <w:rsid w:val="00FE6129"/>
    <w:rsid w:val="00FE6BD6"/>
    <w:rsid w:val="00FE7253"/>
    <w:rsid w:val="00FF07EE"/>
    <w:rsid w:val="00FF0DB8"/>
    <w:rsid w:val="00FF1AE4"/>
    <w:rsid w:val="00FF1BC9"/>
    <w:rsid w:val="00FF3150"/>
    <w:rsid w:val="00FF31B2"/>
    <w:rsid w:val="00FF373C"/>
    <w:rsid w:val="00FF3C22"/>
    <w:rsid w:val="00FF3C4F"/>
    <w:rsid w:val="00FF3EB2"/>
    <w:rsid w:val="00FF40FD"/>
    <w:rsid w:val="00FF42B6"/>
    <w:rsid w:val="00FF52E2"/>
    <w:rsid w:val="00FF536A"/>
    <w:rsid w:val="00FF58F4"/>
    <w:rsid w:val="00FF6EC2"/>
    <w:rsid w:val="00FF78FC"/>
    <w:rsid w:val="00FF7926"/>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EAEF13"/>
  <w15:docId w15:val="{99B675F3-F906-4A15-A4C5-1F9D5AAF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A91"/>
    <w:pPr>
      <w:spacing w:after="160" w:line="259" w:lineRule="auto"/>
    </w:pPr>
    <w:rPr>
      <w:rFonts w:asciiTheme="minorHAnsi" w:eastAsiaTheme="minorEastAsia" w:hAnsiTheme="minorHAnsi"/>
      <w:sz w:val="22"/>
      <w:szCs w:val="22"/>
      <w:lang w:val="en-AU" w:eastAsia="zh-CN"/>
    </w:rPr>
  </w:style>
  <w:style w:type="paragraph" w:styleId="Heading1">
    <w:name w:val="heading 1"/>
    <w:basedOn w:val="Normal"/>
    <w:next w:val="Normal"/>
    <w:link w:val="Heading1Char"/>
    <w:uiPriority w:val="9"/>
    <w:qFormat/>
    <w:rsid w:val="00D40F0B"/>
    <w:pPr>
      <w:keepNext/>
      <w:spacing w:before="240" w:after="60"/>
      <w:outlineLvl w:val="0"/>
    </w:pPr>
    <w:rPr>
      <w:b/>
      <w:bCs/>
      <w:kern w:val="32"/>
      <w:sz w:val="28"/>
      <w:szCs w:val="32"/>
      <w:lang w:val="x-none"/>
    </w:rPr>
  </w:style>
  <w:style w:type="paragraph" w:styleId="Heading2">
    <w:name w:val="heading 2"/>
    <w:basedOn w:val="Normal"/>
    <w:next w:val="Normal"/>
    <w:link w:val="Heading2Char"/>
    <w:uiPriority w:val="9"/>
    <w:qFormat/>
    <w:rsid w:val="00D40F0B"/>
    <w:pPr>
      <w:keepNext/>
      <w:numPr>
        <w:ilvl w:val="4"/>
        <w:numId w:val="2"/>
      </w:numPr>
      <w:jc w:val="center"/>
      <w:outlineLvl w:val="1"/>
    </w:pPr>
    <w:rPr>
      <w:rFonts w:eastAsia="Times"/>
      <w:b/>
      <w:color w:val="000000"/>
      <w:sz w:val="52"/>
      <w:szCs w:val="20"/>
    </w:rPr>
  </w:style>
  <w:style w:type="paragraph" w:styleId="Heading3">
    <w:name w:val="heading 3"/>
    <w:basedOn w:val="Normal"/>
    <w:next w:val="Normal"/>
    <w:link w:val="Heading3Char"/>
    <w:uiPriority w:val="9"/>
    <w:qFormat/>
    <w:rsid w:val="00D40F0B"/>
    <w:pPr>
      <w:keepNext/>
      <w:numPr>
        <w:ilvl w:val="1"/>
        <w:numId w:val="2"/>
      </w:numPr>
      <w:spacing w:before="480"/>
      <w:outlineLvl w:val="2"/>
    </w:pPr>
    <w:rPr>
      <w:rFonts w:ascii="Arial" w:eastAsia="Times" w:hAnsi="Arial"/>
      <w:b/>
      <w:sz w:val="32"/>
      <w:szCs w:val="20"/>
    </w:rPr>
  </w:style>
  <w:style w:type="paragraph" w:styleId="Heading4">
    <w:name w:val="heading 4"/>
    <w:basedOn w:val="Normal"/>
    <w:next w:val="Normal"/>
    <w:link w:val="Heading4Char"/>
    <w:uiPriority w:val="9"/>
    <w:qFormat/>
    <w:rsid w:val="00D40F0B"/>
    <w:pPr>
      <w:keepNext/>
      <w:numPr>
        <w:ilvl w:val="3"/>
        <w:numId w:val="2"/>
      </w:numPr>
      <w:jc w:val="both"/>
      <w:outlineLvl w:val="3"/>
    </w:pPr>
    <w:rPr>
      <w:rFonts w:eastAsia="Times"/>
      <w:b/>
      <w:i/>
      <w:szCs w:val="20"/>
    </w:rPr>
  </w:style>
  <w:style w:type="paragraph" w:styleId="Heading5">
    <w:name w:val="heading 5"/>
    <w:basedOn w:val="Normal"/>
    <w:next w:val="Normal"/>
    <w:link w:val="Heading5Char"/>
    <w:uiPriority w:val="9"/>
    <w:qFormat/>
    <w:rsid w:val="00D40F0B"/>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165678"/>
    <w:pPr>
      <w:suppressLineNumbers/>
      <w:overflowPunct w:val="0"/>
      <w:autoSpaceDE w:val="0"/>
      <w:autoSpaceDN w:val="0"/>
      <w:adjustRightInd w:val="0"/>
      <w:spacing w:before="240" w:after="60"/>
      <w:ind w:left="10064" w:hanging="708"/>
      <w:jc w:val="both"/>
      <w:textAlignment w:val="baseline"/>
      <w:outlineLvl w:val="5"/>
    </w:pPr>
    <w:rPr>
      <w:rFonts w:ascii="Arial" w:eastAsia="Times New Roman" w:hAnsi="Arial" w:cs="Times New Roman"/>
      <w:i/>
      <w:sz w:val="23"/>
      <w:szCs w:val="20"/>
    </w:rPr>
  </w:style>
  <w:style w:type="paragraph" w:styleId="Heading7">
    <w:name w:val="heading 7"/>
    <w:basedOn w:val="Normal"/>
    <w:next w:val="Normal"/>
    <w:link w:val="Heading7Char"/>
    <w:uiPriority w:val="9"/>
    <w:qFormat/>
    <w:rsid w:val="00D40F0B"/>
    <w:pPr>
      <w:keepNext/>
      <w:numPr>
        <w:ilvl w:val="6"/>
        <w:numId w:val="2"/>
      </w:numPr>
      <w:autoSpaceDE w:val="0"/>
      <w:autoSpaceDN w:val="0"/>
      <w:adjustRightInd w:val="0"/>
      <w:jc w:val="both"/>
      <w:outlineLvl w:val="6"/>
    </w:pPr>
    <w:rPr>
      <w:b/>
      <w:szCs w:val="20"/>
    </w:rPr>
  </w:style>
  <w:style w:type="paragraph" w:styleId="Heading8">
    <w:name w:val="heading 8"/>
    <w:basedOn w:val="Normal"/>
    <w:next w:val="Normal"/>
    <w:link w:val="Heading8Char"/>
    <w:uiPriority w:val="9"/>
    <w:qFormat/>
    <w:rsid w:val="00D40F0B"/>
    <w:pPr>
      <w:keepNext/>
      <w:numPr>
        <w:ilvl w:val="7"/>
        <w:numId w:val="2"/>
      </w:numPr>
      <w:jc w:val="both"/>
      <w:outlineLvl w:val="7"/>
    </w:pPr>
    <w:rPr>
      <w:i/>
      <w:szCs w:val="20"/>
    </w:rPr>
  </w:style>
  <w:style w:type="paragraph" w:styleId="Heading9">
    <w:name w:val="heading 9"/>
    <w:basedOn w:val="Normal"/>
    <w:next w:val="Normal"/>
    <w:link w:val="Heading9Char"/>
    <w:uiPriority w:val="9"/>
    <w:qFormat/>
    <w:rsid w:val="00D40F0B"/>
    <w:pPr>
      <w:keepNext/>
      <w:numPr>
        <w:ilvl w:val="8"/>
        <w:numId w:val="2"/>
      </w:numPr>
      <w:ind w:right="-7"/>
      <w:jc w:val="both"/>
      <w:outlineLvl w:val="8"/>
    </w:pPr>
    <w:rPr>
      <w:rFonts w:eastAsia="Times"/>
      <w:b/>
      <w:color w:val="000000"/>
      <w:szCs w:val="20"/>
    </w:rPr>
  </w:style>
  <w:style w:type="character" w:default="1" w:styleId="DefaultParagraphFont">
    <w:name w:val="Default Paragraph Font"/>
    <w:uiPriority w:val="1"/>
    <w:semiHidden/>
    <w:unhideWhenUsed/>
    <w:rsid w:val="006D6A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6A91"/>
  </w:style>
  <w:style w:type="character" w:customStyle="1" w:styleId="Heading1Char">
    <w:name w:val="Heading 1 Char"/>
    <w:link w:val="Heading1"/>
    <w:uiPriority w:val="9"/>
    <w:rsid w:val="00D40F0B"/>
    <w:rPr>
      <w:b/>
      <w:bCs/>
      <w:kern w:val="32"/>
      <w:sz w:val="28"/>
      <w:szCs w:val="32"/>
      <w:lang w:val="x-none"/>
    </w:rPr>
  </w:style>
  <w:style w:type="character" w:customStyle="1" w:styleId="Heading2Char">
    <w:name w:val="Heading 2 Char"/>
    <w:link w:val="Heading2"/>
    <w:uiPriority w:val="9"/>
    <w:rsid w:val="00165678"/>
    <w:rPr>
      <w:rFonts w:asciiTheme="minorHAnsi" w:eastAsia="Times" w:hAnsiTheme="minorHAnsi"/>
      <w:b/>
      <w:color w:val="000000"/>
      <w:sz w:val="52"/>
      <w:szCs w:val="20"/>
      <w:lang w:val="en-AU"/>
    </w:rPr>
  </w:style>
  <w:style w:type="character" w:customStyle="1" w:styleId="Heading3Char">
    <w:name w:val="Heading 3 Char"/>
    <w:link w:val="Heading3"/>
    <w:uiPriority w:val="9"/>
    <w:rsid w:val="00165678"/>
    <w:rPr>
      <w:rFonts w:ascii="Arial" w:eastAsia="Times" w:hAnsi="Arial"/>
      <w:b/>
      <w:sz w:val="32"/>
      <w:szCs w:val="20"/>
      <w:lang w:val="en-AU"/>
    </w:rPr>
  </w:style>
  <w:style w:type="character" w:customStyle="1" w:styleId="Heading4Char">
    <w:name w:val="Heading 4 Char"/>
    <w:link w:val="Heading4"/>
    <w:uiPriority w:val="9"/>
    <w:rsid w:val="00165678"/>
    <w:rPr>
      <w:rFonts w:asciiTheme="minorHAnsi" w:eastAsia="Times" w:hAnsiTheme="minorHAnsi"/>
      <w:b/>
      <w:i/>
      <w:sz w:val="22"/>
      <w:szCs w:val="20"/>
      <w:lang w:val="en-AU"/>
    </w:rPr>
  </w:style>
  <w:style w:type="character" w:customStyle="1" w:styleId="Heading5Char">
    <w:name w:val="Heading 5 Char"/>
    <w:link w:val="Heading5"/>
    <w:uiPriority w:val="9"/>
    <w:rsid w:val="00D40F0B"/>
    <w:rPr>
      <w:rFonts w:ascii="Calibri" w:hAnsi="Calibri"/>
      <w:b/>
      <w:bCs/>
      <w:i/>
      <w:iCs/>
      <w:sz w:val="26"/>
      <w:szCs w:val="26"/>
      <w:lang w:val="x-none"/>
    </w:rPr>
  </w:style>
  <w:style w:type="character" w:customStyle="1" w:styleId="Heading6Char">
    <w:name w:val="Heading 6 Char"/>
    <w:basedOn w:val="DefaultParagraphFont"/>
    <w:link w:val="Heading6"/>
    <w:uiPriority w:val="9"/>
    <w:rsid w:val="00165678"/>
    <w:rPr>
      <w:rFonts w:ascii="Arial" w:hAnsi="Arial" w:cs="Times New Roman"/>
      <w:i/>
      <w:sz w:val="23"/>
      <w:szCs w:val="20"/>
      <w:lang w:val="en-AU"/>
    </w:rPr>
  </w:style>
  <w:style w:type="character" w:customStyle="1" w:styleId="Heading7Char">
    <w:name w:val="Heading 7 Char"/>
    <w:link w:val="Heading7"/>
    <w:uiPriority w:val="9"/>
    <w:rsid w:val="00165678"/>
    <w:rPr>
      <w:rFonts w:asciiTheme="minorHAnsi" w:eastAsiaTheme="minorHAnsi" w:hAnsiTheme="minorHAnsi"/>
      <w:b/>
      <w:sz w:val="22"/>
      <w:szCs w:val="20"/>
      <w:lang w:val="en-AU"/>
    </w:rPr>
  </w:style>
  <w:style w:type="character" w:customStyle="1" w:styleId="Heading8Char">
    <w:name w:val="Heading 8 Char"/>
    <w:link w:val="Heading8"/>
    <w:uiPriority w:val="9"/>
    <w:rsid w:val="00165678"/>
    <w:rPr>
      <w:rFonts w:asciiTheme="minorHAnsi" w:eastAsiaTheme="minorHAnsi" w:hAnsiTheme="minorHAnsi"/>
      <w:i/>
      <w:sz w:val="22"/>
      <w:szCs w:val="20"/>
      <w:lang w:val="en-AU"/>
    </w:rPr>
  </w:style>
  <w:style w:type="character" w:customStyle="1" w:styleId="Heading9Char">
    <w:name w:val="Heading 9 Char"/>
    <w:link w:val="Heading9"/>
    <w:uiPriority w:val="9"/>
    <w:rsid w:val="00165678"/>
    <w:rPr>
      <w:rFonts w:asciiTheme="minorHAnsi" w:eastAsia="Times" w:hAnsiTheme="minorHAnsi"/>
      <w:b/>
      <w:color w:val="000000"/>
      <w:sz w:val="22"/>
      <w:szCs w:val="20"/>
      <w:lang w:val="en-AU"/>
    </w:rPr>
  </w:style>
  <w:style w:type="paragraph" w:styleId="FootnoteText">
    <w:name w:val="footnote text"/>
    <w:basedOn w:val="Normal"/>
    <w:link w:val="FootnoteTextChar"/>
    <w:uiPriority w:val="99"/>
    <w:unhideWhenUsed/>
    <w:rsid w:val="00C0478D"/>
    <w:rPr>
      <w:sz w:val="20"/>
      <w:szCs w:val="20"/>
    </w:rPr>
  </w:style>
  <w:style w:type="character" w:customStyle="1" w:styleId="FootnoteTextChar">
    <w:name w:val="Footnote Text Char"/>
    <w:basedOn w:val="DefaultParagraphFont"/>
    <w:link w:val="FootnoteText"/>
    <w:uiPriority w:val="99"/>
    <w:rsid w:val="00C0478D"/>
    <w:rPr>
      <w:rFonts w:asciiTheme="minorHAnsi" w:eastAsiaTheme="minorHAnsi" w:hAnsiTheme="minorHAnsi"/>
      <w:sz w:val="20"/>
      <w:szCs w:val="20"/>
      <w:lang w:val="en-AU"/>
    </w:rPr>
  </w:style>
  <w:style w:type="character" w:styleId="FootnoteReference">
    <w:name w:val="footnote reference"/>
    <w:uiPriority w:val="99"/>
    <w:qFormat/>
    <w:rsid w:val="00565D09"/>
    <w:rPr>
      <w:rFonts w:ascii="Times New Roman" w:hAnsi="Times New Roman"/>
      <w:sz w:val="20"/>
      <w:vertAlign w:val="superscript"/>
    </w:rPr>
  </w:style>
  <w:style w:type="paragraph" w:customStyle="1" w:styleId="DotPointTLRI">
    <w:name w:val="Dot Point TLRI"/>
    <w:qFormat/>
    <w:rsid w:val="00CF09A0"/>
    <w:pPr>
      <w:numPr>
        <w:numId w:val="4"/>
      </w:numPr>
      <w:spacing w:after="120"/>
      <w:ind w:left="709" w:hanging="425"/>
      <w:jc w:val="both"/>
    </w:pPr>
    <w:rPr>
      <w:sz w:val="23"/>
    </w:rPr>
  </w:style>
  <w:style w:type="character" w:styleId="EndnoteReference">
    <w:name w:val="endnote reference"/>
    <w:rsid w:val="00D40F0B"/>
    <w:rPr>
      <w:vertAlign w:val="superscript"/>
    </w:rPr>
  </w:style>
  <w:style w:type="paragraph" w:customStyle="1" w:styleId="QuoteTLRI">
    <w:name w:val="Quote TLRI"/>
    <w:basedOn w:val="Normal"/>
    <w:rsid w:val="00C47D98"/>
    <w:pPr>
      <w:spacing w:after="220" w:line="276" w:lineRule="auto"/>
      <w:ind w:left="709" w:right="851"/>
      <w:jc w:val="both"/>
    </w:pPr>
    <w:rPr>
      <w:rFonts w:eastAsia="Times"/>
      <w:sz w:val="21"/>
      <w:szCs w:val="20"/>
      <w:lang w:eastAsia="ja-JP"/>
    </w:rPr>
  </w:style>
  <w:style w:type="paragraph" w:customStyle="1" w:styleId="PartNoTLRI">
    <w:name w:val="Part No TLRI"/>
    <w:basedOn w:val="Normal"/>
    <w:link w:val="PartNoTLRIChar"/>
    <w:qFormat/>
    <w:rsid w:val="005607BA"/>
    <w:pPr>
      <w:numPr>
        <w:numId w:val="53"/>
      </w:numPr>
      <w:ind w:left="431" w:hanging="431"/>
      <w:jc w:val="center"/>
    </w:pPr>
    <w:rPr>
      <w:rFonts w:eastAsia="Times" w:cs="Times New Roman"/>
      <w:b/>
      <w:sz w:val="32"/>
      <w:szCs w:val="20"/>
    </w:rPr>
  </w:style>
  <w:style w:type="character" w:customStyle="1" w:styleId="PartNoTLRIChar">
    <w:name w:val="Part No TLRI Char"/>
    <w:link w:val="PartNoTLRI"/>
    <w:rsid w:val="005607BA"/>
    <w:rPr>
      <w:rFonts w:eastAsia="Times" w:cs="Times New Roman"/>
      <w:b/>
      <w:sz w:val="32"/>
      <w:szCs w:val="20"/>
      <w:lang w:val="en-AU"/>
    </w:rPr>
  </w:style>
  <w:style w:type="paragraph" w:customStyle="1" w:styleId="PartHeadingTLRI">
    <w:name w:val="Part Heading TLRI"/>
    <w:basedOn w:val="Normal"/>
    <w:link w:val="PartHeadingTLRIChar"/>
    <w:qFormat/>
    <w:rsid w:val="00D9621D"/>
    <w:pPr>
      <w:tabs>
        <w:tab w:val="num" w:pos="0"/>
      </w:tabs>
      <w:spacing w:before="480" w:after="640"/>
      <w:jc w:val="center"/>
    </w:pPr>
    <w:rPr>
      <w:rFonts w:ascii="Arial" w:eastAsia="Times" w:hAnsi="Arial"/>
      <w:b/>
      <w:sz w:val="52"/>
      <w:szCs w:val="20"/>
      <w:lang w:val="x-none"/>
    </w:rPr>
  </w:style>
  <w:style w:type="character" w:customStyle="1" w:styleId="PartHeadingTLRIChar">
    <w:name w:val="Part Heading TLRI Char"/>
    <w:link w:val="PartHeadingTLRI"/>
    <w:rsid w:val="00D9621D"/>
    <w:rPr>
      <w:rFonts w:ascii="Arial" w:eastAsia="Times" w:hAnsi="Arial"/>
      <w:b/>
      <w:sz w:val="52"/>
      <w:szCs w:val="20"/>
      <w:lang w:val="x-none"/>
    </w:rPr>
  </w:style>
  <w:style w:type="paragraph" w:customStyle="1" w:styleId="NormalNumberedTextTLRI">
    <w:name w:val="Normal Numbered Text TLRI"/>
    <w:basedOn w:val="Normal"/>
    <w:link w:val="NormalNumberedTextTLRIChar"/>
    <w:qFormat/>
    <w:rsid w:val="0080171F"/>
    <w:pPr>
      <w:numPr>
        <w:ilvl w:val="2"/>
        <w:numId w:val="53"/>
      </w:numPr>
      <w:tabs>
        <w:tab w:val="clear" w:pos="720"/>
        <w:tab w:val="left" w:pos="709"/>
      </w:tabs>
      <w:spacing w:before="220" w:after="220" w:line="276" w:lineRule="auto"/>
      <w:jc w:val="both"/>
    </w:pPr>
    <w:rPr>
      <w:rFonts w:eastAsia="Times"/>
      <w:sz w:val="23"/>
      <w:szCs w:val="20"/>
      <w:lang w:val="x-none"/>
    </w:rPr>
  </w:style>
  <w:style w:type="character" w:customStyle="1" w:styleId="NormalNumberedTextTLRIChar">
    <w:name w:val="Normal Numbered Text TLRI Char"/>
    <w:link w:val="NormalNumberedTextTLRI"/>
    <w:rsid w:val="0080171F"/>
    <w:rPr>
      <w:rFonts w:eastAsia="Times"/>
      <w:sz w:val="23"/>
      <w:szCs w:val="20"/>
      <w:lang w:val="x-none"/>
    </w:rPr>
  </w:style>
  <w:style w:type="character" w:customStyle="1" w:styleId="verdana">
    <w:name w:val="verdana"/>
    <w:basedOn w:val="DefaultParagraphFont"/>
    <w:semiHidden/>
    <w:rsid w:val="00D40F0B"/>
  </w:style>
  <w:style w:type="paragraph" w:customStyle="1" w:styleId="NumberedHeadingTLRI">
    <w:name w:val="Numbered Heading TLRI"/>
    <w:basedOn w:val="Normal"/>
    <w:next w:val="NormalNumberedTextTLRI"/>
    <w:link w:val="NumberedHeadingTLRIChar"/>
    <w:qFormat/>
    <w:rsid w:val="00C57412"/>
    <w:pPr>
      <w:keepNext/>
      <w:numPr>
        <w:ilvl w:val="1"/>
        <w:numId w:val="53"/>
      </w:numPr>
      <w:spacing w:before="480" w:after="220"/>
    </w:pPr>
    <w:rPr>
      <w:rFonts w:ascii="Arial" w:eastAsia="Times" w:hAnsi="Arial"/>
      <w:b/>
      <w:sz w:val="32"/>
      <w:szCs w:val="20"/>
      <w:lang w:val="x-none"/>
    </w:rPr>
  </w:style>
  <w:style w:type="character" w:customStyle="1" w:styleId="NumberedHeadingTLRIChar">
    <w:name w:val="Numbered Heading TLRI Char"/>
    <w:link w:val="NumberedHeadingTLRI"/>
    <w:rsid w:val="00C57412"/>
    <w:rPr>
      <w:rFonts w:ascii="Arial" w:eastAsia="Times" w:hAnsi="Arial"/>
      <w:b/>
      <w:sz w:val="32"/>
      <w:szCs w:val="20"/>
      <w:lang w:val="x-none" w:eastAsia="zh-CN"/>
    </w:rPr>
  </w:style>
  <w:style w:type="character" w:customStyle="1" w:styleId="hit">
    <w:name w:val="hit"/>
    <w:basedOn w:val="DefaultParagraphFont"/>
    <w:semiHidden/>
    <w:rsid w:val="00D40F0B"/>
  </w:style>
  <w:style w:type="paragraph" w:customStyle="1" w:styleId="Sub-HeadingTLRI">
    <w:name w:val="Sub-Heading TLRI"/>
    <w:basedOn w:val="Normal"/>
    <w:link w:val="Sub-HeadingTLRIChar"/>
    <w:qFormat/>
    <w:rsid w:val="00AE2B8C"/>
    <w:pPr>
      <w:keepNext/>
      <w:spacing w:before="360" w:after="220"/>
    </w:pPr>
    <w:rPr>
      <w:rFonts w:asciiTheme="majorBidi" w:eastAsia="Times" w:hAnsiTheme="majorBidi" w:cstheme="majorBidi"/>
      <w:b/>
      <w:i/>
      <w:szCs w:val="20"/>
    </w:rPr>
  </w:style>
  <w:style w:type="character" w:customStyle="1" w:styleId="Sub-HeadingTLRIChar">
    <w:name w:val="Sub-Heading TLRI Char"/>
    <w:link w:val="Sub-HeadingTLRI"/>
    <w:rsid w:val="00AE2B8C"/>
    <w:rPr>
      <w:rFonts w:asciiTheme="majorBidi" w:eastAsia="Times" w:hAnsiTheme="majorBidi" w:cstheme="majorBidi"/>
      <w:b/>
      <w:i/>
      <w:sz w:val="22"/>
      <w:szCs w:val="20"/>
      <w:lang w:val="en-AU" w:eastAsia="zh-CN"/>
    </w:rPr>
  </w:style>
  <w:style w:type="character" w:customStyle="1" w:styleId="ColorfulGrid-Accent1Char">
    <w:name w:val="Colorful Grid - Accent 1 Char"/>
    <w:link w:val="ColorfulGrid-Accent1"/>
    <w:uiPriority w:val="29"/>
    <w:rsid w:val="00D40F0B"/>
    <w:rPr>
      <w:rFonts w:ascii="Times New Roman" w:eastAsia="Times New Roman" w:hAnsi="Times New Roman" w:cs="Times New Roman"/>
      <w:i/>
      <w:iCs/>
      <w:color w:val="000000"/>
      <w:sz w:val="24"/>
      <w:szCs w:val="24"/>
    </w:rPr>
  </w:style>
  <w:style w:type="table" w:styleId="ColorfulGrid-Accent1">
    <w:name w:val="Colorful Grid Accent 1"/>
    <w:basedOn w:val="TableNormal"/>
    <w:link w:val="ColorfulGrid-Accent1Char"/>
    <w:uiPriority w:val="29"/>
    <w:rsid w:val="00D40F0B"/>
    <w:rPr>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FootnoteTextTLRI">
    <w:name w:val="Footnote Text TLRI"/>
    <w:basedOn w:val="FootnoteText"/>
    <w:link w:val="FootnoteTextTLRIChar"/>
    <w:qFormat/>
    <w:rsid w:val="00C0478D"/>
    <w:pPr>
      <w:spacing w:after="40"/>
      <w:ind w:left="284" w:hanging="284"/>
      <w:jc w:val="both"/>
    </w:pPr>
    <w:rPr>
      <w:szCs w:val="24"/>
    </w:rPr>
  </w:style>
  <w:style w:type="character" w:customStyle="1" w:styleId="FootnoteTextTLRIChar">
    <w:name w:val="Footnote Text TLRI Char"/>
    <w:link w:val="FootnoteTextTLRI"/>
    <w:rsid w:val="00C0478D"/>
    <w:rPr>
      <w:rFonts w:asciiTheme="minorHAnsi" w:eastAsiaTheme="minorHAnsi" w:hAnsiTheme="minorHAnsi"/>
      <w:sz w:val="20"/>
      <w:lang w:val="en-AU"/>
    </w:rPr>
  </w:style>
  <w:style w:type="paragraph" w:customStyle="1" w:styleId="SecondLevelofQuoteTLRI">
    <w:name w:val="Second Level of Quote TLRI"/>
    <w:rsid w:val="00D40F0B"/>
    <w:pPr>
      <w:spacing w:after="220"/>
      <w:ind w:left="851" w:right="851"/>
      <w:jc w:val="both"/>
    </w:pPr>
    <w:rPr>
      <w:rFonts w:eastAsia="Times"/>
      <w:lang w:val="en-AU"/>
    </w:rPr>
  </w:style>
  <w:style w:type="paragraph" w:customStyle="1" w:styleId="BackgroundNormalTextTLRI">
    <w:name w:val="Background Normal Text TLRI"/>
    <w:rsid w:val="00D40F0B"/>
    <w:pPr>
      <w:tabs>
        <w:tab w:val="left" w:pos="851"/>
      </w:tabs>
      <w:spacing w:before="220" w:after="220"/>
      <w:jc w:val="both"/>
    </w:pPr>
    <w:rPr>
      <w:rFonts w:eastAsia="Times"/>
      <w:sz w:val="22"/>
      <w:lang w:val="en-AU"/>
    </w:rPr>
  </w:style>
  <w:style w:type="paragraph" w:customStyle="1" w:styleId="BackgroundHeadingTLRI">
    <w:name w:val="Background Heading TLRI"/>
    <w:rsid w:val="00D40F0B"/>
    <w:pPr>
      <w:tabs>
        <w:tab w:val="left" w:pos="851"/>
        <w:tab w:val="num" w:pos="1571"/>
      </w:tabs>
      <w:spacing w:before="640" w:after="220"/>
      <w:ind w:left="851"/>
    </w:pPr>
    <w:rPr>
      <w:rFonts w:ascii="Arial" w:eastAsia="Times" w:hAnsi="Arial"/>
      <w:b/>
      <w:sz w:val="32"/>
      <w:lang w:val="en-AU"/>
    </w:rPr>
  </w:style>
  <w:style w:type="paragraph" w:styleId="EndnoteText">
    <w:name w:val="endnote text"/>
    <w:basedOn w:val="Normal"/>
    <w:link w:val="EndnoteTextChar"/>
    <w:uiPriority w:val="99"/>
    <w:rsid w:val="00D40F0B"/>
    <w:rPr>
      <w:sz w:val="20"/>
      <w:szCs w:val="20"/>
      <w:lang w:val="x-none"/>
    </w:rPr>
  </w:style>
  <w:style w:type="character" w:customStyle="1" w:styleId="EndnoteTextChar">
    <w:name w:val="Endnote Text Char"/>
    <w:link w:val="EndnoteText"/>
    <w:uiPriority w:val="99"/>
    <w:rsid w:val="00D40F0B"/>
    <w:rPr>
      <w:lang w:val="x-none"/>
    </w:rPr>
  </w:style>
  <w:style w:type="character" w:styleId="Hyperlink">
    <w:name w:val="Hyperlink"/>
    <w:uiPriority w:val="99"/>
    <w:rsid w:val="00D40F0B"/>
    <w:rPr>
      <w:color w:val="0000FF"/>
      <w:u w:val="single"/>
    </w:rPr>
  </w:style>
  <w:style w:type="paragraph" w:styleId="Footer">
    <w:name w:val="footer"/>
    <w:basedOn w:val="Normal"/>
    <w:link w:val="FooterChar"/>
    <w:uiPriority w:val="99"/>
    <w:rsid w:val="00D40F0B"/>
    <w:pPr>
      <w:tabs>
        <w:tab w:val="center" w:pos="4320"/>
        <w:tab w:val="right" w:pos="8640"/>
      </w:tabs>
    </w:pPr>
    <w:rPr>
      <w:lang w:val="x-none"/>
    </w:rPr>
  </w:style>
  <w:style w:type="character" w:customStyle="1" w:styleId="FooterChar">
    <w:name w:val="Footer Char"/>
    <w:link w:val="Footer"/>
    <w:uiPriority w:val="99"/>
    <w:rsid w:val="00D40F0B"/>
    <w:rPr>
      <w:sz w:val="24"/>
      <w:szCs w:val="24"/>
      <w:lang w:val="x-none"/>
    </w:rPr>
  </w:style>
  <w:style w:type="character" w:styleId="PageNumber">
    <w:name w:val="page number"/>
    <w:basedOn w:val="DefaultParagraphFont"/>
    <w:uiPriority w:val="99"/>
    <w:rsid w:val="00D40F0B"/>
  </w:style>
  <w:style w:type="paragraph" w:styleId="Header">
    <w:name w:val="header"/>
    <w:basedOn w:val="Normal"/>
    <w:link w:val="HeaderChar"/>
    <w:uiPriority w:val="99"/>
    <w:rsid w:val="00D40F0B"/>
    <w:pPr>
      <w:tabs>
        <w:tab w:val="center" w:pos="4320"/>
        <w:tab w:val="right" w:pos="8640"/>
      </w:tabs>
    </w:pPr>
    <w:rPr>
      <w:lang w:val="x-none"/>
    </w:rPr>
  </w:style>
  <w:style w:type="character" w:customStyle="1" w:styleId="HeaderChar">
    <w:name w:val="Header Char"/>
    <w:link w:val="Header"/>
    <w:uiPriority w:val="99"/>
    <w:rsid w:val="00D40F0B"/>
    <w:rPr>
      <w:sz w:val="24"/>
      <w:szCs w:val="24"/>
      <w:lang w:val="x-none"/>
    </w:rPr>
  </w:style>
  <w:style w:type="paragraph" w:styleId="BalloonText">
    <w:name w:val="Balloon Text"/>
    <w:basedOn w:val="Normal"/>
    <w:link w:val="BalloonTextChar"/>
    <w:uiPriority w:val="99"/>
    <w:rsid w:val="00D40F0B"/>
    <w:rPr>
      <w:rFonts w:ascii="Tahoma" w:hAnsi="Tahoma"/>
      <w:sz w:val="16"/>
      <w:szCs w:val="16"/>
      <w:lang w:val="x-none"/>
    </w:rPr>
  </w:style>
  <w:style w:type="character" w:customStyle="1" w:styleId="BalloonTextChar">
    <w:name w:val="Balloon Text Char"/>
    <w:link w:val="BalloonText"/>
    <w:uiPriority w:val="99"/>
    <w:rsid w:val="00D40F0B"/>
    <w:rPr>
      <w:rFonts w:ascii="Tahoma" w:hAnsi="Tahoma"/>
      <w:sz w:val="16"/>
      <w:szCs w:val="16"/>
      <w:lang w:val="x-none"/>
    </w:rPr>
  </w:style>
  <w:style w:type="paragraph" w:styleId="ListBullet">
    <w:name w:val="List Bullet"/>
    <w:basedOn w:val="Normal"/>
    <w:rsid w:val="00D40F0B"/>
    <w:pPr>
      <w:numPr>
        <w:numId w:val="5"/>
      </w:numPr>
      <w:contextualSpacing/>
    </w:pPr>
  </w:style>
  <w:style w:type="character" w:styleId="CommentReference">
    <w:name w:val="annotation reference"/>
    <w:uiPriority w:val="99"/>
    <w:rsid w:val="00D40F0B"/>
    <w:rPr>
      <w:sz w:val="16"/>
      <w:szCs w:val="16"/>
    </w:rPr>
  </w:style>
  <w:style w:type="paragraph" w:styleId="CommentText">
    <w:name w:val="annotation text"/>
    <w:basedOn w:val="Normal"/>
    <w:link w:val="CommentTextChar"/>
    <w:uiPriority w:val="99"/>
    <w:rsid w:val="00D40F0B"/>
    <w:rPr>
      <w:sz w:val="20"/>
      <w:szCs w:val="20"/>
      <w:lang w:val="x-none"/>
    </w:rPr>
  </w:style>
  <w:style w:type="character" w:customStyle="1" w:styleId="CommentTextChar">
    <w:name w:val="Comment Text Char"/>
    <w:link w:val="CommentText"/>
    <w:uiPriority w:val="99"/>
    <w:rsid w:val="00D40F0B"/>
    <w:rPr>
      <w:lang w:val="x-none"/>
    </w:rPr>
  </w:style>
  <w:style w:type="paragraph" w:styleId="CommentSubject">
    <w:name w:val="annotation subject"/>
    <w:basedOn w:val="CommentText"/>
    <w:next w:val="CommentText"/>
    <w:link w:val="CommentSubjectChar"/>
    <w:uiPriority w:val="99"/>
    <w:rsid w:val="00D40F0B"/>
    <w:rPr>
      <w:b/>
      <w:bCs/>
    </w:rPr>
  </w:style>
  <w:style w:type="character" w:customStyle="1" w:styleId="CommentSubjectChar">
    <w:name w:val="Comment Subject Char"/>
    <w:link w:val="CommentSubject"/>
    <w:uiPriority w:val="99"/>
    <w:rsid w:val="00D40F0B"/>
    <w:rPr>
      <w:b/>
      <w:bCs/>
      <w:lang w:val="x-none"/>
    </w:rPr>
  </w:style>
  <w:style w:type="paragraph" w:customStyle="1" w:styleId="TOCHeading1">
    <w:name w:val="TOC Heading1"/>
    <w:basedOn w:val="Heading1"/>
    <w:next w:val="Normal"/>
    <w:uiPriority w:val="39"/>
    <w:qFormat/>
    <w:rsid w:val="00D40F0B"/>
    <w:pPr>
      <w:keepLines/>
      <w:spacing w:before="480" w:after="0" w:line="276" w:lineRule="auto"/>
      <w:outlineLvl w:val="9"/>
    </w:pPr>
    <w:rPr>
      <w:color w:val="365F91"/>
      <w:kern w:val="0"/>
      <w:szCs w:val="28"/>
      <w:lang w:val="en-US"/>
    </w:rPr>
  </w:style>
  <w:style w:type="paragraph" w:styleId="TOC3">
    <w:name w:val="toc 3"/>
    <w:basedOn w:val="Normal"/>
    <w:next w:val="Normal"/>
    <w:autoRedefine/>
    <w:uiPriority w:val="39"/>
    <w:rsid w:val="00D40F0B"/>
    <w:pPr>
      <w:ind w:left="480"/>
    </w:pPr>
    <w:rPr>
      <w:rFonts w:ascii="Cambria" w:hAnsi="Cambria"/>
    </w:rPr>
  </w:style>
  <w:style w:type="paragraph" w:styleId="TOC1">
    <w:name w:val="toc 1"/>
    <w:basedOn w:val="Normal"/>
    <w:next w:val="Normal"/>
    <w:autoRedefine/>
    <w:uiPriority w:val="39"/>
    <w:rsid w:val="0062461B"/>
    <w:pPr>
      <w:tabs>
        <w:tab w:val="right" w:leader="dot" w:pos="9016"/>
      </w:tabs>
      <w:spacing w:before="120"/>
    </w:pPr>
    <w:rPr>
      <w:b/>
      <w:noProof/>
    </w:rPr>
  </w:style>
  <w:style w:type="paragraph" w:styleId="TOC2">
    <w:name w:val="toc 2"/>
    <w:basedOn w:val="Normal"/>
    <w:next w:val="Normal"/>
    <w:autoRedefine/>
    <w:uiPriority w:val="39"/>
    <w:rsid w:val="0062461B"/>
    <w:pPr>
      <w:ind w:left="240"/>
    </w:pPr>
    <w:rPr>
      <w:b/>
    </w:rPr>
  </w:style>
  <w:style w:type="paragraph" w:customStyle="1" w:styleId="Subsection">
    <w:name w:val="Subsection"/>
    <w:link w:val="SubsectionChar"/>
    <w:rsid w:val="00D40F0B"/>
    <w:pPr>
      <w:tabs>
        <w:tab w:val="right" w:pos="595"/>
        <w:tab w:val="left" w:pos="879"/>
      </w:tabs>
      <w:spacing w:before="160" w:line="260" w:lineRule="atLeast"/>
      <w:ind w:left="879" w:hanging="879"/>
    </w:pPr>
    <w:rPr>
      <w:lang w:val="en-AU"/>
    </w:rPr>
  </w:style>
  <w:style w:type="character" w:customStyle="1" w:styleId="SubsectionChar">
    <w:name w:val="Subsection Char"/>
    <w:link w:val="Subsection"/>
    <w:rsid w:val="00165678"/>
    <w:rPr>
      <w:lang w:val="en-AU"/>
    </w:rPr>
  </w:style>
  <w:style w:type="paragraph" w:customStyle="1" w:styleId="Indenta">
    <w:name w:val="Indent(a)"/>
    <w:rsid w:val="00D40F0B"/>
    <w:pPr>
      <w:tabs>
        <w:tab w:val="right" w:pos="1332"/>
        <w:tab w:val="left" w:pos="1616"/>
      </w:tabs>
      <w:spacing w:before="80" w:line="260" w:lineRule="atLeast"/>
      <w:ind w:left="1616" w:hanging="1616"/>
    </w:pPr>
    <w:rPr>
      <w:lang w:val="en-AU"/>
    </w:rPr>
  </w:style>
  <w:style w:type="character" w:customStyle="1" w:styleId="CharSectno">
    <w:name w:val="CharSectno"/>
    <w:rsid w:val="00D40F0B"/>
    <w:rPr>
      <w:noProof w:val="0"/>
      <w:lang w:val="en-AU"/>
    </w:rPr>
  </w:style>
  <w:style w:type="paragraph" w:styleId="DocumentMap">
    <w:name w:val="Document Map"/>
    <w:basedOn w:val="Normal"/>
    <w:link w:val="DocumentMapChar"/>
    <w:uiPriority w:val="99"/>
    <w:rsid w:val="00D40F0B"/>
    <w:rPr>
      <w:rFonts w:ascii="Tahoma" w:hAnsi="Tahoma"/>
      <w:sz w:val="16"/>
      <w:szCs w:val="16"/>
      <w:lang w:val="x-none"/>
    </w:rPr>
  </w:style>
  <w:style w:type="character" w:customStyle="1" w:styleId="DocumentMapChar">
    <w:name w:val="Document Map Char"/>
    <w:link w:val="DocumentMap"/>
    <w:uiPriority w:val="99"/>
    <w:rsid w:val="00D40F0B"/>
    <w:rPr>
      <w:rFonts w:ascii="Tahoma" w:hAnsi="Tahoma"/>
      <w:sz w:val="16"/>
      <w:szCs w:val="16"/>
      <w:lang w:val="x-none"/>
    </w:rPr>
  </w:style>
  <w:style w:type="paragraph" w:styleId="Index1">
    <w:name w:val="index 1"/>
    <w:basedOn w:val="Normal"/>
    <w:next w:val="Normal"/>
    <w:autoRedefine/>
    <w:rsid w:val="00D40F0B"/>
    <w:pPr>
      <w:ind w:left="240" w:hanging="240"/>
    </w:pPr>
  </w:style>
  <w:style w:type="paragraph" w:styleId="TOC9">
    <w:name w:val="toc 9"/>
    <w:basedOn w:val="Normal"/>
    <w:next w:val="Normal"/>
    <w:autoRedefine/>
    <w:uiPriority w:val="39"/>
    <w:rsid w:val="00D40F0B"/>
    <w:pPr>
      <w:ind w:left="1920"/>
    </w:pPr>
    <w:rPr>
      <w:rFonts w:ascii="Cambria" w:hAnsi="Cambria"/>
      <w:sz w:val="20"/>
      <w:szCs w:val="20"/>
    </w:rPr>
  </w:style>
  <w:style w:type="paragraph" w:styleId="BodyText">
    <w:name w:val="Body Text"/>
    <w:basedOn w:val="Normal"/>
    <w:link w:val="BodyTextChar"/>
    <w:rsid w:val="0062461B"/>
    <w:pPr>
      <w:spacing w:before="120" w:after="120"/>
      <w:jc w:val="both"/>
    </w:pPr>
    <w:rPr>
      <w:b/>
      <w:sz w:val="28"/>
      <w:szCs w:val="20"/>
      <w:lang w:val="x-none"/>
    </w:rPr>
  </w:style>
  <w:style w:type="character" w:customStyle="1" w:styleId="BodyTextChar">
    <w:name w:val="Body Text Char"/>
    <w:link w:val="BodyText"/>
    <w:rsid w:val="0062461B"/>
    <w:rPr>
      <w:rFonts w:eastAsiaTheme="minorHAnsi"/>
      <w:b/>
      <w:sz w:val="28"/>
      <w:szCs w:val="20"/>
      <w:lang w:val="x-none"/>
    </w:rPr>
  </w:style>
  <w:style w:type="paragraph" w:customStyle="1" w:styleId="Referenceheading">
    <w:name w:val="Reference heading"/>
    <w:basedOn w:val="Normal"/>
    <w:rsid w:val="00D40F0B"/>
    <w:pPr>
      <w:spacing w:before="120" w:after="120" w:line="360" w:lineRule="auto"/>
      <w:jc w:val="center"/>
    </w:pPr>
    <w:rPr>
      <w:caps/>
      <w:sz w:val="28"/>
    </w:rPr>
  </w:style>
  <w:style w:type="paragraph" w:customStyle="1" w:styleId="JHeading2">
    <w:name w:val="J Heading 2"/>
    <w:rsid w:val="00D40F0B"/>
    <w:pPr>
      <w:keepNext/>
      <w:tabs>
        <w:tab w:val="num" w:pos="0"/>
      </w:tabs>
      <w:spacing w:before="240" w:after="640"/>
      <w:jc w:val="center"/>
    </w:pPr>
    <w:rPr>
      <w:rFonts w:eastAsia="Times"/>
      <w:b/>
      <w:sz w:val="52"/>
      <w:lang w:val="en-AU"/>
    </w:rPr>
  </w:style>
  <w:style w:type="paragraph" w:customStyle="1" w:styleId="TLRITitle">
    <w:name w:val="TLRI Title"/>
    <w:basedOn w:val="BodyText"/>
    <w:uiPriority w:val="1"/>
    <w:qFormat/>
    <w:rsid w:val="00D40F0B"/>
    <w:pPr>
      <w:jc w:val="center"/>
    </w:pPr>
    <w:rPr>
      <w:sz w:val="56"/>
    </w:rPr>
  </w:style>
  <w:style w:type="paragraph" w:styleId="TOC4">
    <w:name w:val="toc 4"/>
    <w:basedOn w:val="Normal"/>
    <w:next w:val="Normal"/>
    <w:autoRedefine/>
    <w:uiPriority w:val="39"/>
    <w:rsid w:val="00D40F0B"/>
    <w:pPr>
      <w:ind w:left="720"/>
    </w:pPr>
    <w:rPr>
      <w:rFonts w:ascii="Cambria" w:hAnsi="Cambria"/>
      <w:sz w:val="20"/>
      <w:szCs w:val="20"/>
    </w:rPr>
  </w:style>
  <w:style w:type="paragraph" w:styleId="TOC5">
    <w:name w:val="toc 5"/>
    <w:basedOn w:val="Normal"/>
    <w:next w:val="Normal"/>
    <w:autoRedefine/>
    <w:uiPriority w:val="39"/>
    <w:rsid w:val="00D40F0B"/>
    <w:pPr>
      <w:ind w:left="960"/>
    </w:pPr>
    <w:rPr>
      <w:rFonts w:ascii="Cambria" w:hAnsi="Cambria"/>
      <w:sz w:val="20"/>
      <w:szCs w:val="20"/>
    </w:rPr>
  </w:style>
  <w:style w:type="paragraph" w:styleId="TOC6">
    <w:name w:val="toc 6"/>
    <w:basedOn w:val="Normal"/>
    <w:next w:val="Normal"/>
    <w:autoRedefine/>
    <w:uiPriority w:val="39"/>
    <w:rsid w:val="00D40F0B"/>
    <w:pPr>
      <w:ind w:left="1200"/>
    </w:pPr>
    <w:rPr>
      <w:rFonts w:ascii="Cambria" w:hAnsi="Cambria"/>
      <w:sz w:val="20"/>
      <w:szCs w:val="20"/>
    </w:rPr>
  </w:style>
  <w:style w:type="paragraph" w:styleId="TOC7">
    <w:name w:val="toc 7"/>
    <w:basedOn w:val="Normal"/>
    <w:next w:val="Normal"/>
    <w:autoRedefine/>
    <w:uiPriority w:val="39"/>
    <w:rsid w:val="00D40F0B"/>
    <w:pPr>
      <w:ind w:left="1440"/>
    </w:pPr>
    <w:rPr>
      <w:rFonts w:ascii="Cambria" w:hAnsi="Cambria"/>
      <w:sz w:val="20"/>
      <w:szCs w:val="20"/>
    </w:rPr>
  </w:style>
  <w:style w:type="paragraph" w:styleId="TOC8">
    <w:name w:val="toc 8"/>
    <w:basedOn w:val="Normal"/>
    <w:next w:val="Normal"/>
    <w:autoRedefine/>
    <w:uiPriority w:val="39"/>
    <w:rsid w:val="00D40F0B"/>
    <w:pPr>
      <w:ind w:left="1680"/>
    </w:pPr>
    <w:rPr>
      <w:rFonts w:ascii="Cambria" w:hAnsi="Cambria"/>
      <w:sz w:val="20"/>
      <w:szCs w:val="20"/>
    </w:rPr>
  </w:style>
  <w:style w:type="table" w:styleId="ColorfulList-Accent1">
    <w:name w:val="Colorful List Accent 1"/>
    <w:basedOn w:val="TableNormal"/>
    <w:uiPriority w:val="72"/>
    <w:rsid w:val="00D40F0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link w:val="ListParagraphChar"/>
    <w:uiPriority w:val="34"/>
    <w:qFormat/>
    <w:rsid w:val="00D026A6"/>
    <w:pPr>
      <w:ind w:left="720"/>
    </w:pPr>
  </w:style>
  <w:style w:type="character" w:customStyle="1" w:styleId="ListParagraphChar">
    <w:name w:val="List Paragraph Char"/>
    <w:link w:val="ListParagraph"/>
    <w:uiPriority w:val="34"/>
    <w:locked/>
    <w:rsid w:val="00D026A6"/>
    <w:rPr>
      <w:rFonts w:eastAsiaTheme="minorHAnsi"/>
      <w:lang w:val="en-AU"/>
    </w:rPr>
  </w:style>
  <w:style w:type="character" w:customStyle="1" w:styleId="a-size-extra-large3">
    <w:name w:val="a-size-extra-large3"/>
    <w:basedOn w:val="DefaultParagraphFont"/>
    <w:rsid w:val="00BE182C"/>
  </w:style>
  <w:style w:type="character" w:customStyle="1" w:styleId="a-size-large">
    <w:name w:val="a-size-large"/>
    <w:basedOn w:val="DefaultParagraphFont"/>
    <w:rsid w:val="00BE182C"/>
  </w:style>
  <w:style w:type="paragraph" w:customStyle="1" w:styleId="clause">
    <w:name w:val="clause"/>
    <w:basedOn w:val="Normal"/>
    <w:rsid w:val="00115861"/>
    <w:pPr>
      <w:spacing w:before="100" w:beforeAutospacing="1" w:after="100" w:afterAutospacing="1"/>
    </w:pPr>
    <w:rPr>
      <w:rFonts w:ascii="Times" w:eastAsia="Times New Roman" w:hAnsi="Times"/>
      <w:sz w:val="20"/>
      <w:szCs w:val="20"/>
    </w:rPr>
  </w:style>
  <w:style w:type="paragraph" w:styleId="NormalWeb">
    <w:name w:val="Normal (Web)"/>
    <w:basedOn w:val="Normal"/>
    <w:uiPriority w:val="99"/>
    <w:unhideWhenUsed/>
    <w:rsid w:val="00A73373"/>
    <w:pPr>
      <w:spacing w:before="100" w:beforeAutospacing="1" w:after="100" w:afterAutospacing="1"/>
    </w:pPr>
    <w:rPr>
      <w:rFonts w:ascii="Times" w:eastAsia="Times New Roman" w:hAnsi="Times" w:cs="Times New Roman"/>
      <w:sz w:val="20"/>
      <w:szCs w:val="20"/>
    </w:rPr>
  </w:style>
  <w:style w:type="paragraph" w:customStyle="1" w:styleId="NumberlessNormalText">
    <w:name w:val="Numberless Normal Text"/>
    <w:basedOn w:val="NormalNumberedTextTLRI"/>
    <w:rsid w:val="00C0478D"/>
    <w:pPr>
      <w:numPr>
        <w:ilvl w:val="0"/>
        <w:numId w:val="0"/>
      </w:numPr>
    </w:pPr>
  </w:style>
  <w:style w:type="paragraph" w:customStyle="1" w:styleId="NumberlessSectionHeading">
    <w:name w:val="Numberless Section Heading"/>
    <w:next w:val="NumberlessNormalText"/>
    <w:rsid w:val="00D9621D"/>
    <w:pPr>
      <w:keepNext/>
      <w:tabs>
        <w:tab w:val="left" w:pos="851"/>
        <w:tab w:val="num" w:pos="1571"/>
      </w:tabs>
      <w:spacing w:before="480" w:after="220"/>
      <w:ind w:right="142"/>
    </w:pPr>
    <w:rPr>
      <w:rFonts w:eastAsia="Times" w:cs="Times New Roman"/>
      <w:b/>
      <w:sz w:val="32"/>
      <w:lang w:val="en-AU"/>
    </w:rPr>
  </w:style>
  <w:style w:type="paragraph" w:styleId="Date">
    <w:name w:val="Date"/>
    <w:basedOn w:val="Normal"/>
    <w:next w:val="Normal"/>
    <w:link w:val="DateChar"/>
    <w:uiPriority w:val="99"/>
    <w:semiHidden/>
    <w:unhideWhenUsed/>
    <w:rsid w:val="00D41D62"/>
  </w:style>
  <w:style w:type="character" w:customStyle="1" w:styleId="DateChar">
    <w:name w:val="Date Char"/>
    <w:basedOn w:val="DefaultParagraphFont"/>
    <w:link w:val="Date"/>
    <w:uiPriority w:val="99"/>
    <w:semiHidden/>
    <w:rsid w:val="00D41D62"/>
    <w:rPr>
      <w:rFonts w:asciiTheme="minorHAnsi" w:eastAsiaTheme="minorEastAsia" w:hAnsiTheme="minorHAnsi"/>
      <w:sz w:val="22"/>
      <w:szCs w:val="22"/>
      <w:lang w:val="en-AU" w:eastAsia="zh-CN"/>
    </w:rPr>
  </w:style>
  <w:style w:type="paragraph" w:styleId="NoSpacing">
    <w:name w:val="No Spacing"/>
    <w:uiPriority w:val="1"/>
    <w:qFormat/>
    <w:rsid w:val="009F71A8"/>
    <w:rPr>
      <w:rFonts w:asciiTheme="minorHAnsi" w:eastAsiaTheme="minorEastAsia" w:hAnsiTheme="minorHAnsi"/>
      <w:sz w:val="22"/>
      <w:szCs w:val="22"/>
      <w:lang w:val="en-AU" w:eastAsia="zh-CN"/>
    </w:rPr>
  </w:style>
  <w:style w:type="character" w:styleId="SubtleEmphasis">
    <w:name w:val="Subtle Emphasis"/>
    <w:basedOn w:val="DefaultParagraphFont"/>
    <w:uiPriority w:val="19"/>
    <w:qFormat/>
    <w:rsid w:val="002014DF"/>
    <w:rPr>
      <w:i/>
      <w:iCs/>
      <w:color w:val="404040" w:themeColor="text1" w:themeTint="BF"/>
    </w:rPr>
  </w:style>
  <w:style w:type="character" w:styleId="Emphasis">
    <w:name w:val="Emphasis"/>
    <w:basedOn w:val="DefaultParagraphFont"/>
    <w:uiPriority w:val="20"/>
    <w:qFormat/>
    <w:rsid w:val="002014DF"/>
    <w:rPr>
      <w:i/>
      <w:iCs/>
    </w:rPr>
  </w:style>
  <w:style w:type="character" w:styleId="UnresolvedMention">
    <w:name w:val="Unresolved Mention"/>
    <w:basedOn w:val="DefaultParagraphFont"/>
    <w:uiPriority w:val="99"/>
    <w:semiHidden/>
    <w:unhideWhenUsed/>
    <w:rsid w:val="008C09C6"/>
    <w:rPr>
      <w:color w:val="605E5C"/>
      <w:shd w:val="clear" w:color="auto" w:fill="E1DFDD"/>
    </w:rPr>
  </w:style>
  <w:style w:type="paragraph" w:customStyle="1" w:styleId="furhtersub-heading2">
    <w:name w:val="furhter sub-heading 2"/>
    <w:basedOn w:val="Normal"/>
    <w:uiPriority w:val="1"/>
    <w:qFormat/>
    <w:rsid w:val="005C723B"/>
    <w:pPr>
      <w:keepNext/>
      <w:spacing w:before="120" w:after="120"/>
      <w:jc w:val="both"/>
    </w:pPr>
    <w:rPr>
      <w:rFonts w:asciiTheme="majorBidi" w:eastAsia="Times" w:hAnsiTheme="majorBidi" w:cstheme="majorBidi"/>
      <w:b/>
      <w:bCs/>
      <w:iCs/>
      <w:sz w:val="23"/>
      <w:szCs w:val="23"/>
      <w:lang w:eastAsia="ja-JP"/>
    </w:rPr>
  </w:style>
  <w:style w:type="character" w:customStyle="1" w:styleId="heading">
    <w:name w:val="heading"/>
    <w:basedOn w:val="DefaultParagraphFont"/>
    <w:rsid w:val="00EB766F"/>
  </w:style>
  <w:style w:type="character" w:customStyle="1" w:styleId="frag-heading">
    <w:name w:val="frag-heading"/>
    <w:basedOn w:val="DefaultParagraphFont"/>
    <w:rsid w:val="00EB766F"/>
  </w:style>
  <w:style w:type="character" w:customStyle="1" w:styleId="frag-defterm">
    <w:name w:val="frag-defterm"/>
    <w:basedOn w:val="DefaultParagraphFont"/>
    <w:rsid w:val="00EB766F"/>
  </w:style>
  <w:style w:type="character" w:styleId="Strong">
    <w:name w:val="Strong"/>
    <w:basedOn w:val="DefaultParagraphFont"/>
    <w:uiPriority w:val="22"/>
    <w:qFormat/>
    <w:rsid w:val="006F59C7"/>
    <w:rPr>
      <w:b/>
      <w:bCs/>
    </w:rPr>
  </w:style>
  <w:style w:type="paragraph" w:styleId="Title">
    <w:name w:val="Title"/>
    <w:basedOn w:val="Normal"/>
    <w:next w:val="Normal"/>
    <w:link w:val="TitleChar"/>
    <w:uiPriority w:val="99"/>
    <w:qFormat/>
    <w:rsid w:val="00165678"/>
    <w:pPr>
      <w:keepNext/>
      <w:keepLines/>
      <w:spacing w:before="480" w:after="120"/>
      <w:contextualSpacing/>
      <w:jc w:val="both"/>
    </w:pPr>
    <w:rPr>
      <w:rFonts w:eastAsia="Times New Roman" w:cs="Times New Roman"/>
      <w:b/>
      <w:sz w:val="72"/>
      <w:szCs w:val="72"/>
    </w:rPr>
  </w:style>
  <w:style w:type="character" w:customStyle="1" w:styleId="TitleChar">
    <w:name w:val="Title Char"/>
    <w:basedOn w:val="DefaultParagraphFont"/>
    <w:link w:val="Title"/>
    <w:uiPriority w:val="99"/>
    <w:rsid w:val="00165678"/>
    <w:rPr>
      <w:rFonts w:cs="Times New Roman"/>
      <w:b/>
      <w:sz w:val="72"/>
      <w:szCs w:val="72"/>
      <w:lang w:val="en-AU"/>
    </w:rPr>
  </w:style>
  <w:style w:type="paragraph" w:customStyle="1" w:styleId="Reclist">
    <w:name w:val="Rec list"/>
    <w:basedOn w:val="Normal"/>
    <w:link w:val="ReclistChar"/>
    <w:qFormat/>
    <w:rsid w:val="009D68E2"/>
    <w:pPr>
      <w:tabs>
        <w:tab w:val="left" w:pos="426"/>
      </w:tabs>
      <w:spacing w:before="120" w:after="120" w:line="269" w:lineRule="auto"/>
      <w:ind w:left="426" w:hanging="426"/>
      <w:jc w:val="both"/>
    </w:pPr>
    <w:rPr>
      <w:rFonts w:eastAsia="Times" w:cs="Times New Roman"/>
      <w:color w:val="000000"/>
      <w:sz w:val="23"/>
      <w:szCs w:val="23"/>
    </w:rPr>
  </w:style>
  <w:style w:type="character" w:customStyle="1" w:styleId="ReclistChar">
    <w:name w:val="Rec list Char"/>
    <w:link w:val="Reclist"/>
    <w:rsid w:val="009D68E2"/>
    <w:rPr>
      <w:rFonts w:eastAsia="Times" w:cs="Times New Roman"/>
      <w:color w:val="000000"/>
      <w:sz w:val="23"/>
      <w:szCs w:val="23"/>
      <w:lang w:val="en-AU"/>
    </w:rPr>
  </w:style>
  <w:style w:type="paragraph" w:customStyle="1" w:styleId="DraftHeading2">
    <w:name w:val="Draft Heading 2"/>
    <w:basedOn w:val="Normal"/>
    <w:next w:val="Normal"/>
    <w:link w:val="DraftHeading2Char"/>
    <w:rsid w:val="00165678"/>
    <w:pPr>
      <w:overflowPunct w:val="0"/>
      <w:autoSpaceDE w:val="0"/>
      <w:autoSpaceDN w:val="0"/>
      <w:adjustRightInd w:val="0"/>
      <w:spacing w:before="120"/>
      <w:jc w:val="both"/>
      <w:textAlignment w:val="baseline"/>
    </w:pPr>
    <w:rPr>
      <w:rFonts w:eastAsia="Times New Roman" w:cs="Times New Roman"/>
    </w:rPr>
  </w:style>
  <w:style w:type="character" w:customStyle="1" w:styleId="DraftHeading2Char">
    <w:name w:val="Draft Heading 2 Char"/>
    <w:link w:val="DraftHeading2"/>
    <w:rsid w:val="00165678"/>
    <w:rPr>
      <w:rFonts w:cs="Times New Roman"/>
      <w:lang w:val="en-AU"/>
    </w:rPr>
  </w:style>
  <w:style w:type="paragraph" w:customStyle="1" w:styleId="DraftHeading4">
    <w:name w:val="Draft Heading 4"/>
    <w:basedOn w:val="Normal"/>
    <w:next w:val="Normal"/>
    <w:link w:val="DraftHeading4Char"/>
    <w:uiPriority w:val="99"/>
    <w:rsid w:val="00165678"/>
    <w:pPr>
      <w:overflowPunct w:val="0"/>
      <w:autoSpaceDE w:val="0"/>
      <w:autoSpaceDN w:val="0"/>
      <w:adjustRightInd w:val="0"/>
      <w:spacing w:before="120"/>
      <w:jc w:val="both"/>
      <w:textAlignment w:val="baseline"/>
    </w:pPr>
    <w:rPr>
      <w:rFonts w:eastAsia="Times New Roman" w:cs="Times New Roman"/>
    </w:rPr>
  </w:style>
  <w:style w:type="character" w:customStyle="1" w:styleId="DraftHeading4Char">
    <w:name w:val="Draft Heading 4 Char"/>
    <w:link w:val="DraftHeading4"/>
    <w:uiPriority w:val="99"/>
    <w:rsid w:val="00165678"/>
    <w:rPr>
      <w:rFonts w:cs="Times New Roman"/>
      <w:lang w:val="en-AU"/>
    </w:rPr>
  </w:style>
  <w:style w:type="paragraph" w:styleId="Subtitle">
    <w:name w:val="Subtitle"/>
    <w:basedOn w:val="Normal"/>
    <w:next w:val="Normal"/>
    <w:link w:val="SubtitleChar"/>
    <w:uiPriority w:val="11"/>
    <w:qFormat/>
    <w:rsid w:val="00165678"/>
    <w:pPr>
      <w:keepNext/>
      <w:keepLines/>
      <w:spacing w:before="360" w:after="80"/>
      <w:contextualSpacing/>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65678"/>
    <w:rPr>
      <w:rFonts w:ascii="Georgia" w:eastAsia="Georgia" w:hAnsi="Georgia" w:cs="Georgia"/>
      <w:i/>
      <w:color w:val="666666"/>
      <w:sz w:val="48"/>
      <w:szCs w:val="48"/>
      <w:lang w:val="en-AU"/>
    </w:rPr>
  </w:style>
  <w:style w:type="character" w:customStyle="1" w:styleId="BodyTextIndent2Char">
    <w:name w:val="Body Text Indent 2 Char"/>
    <w:basedOn w:val="DefaultParagraphFont"/>
    <w:link w:val="BodyTextIndent2"/>
    <w:rsid w:val="00165678"/>
    <w:rPr>
      <w:rFonts w:eastAsia="Times" w:cs="Times New Roman"/>
      <w:sz w:val="28"/>
      <w:szCs w:val="20"/>
      <w:lang w:val="en-AU"/>
    </w:rPr>
  </w:style>
  <w:style w:type="paragraph" w:styleId="BodyTextIndent2">
    <w:name w:val="Body Text Indent 2"/>
    <w:basedOn w:val="Normal"/>
    <w:link w:val="BodyTextIndent2Char"/>
    <w:rsid w:val="00165678"/>
    <w:pPr>
      <w:ind w:left="720"/>
      <w:jc w:val="both"/>
    </w:pPr>
    <w:rPr>
      <w:rFonts w:eastAsia="Times" w:cs="Times New Roman"/>
      <w:sz w:val="28"/>
      <w:szCs w:val="20"/>
    </w:rPr>
  </w:style>
  <w:style w:type="paragraph" w:styleId="Quote">
    <w:name w:val="Quote"/>
    <w:basedOn w:val="Normal"/>
    <w:next w:val="Normal"/>
    <w:link w:val="QuoteChar"/>
    <w:uiPriority w:val="29"/>
    <w:qFormat/>
    <w:rsid w:val="00165678"/>
    <w:pPr>
      <w:spacing w:before="120" w:after="120"/>
      <w:ind w:left="720"/>
      <w:jc w:val="both"/>
    </w:pPr>
    <w:rPr>
      <w:rFonts w:ascii="Garamond" w:eastAsia="Times New Roman" w:hAnsi="Garamond" w:cs="Times New Roman"/>
      <w:color w:val="1F497D"/>
      <w:lang w:val="en-US" w:eastAsia="ja-JP"/>
    </w:rPr>
  </w:style>
  <w:style w:type="character" w:customStyle="1" w:styleId="QuoteChar">
    <w:name w:val="Quote Char"/>
    <w:basedOn w:val="DefaultParagraphFont"/>
    <w:link w:val="Quote"/>
    <w:uiPriority w:val="29"/>
    <w:rsid w:val="00165678"/>
    <w:rPr>
      <w:rFonts w:ascii="Garamond" w:hAnsi="Garamond" w:cs="Times New Roman"/>
      <w:color w:val="1F497D"/>
      <w:lang w:eastAsia="ja-JP"/>
    </w:rPr>
  </w:style>
  <w:style w:type="paragraph" w:customStyle="1" w:styleId="Heading0">
    <w:name w:val="Heading"/>
    <w:basedOn w:val="NormalWeb"/>
    <w:uiPriority w:val="1"/>
    <w:qFormat/>
    <w:rsid w:val="00165678"/>
    <w:pPr>
      <w:spacing w:before="0" w:after="0" w:line="360" w:lineRule="auto"/>
      <w:jc w:val="both"/>
      <w:outlineLvl w:val="0"/>
    </w:pPr>
    <w:rPr>
      <w:rFonts w:ascii="Calibri" w:hAnsi="Calibri"/>
      <w:b/>
      <w:sz w:val="22"/>
      <w:szCs w:val="22"/>
      <w:lang w:val="en-US" w:eastAsia="ja-JP"/>
    </w:rPr>
  </w:style>
  <w:style w:type="paragraph" w:customStyle="1" w:styleId="Heading1RB">
    <w:name w:val="Heading 1 RB"/>
    <w:basedOn w:val="NormalWeb"/>
    <w:uiPriority w:val="1"/>
    <w:qFormat/>
    <w:rsid w:val="00165678"/>
    <w:pPr>
      <w:spacing w:before="0" w:after="0" w:line="360" w:lineRule="auto"/>
      <w:jc w:val="both"/>
      <w:outlineLvl w:val="0"/>
    </w:pPr>
    <w:rPr>
      <w:rFonts w:ascii="Calibri" w:hAnsi="Calibri"/>
      <w:b/>
      <w:sz w:val="22"/>
      <w:szCs w:val="22"/>
      <w:lang w:val="en-US" w:eastAsia="ja-JP"/>
    </w:rPr>
  </w:style>
  <w:style w:type="paragraph" w:customStyle="1" w:styleId="Heading2RB">
    <w:name w:val="Heading 2 RB"/>
    <w:basedOn w:val="Normal"/>
    <w:uiPriority w:val="1"/>
    <w:qFormat/>
    <w:rsid w:val="00165678"/>
    <w:pPr>
      <w:spacing w:line="360" w:lineRule="auto"/>
      <w:jc w:val="both"/>
    </w:pPr>
    <w:rPr>
      <w:rFonts w:ascii="Garamond" w:eastAsia="Times New Roman" w:hAnsi="Garamond" w:cs="Times New Roman"/>
      <w:b/>
      <w:bCs/>
      <w:sz w:val="23"/>
      <w:szCs w:val="23"/>
      <w:lang w:val="en-US" w:eastAsia="ja-JP"/>
    </w:rPr>
  </w:style>
  <w:style w:type="paragraph" w:customStyle="1" w:styleId="Heading2RJB">
    <w:name w:val="Heading 2 RJB"/>
    <w:basedOn w:val="Normal"/>
    <w:uiPriority w:val="1"/>
    <w:qFormat/>
    <w:rsid w:val="00165678"/>
    <w:pPr>
      <w:numPr>
        <w:ilvl w:val="1"/>
        <w:numId w:val="15"/>
      </w:numPr>
      <w:jc w:val="both"/>
      <w:outlineLvl w:val="0"/>
    </w:pPr>
    <w:rPr>
      <w:rFonts w:ascii="Garamond" w:eastAsia="Times New Roman" w:hAnsi="Garamond" w:cs="Times New Roman"/>
      <w:b/>
      <w:sz w:val="23"/>
      <w:szCs w:val="23"/>
      <w:lang w:val="en-US" w:eastAsia="ja-JP"/>
    </w:rPr>
  </w:style>
  <w:style w:type="paragraph" w:customStyle="1" w:styleId="heading3RJB">
    <w:name w:val="heading 3 RJB"/>
    <w:basedOn w:val="Normal"/>
    <w:uiPriority w:val="1"/>
    <w:qFormat/>
    <w:rsid w:val="00165678"/>
    <w:pPr>
      <w:numPr>
        <w:ilvl w:val="2"/>
        <w:numId w:val="15"/>
      </w:numPr>
      <w:jc w:val="both"/>
      <w:outlineLvl w:val="0"/>
    </w:pPr>
    <w:rPr>
      <w:rFonts w:ascii="Garamond" w:eastAsia="Times New Roman" w:hAnsi="Garamond" w:cs="Times New Roman"/>
      <w:sz w:val="23"/>
      <w:szCs w:val="23"/>
      <w:u w:val="single"/>
      <w:lang w:val="en-US" w:eastAsia="ja-JP"/>
    </w:rPr>
  </w:style>
  <w:style w:type="paragraph" w:customStyle="1" w:styleId="heading4RJB">
    <w:name w:val="heading 4 RJB"/>
    <w:basedOn w:val="ListParagraph"/>
    <w:uiPriority w:val="1"/>
    <w:qFormat/>
    <w:rsid w:val="00165678"/>
    <w:pPr>
      <w:numPr>
        <w:ilvl w:val="3"/>
        <w:numId w:val="15"/>
      </w:numPr>
      <w:contextualSpacing/>
      <w:jc w:val="both"/>
    </w:pPr>
    <w:rPr>
      <w:rFonts w:ascii="Garamond" w:eastAsia="Times New Roman" w:hAnsi="Garamond" w:cs="Times New Roman"/>
      <w:bCs/>
      <w:i/>
      <w:sz w:val="23"/>
      <w:szCs w:val="23"/>
      <w:lang w:val="en-US" w:eastAsia="ja-JP"/>
    </w:rPr>
  </w:style>
  <w:style w:type="paragraph" w:customStyle="1" w:styleId="numberedparagraphs">
    <w:name w:val="numbered paragraphs"/>
    <w:basedOn w:val="Reclist"/>
    <w:uiPriority w:val="1"/>
    <w:qFormat/>
    <w:rsid w:val="00165678"/>
    <w:pPr>
      <w:spacing w:line="259" w:lineRule="auto"/>
    </w:pPr>
    <w:rPr>
      <w:color w:val="auto"/>
      <w:szCs w:val="20"/>
      <w:lang w:eastAsia="ja-JP"/>
    </w:rPr>
  </w:style>
  <w:style w:type="paragraph" w:customStyle="1" w:styleId="Heading1RJB">
    <w:name w:val="Heading 1 RJB"/>
    <w:basedOn w:val="TOC1"/>
    <w:uiPriority w:val="1"/>
    <w:qFormat/>
    <w:rsid w:val="00165678"/>
    <w:pPr>
      <w:numPr>
        <w:numId w:val="14"/>
      </w:numPr>
      <w:spacing w:before="0" w:after="100"/>
      <w:jc w:val="both"/>
      <w:outlineLvl w:val="0"/>
    </w:pPr>
    <w:rPr>
      <w:rFonts w:ascii="Garamond" w:eastAsia="Times New Roman" w:hAnsi="Garamond" w:cs="Times New Roman"/>
      <w:b w:val="0"/>
      <w:sz w:val="23"/>
      <w:szCs w:val="23"/>
      <w:lang w:eastAsia="ja-JP"/>
    </w:rPr>
  </w:style>
  <w:style w:type="paragraph" w:customStyle="1" w:styleId="Paragraph">
    <w:name w:val="Paragraph"/>
    <w:basedOn w:val="Normal"/>
    <w:link w:val="ParagraphChar"/>
    <w:rsid w:val="00165678"/>
    <w:pPr>
      <w:widowControl w:val="0"/>
      <w:spacing w:after="240"/>
      <w:ind w:left="1667" w:hanging="567"/>
      <w:jc w:val="both"/>
    </w:pPr>
    <w:rPr>
      <w:rFonts w:ascii="Helvetica" w:eastAsia="Times New Roman" w:hAnsi="Helvetica" w:cs="Times New Roman"/>
      <w:szCs w:val="23"/>
      <w:lang w:val="en-US" w:eastAsia="en-AU"/>
    </w:rPr>
  </w:style>
  <w:style w:type="character" w:customStyle="1" w:styleId="ParagraphChar">
    <w:name w:val="Paragraph Char"/>
    <w:link w:val="Paragraph"/>
    <w:rsid w:val="00165678"/>
    <w:rPr>
      <w:rFonts w:ascii="Helvetica" w:hAnsi="Helvetica" w:cs="Times New Roman"/>
      <w:szCs w:val="23"/>
      <w:lang w:eastAsia="en-AU"/>
    </w:rPr>
  </w:style>
  <w:style w:type="character" w:customStyle="1" w:styleId="SubparaChar">
    <w:name w:val="Subpara Char"/>
    <w:link w:val="Subpara"/>
    <w:rsid w:val="00165678"/>
    <w:rPr>
      <w:rFonts w:ascii="Helvetica" w:hAnsi="Helvetica"/>
    </w:rPr>
  </w:style>
  <w:style w:type="paragraph" w:customStyle="1" w:styleId="Subpara">
    <w:name w:val="Subpara"/>
    <w:basedOn w:val="Paragraph"/>
    <w:link w:val="SubparaChar"/>
    <w:rsid w:val="00165678"/>
    <w:pPr>
      <w:ind w:left="2268"/>
    </w:pPr>
    <w:rPr>
      <w:rFonts w:cstheme="minorBidi"/>
      <w:szCs w:val="24"/>
      <w:lang w:eastAsia="en-US"/>
    </w:rPr>
  </w:style>
  <w:style w:type="paragraph" w:customStyle="1" w:styleId="aDef">
    <w:name w:val="aDef"/>
    <w:basedOn w:val="Normal"/>
    <w:link w:val="aDefChar"/>
    <w:rsid w:val="00165678"/>
    <w:pPr>
      <w:spacing w:before="140"/>
      <w:ind w:left="1100"/>
      <w:jc w:val="both"/>
    </w:pPr>
    <w:rPr>
      <w:rFonts w:ascii="Garamond" w:eastAsia="Times New Roman" w:hAnsi="Garamond" w:cs="Times New Roman"/>
      <w:szCs w:val="20"/>
      <w:lang w:val="en-US" w:eastAsia="ja-JP"/>
    </w:rPr>
  </w:style>
  <w:style w:type="character" w:customStyle="1" w:styleId="aDefChar">
    <w:name w:val="aDef Char"/>
    <w:link w:val="aDef"/>
    <w:locked/>
    <w:rsid w:val="00165678"/>
    <w:rPr>
      <w:rFonts w:ascii="Garamond" w:hAnsi="Garamond" w:cs="Times New Roman"/>
      <w:szCs w:val="20"/>
      <w:lang w:eastAsia="ja-JP"/>
    </w:rPr>
  </w:style>
  <w:style w:type="character" w:customStyle="1" w:styleId="DefinitionChar">
    <w:name w:val="Definition Char"/>
    <w:link w:val="Definition"/>
    <w:rsid w:val="00165678"/>
    <w:rPr>
      <w:rFonts w:ascii="Helvetica" w:hAnsi="Helvetica"/>
    </w:rPr>
  </w:style>
  <w:style w:type="paragraph" w:customStyle="1" w:styleId="Definition">
    <w:name w:val="Definition"/>
    <w:aliases w:val="dd"/>
    <w:basedOn w:val="Normal"/>
    <w:link w:val="DefinitionChar"/>
    <w:rsid w:val="00165678"/>
    <w:pPr>
      <w:widowControl w:val="0"/>
      <w:spacing w:after="240"/>
      <w:ind w:left="1100"/>
      <w:jc w:val="both"/>
    </w:pPr>
    <w:rPr>
      <w:rFonts w:ascii="Helvetica" w:eastAsia="Times New Roman" w:hAnsi="Helvetica"/>
      <w:lang w:val="en-US"/>
    </w:rPr>
  </w:style>
  <w:style w:type="paragraph" w:customStyle="1" w:styleId="DraftHeading1">
    <w:name w:val="Draft Heading 1"/>
    <w:basedOn w:val="Normal"/>
    <w:next w:val="Normal"/>
    <w:link w:val="DraftHeading1Char"/>
    <w:rsid w:val="00165678"/>
    <w:pPr>
      <w:overflowPunct w:val="0"/>
      <w:autoSpaceDE w:val="0"/>
      <w:autoSpaceDN w:val="0"/>
      <w:adjustRightInd w:val="0"/>
      <w:spacing w:before="120"/>
      <w:jc w:val="both"/>
      <w:textAlignment w:val="baseline"/>
      <w:outlineLvl w:val="2"/>
    </w:pPr>
    <w:rPr>
      <w:rFonts w:ascii="Garamond" w:eastAsia="Times New Roman" w:hAnsi="Garamond" w:cs="Times New Roman"/>
      <w:b/>
      <w:szCs w:val="20"/>
      <w:lang w:val="en-US" w:eastAsia="ja-JP"/>
    </w:rPr>
  </w:style>
  <w:style w:type="character" w:customStyle="1" w:styleId="DraftHeading1Char">
    <w:name w:val="Draft Heading 1 Char"/>
    <w:link w:val="DraftHeading1"/>
    <w:locked/>
    <w:rsid w:val="00165678"/>
    <w:rPr>
      <w:rFonts w:ascii="Garamond" w:hAnsi="Garamond" w:cs="Times New Roman"/>
      <w:b/>
      <w:szCs w:val="20"/>
      <w:lang w:eastAsia="ja-JP"/>
    </w:rPr>
  </w:style>
  <w:style w:type="paragraph" w:customStyle="1" w:styleId="BodySectionSub">
    <w:name w:val="Body Section (Sub)"/>
    <w:next w:val="Normal"/>
    <w:link w:val="BodySectionSubChar"/>
    <w:rsid w:val="00165678"/>
    <w:pPr>
      <w:overflowPunct w:val="0"/>
      <w:autoSpaceDE w:val="0"/>
      <w:autoSpaceDN w:val="0"/>
      <w:adjustRightInd w:val="0"/>
      <w:spacing w:before="120" w:after="160" w:line="259" w:lineRule="auto"/>
      <w:ind w:left="1361"/>
      <w:textAlignment w:val="baseline"/>
    </w:pPr>
    <w:rPr>
      <w:rFonts w:cs="Times New Roman"/>
      <w:sz w:val="22"/>
      <w:szCs w:val="20"/>
      <w:lang w:val="en-AU"/>
    </w:rPr>
  </w:style>
  <w:style w:type="character" w:customStyle="1" w:styleId="BodySectionSubChar">
    <w:name w:val="Body Section (Sub) Char"/>
    <w:link w:val="BodySectionSub"/>
    <w:rsid w:val="00165678"/>
    <w:rPr>
      <w:rFonts w:cs="Times New Roman"/>
      <w:sz w:val="22"/>
      <w:szCs w:val="20"/>
      <w:lang w:val="en-AU"/>
    </w:rPr>
  </w:style>
  <w:style w:type="character" w:styleId="BookTitle">
    <w:name w:val="Book Title"/>
    <w:uiPriority w:val="99"/>
    <w:qFormat/>
    <w:rsid w:val="00165678"/>
    <w:rPr>
      <w:b/>
      <w:bCs/>
      <w:smallCaps/>
      <w:spacing w:val="10"/>
    </w:rPr>
  </w:style>
  <w:style w:type="paragraph" w:styleId="IntenseQuote">
    <w:name w:val="Intense Quote"/>
    <w:basedOn w:val="Normal"/>
    <w:next w:val="Normal"/>
    <w:link w:val="IntenseQuoteChar"/>
    <w:uiPriority w:val="30"/>
    <w:qFormat/>
    <w:rsid w:val="00165678"/>
    <w:pPr>
      <w:spacing w:before="100" w:beforeAutospacing="1" w:after="240"/>
      <w:ind w:left="720"/>
      <w:jc w:val="center"/>
    </w:pPr>
    <w:rPr>
      <w:rFonts w:ascii="Cambria" w:eastAsia="Times New Roman" w:hAnsi="Cambria" w:cs="Times New Roman"/>
      <w:color w:val="1F497D"/>
      <w:spacing w:val="-6"/>
      <w:sz w:val="32"/>
      <w:szCs w:val="32"/>
      <w:lang w:val="en-US" w:eastAsia="ja-JP"/>
    </w:rPr>
  </w:style>
  <w:style w:type="character" w:customStyle="1" w:styleId="IntenseQuoteChar">
    <w:name w:val="Intense Quote Char"/>
    <w:basedOn w:val="DefaultParagraphFont"/>
    <w:link w:val="IntenseQuote"/>
    <w:uiPriority w:val="30"/>
    <w:rsid w:val="00165678"/>
    <w:rPr>
      <w:rFonts w:ascii="Cambria" w:hAnsi="Cambria" w:cs="Times New Roman"/>
      <w:color w:val="1F497D"/>
      <w:spacing w:val="-6"/>
      <w:sz w:val="32"/>
      <w:szCs w:val="32"/>
      <w:lang w:eastAsia="ja-JP"/>
    </w:rPr>
  </w:style>
  <w:style w:type="character" w:styleId="IntenseEmphasis">
    <w:name w:val="Intense Emphasis"/>
    <w:uiPriority w:val="21"/>
    <w:qFormat/>
    <w:rsid w:val="00165678"/>
    <w:rPr>
      <w:b/>
      <w:bCs/>
      <w:i/>
      <w:iCs/>
    </w:rPr>
  </w:style>
  <w:style w:type="character" w:styleId="SubtleReference">
    <w:name w:val="Subtle Reference"/>
    <w:uiPriority w:val="31"/>
    <w:qFormat/>
    <w:rsid w:val="00165678"/>
    <w:rPr>
      <w:smallCaps/>
      <w:color w:val="595959"/>
      <w:u w:val="none" w:color="7F7F7F"/>
      <w:bdr w:val="none" w:sz="0" w:space="0" w:color="auto"/>
    </w:rPr>
  </w:style>
  <w:style w:type="character" w:styleId="IntenseReference">
    <w:name w:val="Intense Reference"/>
    <w:uiPriority w:val="32"/>
    <w:qFormat/>
    <w:rsid w:val="00165678"/>
    <w:rPr>
      <w:b/>
      <w:bCs/>
      <w:smallCaps/>
      <w:color w:val="1F497D"/>
      <w:u w:val="single"/>
    </w:rPr>
  </w:style>
  <w:style w:type="paragraph" w:customStyle="1" w:styleId="CoverTextBullet">
    <w:name w:val="CoverTextBullet"/>
    <w:basedOn w:val="Normal"/>
    <w:qFormat/>
    <w:rsid w:val="00165678"/>
    <w:pPr>
      <w:numPr>
        <w:numId w:val="16"/>
      </w:numPr>
      <w:tabs>
        <w:tab w:val="left" w:pos="0"/>
      </w:tabs>
      <w:spacing w:before="100"/>
      <w:jc w:val="both"/>
    </w:pPr>
    <w:rPr>
      <w:rFonts w:eastAsia="Times New Roman" w:cs="Times New Roman"/>
      <w:color w:val="000000"/>
      <w:sz w:val="20"/>
      <w:szCs w:val="20"/>
    </w:rPr>
  </w:style>
  <w:style w:type="paragraph" w:customStyle="1" w:styleId="Amainreturn">
    <w:name w:val="A main return"/>
    <w:basedOn w:val="Normal"/>
    <w:link w:val="AmainreturnChar"/>
    <w:rsid w:val="00165678"/>
    <w:pPr>
      <w:spacing w:before="140"/>
      <w:ind w:left="1100"/>
      <w:jc w:val="both"/>
    </w:pPr>
    <w:rPr>
      <w:rFonts w:eastAsia="Times New Roman" w:cs="Times New Roman"/>
      <w:szCs w:val="20"/>
    </w:rPr>
  </w:style>
  <w:style w:type="character" w:customStyle="1" w:styleId="AmainreturnChar">
    <w:name w:val="A main return Char"/>
    <w:link w:val="Amainreturn"/>
    <w:locked/>
    <w:rsid w:val="00165678"/>
    <w:rPr>
      <w:rFonts w:cs="Times New Roman"/>
      <w:szCs w:val="20"/>
      <w:lang w:val="en-AU"/>
    </w:rPr>
  </w:style>
  <w:style w:type="paragraph" w:customStyle="1" w:styleId="aNote">
    <w:name w:val="aNote"/>
    <w:basedOn w:val="Normal"/>
    <w:link w:val="aNoteChar"/>
    <w:rsid w:val="00165678"/>
    <w:pPr>
      <w:spacing w:before="140"/>
      <w:ind w:left="1900" w:hanging="800"/>
      <w:jc w:val="both"/>
    </w:pPr>
    <w:rPr>
      <w:rFonts w:eastAsia="Times New Roman" w:cs="Times New Roman"/>
      <w:sz w:val="20"/>
      <w:szCs w:val="20"/>
    </w:rPr>
  </w:style>
  <w:style w:type="character" w:customStyle="1" w:styleId="aNoteChar">
    <w:name w:val="aNote Char"/>
    <w:link w:val="aNote"/>
    <w:locked/>
    <w:rsid w:val="00165678"/>
    <w:rPr>
      <w:rFonts w:cs="Times New Roman"/>
      <w:sz w:val="20"/>
      <w:szCs w:val="20"/>
      <w:lang w:val="en-AU"/>
    </w:rPr>
  </w:style>
  <w:style w:type="paragraph" w:customStyle="1" w:styleId="AH5Sec">
    <w:name w:val="A H5 Sec"/>
    <w:basedOn w:val="Normal"/>
    <w:next w:val="Amain"/>
    <w:link w:val="AH5SecChar"/>
    <w:rsid w:val="00165678"/>
    <w:pPr>
      <w:keepNext/>
      <w:tabs>
        <w:tab w:val="left" w:pos="1100"/>
      </w:tabs>
      <w:spacing w:before="240"/>
      <w:ind w:left="1100" w:hanging="1100"/>
      <w:jc w:val="both"/>
      <w:outlineLvl w:val="4"/>
    </w:pPr>
    <w:rPr>
      <w:rFonts w:ascii="Arial" w:eastAsia="Times New Roman" w:hAnsi="Arial" w:cs="Times New Roman"/>
      <w:b/>
      <w:szCs w:val="20"/>
    </w:rPr>
  </w:style>
  <w:style w:type="paragraph" w:customStyle="1" w:styleId="Amain">
    <w:name w:val="A main"/>
    <w:basedOn w:val="Normal"/>
    <w:rsid w:val="00165678"/>
    <w:pPr>
      <w:tabs>
        <w:tab w:val="right" w:pos="900"/>
        <w:tab w:val="left" w:pos="1100"/>
      </w:tabs>
      <w:spacing w:before="140"/>
      <w:ind w:left="1100" w:hanging="1100"/>
      <w:jc w:val="both"/>
      <w:outlineLvl w:val="5"/>
    </w:pPr>
    <w:rPr>
      <w:rFonts w:eastAsia="Times New Roman" w:cs="Times New Roman"/>
      <w:szCs w:val="20"/>
    </w:rPr>
  </w:style>
  <w:style w:type="character" w:customStyle="1" w:styleId="AH5SecChar">
    <w:name w:val="A H5 Sec Char"/>
    <w:link w:val="AH5Sec"/>
    <w:locked/>
    <w:rsid w:val="00165678"/>
    <w:rPr>
      <w:rFonts w:ascii="Arial" w:hAnsi="Arial" w:cs="Times New Roman"/>
      <w:b/>
      <w:szCs w:val="20"/>
      <w:lang w:val="en-AU"/>
    </w:rPr>
  </w:style>
  <w:style w:type="paragraph" w:customStyle="1" w:styleId="NewSectionHeading">
    <w:name w:val="New Section Heading"/>
    <w:basedOn w:val="Normal"/>
    <w:next w:val="Normal"/>
    <w:link w:val="NewSectionHeadingChar"/>
    <w:rsid w:val="00165678"/>
    <w:pPr>
      <w:keepNext/>
      <w:keepLines/>
      <w:widowControl w:val="0"/>
      <w:spacing w:after="240"/>
      <w:ind w:left="1100" w:hanging="1100"/>
      <w:jc w:val="both"/>
      <w:outlineLvl w:val="4"/>
    </w:pPr>
    <w:rPr>
      <w:rFonts w:ascii="Helvetica" w:eastAsia="Times New Roman" w:hAnsi="Helvetica" w:cs="Times New Roman"/>
      <w:b/>
      <w:lang w:eastAsia="en-AU"/>
    </w:rPr>
  </w:style>
  <w:style w:type="character" w:customStyle="1" w:styleId="NewSectionHeadingChar">
    <w:name w:val="New Section Heading Char"/>
    <w:link w:val="NewSectionHeading"/>
    <w:rsid w:val="00165678"/>
    <w:rPr>
      <w:rFonts w:ascii="Helvetica" w:hAnsi="Helvetica" w:cs="Times New Roman"/>
      <w:b/>
      <w:lang w:val="en-AU" w:eastAsia="en-AU"/>
    </w:rPr>
  </w:style>
  <w:style w:type="paragraph" w:customStyle="1" w:styleId="AmendHeading1">
    <w:name w:val="Amend. Heading 1"/>
    <w:basedOn w:val="Normal"/>
    <w:next w:val="Normal"/>
    <w:link w:val="AmendHeading1Char"/>
    <w:rsid w:val="00165678"/>
    <w:pPr>
      <w:overflowPunct w:val="0"/>
      <w:autoSpaceDE w:val="0"/>
      <w:autoSpaceDN w:val="0"/>
      <w:adjustRightInd w:val="0"/>
      <w:spacing w:before="120"/>
      <w:jc w:val="both"/>
      <w:textAlignment w:val="baseline"/>
    </w:pPr>
    <w:rPr>
      <w:rFonts w:eastAsia="Times New Roman" w:cs="Times New Roman"/>
      <w:szCs w:val="20"/>
    </w:rPr>
  </w:style>
  <w:style w:type="character" w:customStyle="1" w:styleId="AmendHeading1Char">
    <w:name w:val="Amend. Heading 1 Char"/>
    <w:link w:val="AmendHeading1"/>
    <w:rsid w:val="00165678"/>
    <w:rPr>
      <w:rFonts w:cs="Times New Roman"/>
      <w:szCs w:val="20"/>
      <w:lang w:val="en-AU"/>
    </w:rPr>
  </w:style>
  <w:style w:type="paragraph" w:customStyle="1" w:styleId="AmendHeading1s">
    <w:name w:val="Amend. Heading 1s"/>
    <w:basedOn w:val="Normal"/>
    <w:next w:val="Normal"/>
    <w:link w:val="AmendHeading1sChar"/>
    <w:rsid w:val="00165678"/>
    <w:pPr>
      <w:overflowPunct w:val="0"/>
      <w:autoSpaceDE w:val="0"/>
      <w:autoSpaceDN w:val="0"/>
      <w:adjustRightInd w:val="0"/>
      <w:spacing w:before="120"/>
      <w:jc w:val="both"/>
      <w:textAlignment w:val="baseline"/>
    </w:pPr>
    <w:rPr>
      <w:rFonts w:eastAsia="Times New Roman" w:cs="Times New Roman"/>
      <w:b/>
      <w:szCs w:val="20"/>
    </w:rPr>
  </w:style>
  <w:style w:type="character" w:customStyle="1" w:styleId="AmendHeading1sChar">
    <w:name w:val="Amend. Heading 1s Char"/>
    <w:link w:val="AmendHeading1s"/>
    <w:rsid w:val="00165678"/>
    <w:rPr>
      <w:rFonts w:cs="Times New Roman"/>
      <w:b/>
      <w:szCs w:val="20"/>
      <w:lang w:val="en-AU"/>
    </w:rPr>
  </w:style>
  <w:style w:type="paragraph" w:customStyle="1" w:styleId="Recommendationhanging1">
    <w:name w:val="Recommendation_hanging(1)"/>
    <w:basedOn w:val="Normal"/>
    <w:uiPriority w:val="10"/>
    <w:qFormat/>
    <w:rsid w:val="00165678"/>
    <w:pPr>
      <w:pBdr>
        <w:top w:val="single" w:sz="4" w:space="10" w:color="B8CCE4"/>
        <w:left w:val="single" w:sz="4" w:space="10" w:color="B8CCE4"/>
        <w:bottom w:val="single" w:sz="4" w:space="10" w:color="B8CCE4"/>
        <w:right w:val="single" w:sz="4" w:space="10" w:color="B8CCE4"/>
      </w:pBdr>
      <w:shd w:val="clear" w:color="auto" w:fill="B8CCE4"/>
      <w:spacing w:before="120" w:after="120"/>
      <w:ind w:left="1559" w:hanging="425"/>
      <w:jc w:val="both"/>
    </w:pPr>
    <w:rPr>
      <w:rFonts w:ascii="Arial" w:eastAsia="Times New Roman" w:hAnsi="Arial" w:cs="Times New Roman"/>
      <w:sz w:val="23"/>
    </w:rPr>
  </w:style>
  <w:style w:type="paragraph" w:customStyle="1" w:styleId="Recommendationhanginga">
    <w:name w:val="Recommendation_hanging(a)"/>
    <w:basedOn w:val="Normal"/>
    <w:uiPriority w:val="10"/>
    <w:qFormat/>
    <w:rsid w:val="00165678"/>
    <w:pPr>
      <w:pBdr>
        <w:top w:val="single" w:sz="4" w:space="10" w:color="B8CCE4"/>
        <w:left w:val="single" w:sz="4" w:space="10" w:color="B8CCE4"/>
        <w:bottom w:val="single" w:sz="4" w:space="10" w:color="B8CCE4"/>
        <w:right w:val="single" w:sz="4" w:space="10" w:color="B8CCE4"/>
      </w:pBdr>
      <w:shd w:val="clear" w:color="auto" w:fill="B8CCE4"/>
      <w:tabs>
        <w:tab w:val="left" w:pos="1559"/>
      </w:tabs>
      <w:spacing w:before="120" w:after="120"/>
      <w:ind w:left="1985" w:hanging="851"/>
      <w:jc w:val="both"/>
    </w:pPr>
    <w:rPr>
      <w:rFonts w:ascii="Arial" w:eastAsia="Times New Roman" w:hAnsi="Arial" w:cs="Times New Roman"/>
      <w:sz w:val="23"/>
    </w:rPr>
  </w:style>
  <w:style w:type="paragraph" w:customStyle="1" w:styleId="Recommendationheading">
    <w:name w:val="Recommendation_heading"/>
    <w:basedOn w:val="Normal"/>
    <w:uiPriority w:val="9"/>
    <w:qFormat/>
    <w:rsid w:val="00165678"/>
    <w:pPr>
      <w:keepNext/>
      <w:pBdr>
        <w:top w:val="single" w:sz="4" w:space="10" w:color="B8CCE4"/>
        <w:left w:val="single" w:sz="4" w:space="10" w:color="B8CCE4"/>
        <w:bottom w:val="single" w:sz="4" w:space="10" w:color="B8CCE4"/>
        <w:right w:val="single" w:sz="4" w:space="10" w:color="B8CCE4"/>
      </w:pBdr>
      <w:shd w:val="clear" w:color="auto" w:fill="95B3D7"/>
      <w:spacing w:before="120" w:after="120"/>
      <w:ind w:left="1134"/>
      <w:contextualSpacing/>
      <w:jc w:val="both"/>
    </w:pPr>
    <w:rPr>
      <w:rFonts w:ascii="Arial" w:eastAsia="Times New Roman" w:hAnsi="Arial" w:cs="Times New Roman"/>
      <w:b/>
      <w:sz w:val="23"/>
    </w:rPr>
  </w:style>
  <w:style w:type="paragraph" w:customStyle="1" w:styleId="Recheading">
    <w:name w:val="Rec heading"/>
    <w:basedOn w:val="Reclist"/>
    <w:qFormat/>
    <w:rsid w:val="00165678"/>
    <w:pPr>
      <w:snapToGrid w:val="0"/>
      <w:spacing w:before="240"/>
      <w:ind w:left="0" w:firstLine="0"/>
    </w:pPr>
    <w:rPr>
      <w:b/>
    </w:rPr>
  </w:style>
  <w:style w:type="paragraph" w:customStyle="1" w:styleId="Recnumberedlist">
    <w:name w:val="Rec numbered list"/>
    <w:basedOn w:val="Reclist"/>
    <w:qFormat/>
    <w:rsid w:val="00165678"/>
    <w:pPr>
      <w:numPr>
        <w:numId w:val="13"/>
      </w:numPr>
      <w:snapToGrid w:val="0"/>
      <w:ind w:left="426" w:hanging="426"/>
    </w:pPr>
  </w:style>
  <w:style w:type="character" w:styleId="FollowedHyperlink">
    <w:name w:val="FollowedHyperlink"/>
    <w:basedOn w:val="DefaultParagraphFont"/>
    <w:uiPriority w:val="99"/>
    <w:semiHidden/>
    <w:unhideWhenUsed/>
    <w:rsid w:val="00A205CE"/>
    <w:rPr>
      <w:color w:val="800080" w:themeColor="followedHyperlink"/>
      <w:u w:val="single"/>
    </w:rPr>
  </w:style>
  <w:style w:type="paragraph" w:styleId="Revision">
    <w:name w:val="Revision"/>
    <w:hidden/>
    <w:uiPriority w:val="99"/>
    <w:semiHidden/>
    <w:rsid w:val="0022371C"/>
    <w:rPr>
      <w:rFonts w:asciiTheme="minorHAnsi" w:eastAsiaTheme="minorHAnsi" w:hAnsiTheme="minorHAnsi"/>
      <w:lang w:val="en-AU"/>
    </w:rPr>
  </w:style>
  <w:style w:type="table" w:styleId="TableGrid">
    <w:name w:val="Table Grid"/>
    <w:basedOn w:val="TableNormal"/>
    <w:uiPriority w:val="39"/>
    <w:rsid w:val="009F661F"/>
    <w:rPr>
      <w:rFonts w:asciiTheme="minorHAnsi" w:eastAsiaTheme="minorEastAsia" w:hAnsiTheme="minorHAns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663E26"/>
    <w:pPr>
      <w:spacing w:before="100" w:beforeAutospacing="1" w:after="100" w:afterAutospacing="1"/>
    </w:pPr>
    <w:rPr>
      <w:rFonts w:eastAsia="Times New Roman" w:cs="Times New Roman"/>
    </w:rPr>
  </w:style>
  <w:style w:type="character" w:customStyle="1" w:styleId="legds">
    <w:name w:val="legds"/>
    <w:basedOn w:val="DefaultParagraphFont"/>
    <w:rsid w:val="00663E26"/>
  </w:style>
  <w:style w:type="character" w:customStyle="1" w:styleId="legsubstitution">
    <w:name w:val="legsubstitution"/>
    <w:basedOn w:val="DefaultParagraphFont"/>
    <w:rsid w:val="00663E26"/>
  </w:style>
  <w:style w:type="character" w:customStyle="1" w:styleId="legchangedelimiter">
    <w:name w:val="legchangedelimiter"/>
    <w:basedOn w:val="DefaultParagraphFont"/>
    <w:rsid w:val="00663E26"/>
  </w:style>
  <w:style w:type="character" w:customStyle="1" w:styleId="legaddition">
    <w:name w:val="legaddition"/>
    <w:basedOn w:val="DefaultParagraphFont"/>
    <w:rsid w:val="00663E26"/>
  </w:style>
  <w:style w:type="paragraph" w:customStyle="1" w:styleId="paragraph0">
    <w:name w:val="paragraph"/>
    <w:basedOn w:val="Normal"/>
    <w:rsid w:val="00547C26"/>
    <w:pPr>
      <w:spacing w:before="100" w:beforeAutospacing="1" w:after="100" w:afterAutospacing="1"/>
    </w:pPr>
    <w:rPr>
      <w:rFonts w:eastAsia="Times New Roman" w:cs="Times New Roman"/>
    </w:rPr>
  </w:style>
  <w:style w:type="character" w:customStyle="1" w:styleId="insertwords">
    <w:name w:val="insertwords"/>
    <w:basedOn w:val="DefaultParagraphFont"/>
    <w:rsid w:val="002D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3403">
      <w:bodyDiv w:val="1"/>
      <w:marLeft w:val="0"/>
      <w:marRight w:val="0"/>
      <w:marTop w:val="0"/>
      <w:marBottom w:val="0"/>
      <w:divBdr>
        <w:top w:val="none" w:sz="0" w:space="0" w:color="auto"/>
        <w:left w:val="none" w:sz="0" w:space="0" w:color="auto"/>
        <w:bottom w:val="none" w:sz="0" w:space="0" w:color="auto"/>
        <w:right w:val="none" w:sz="0" w:space="0" w:color="auto"/>
      </w:divBdr>
    </w:div>
    <w:div w:id="26564949">
      <w:bodyDiv w:val="1"/>
      <w:marLeft w:val="0"/>
      <w:marRight w:val="0"/>
      <w:marTop w:val="0"/>
      <w:marBottom w:val="0"/>
      <w:divBdr>
        <w:top w:val="none" w:sz="0" w:space="0" w:color="auto"/>
        <w:left w:val="none" w:sz="0" w:space="0" w:color="auto"/>
        <w:bottom w:val="none" w:sz="0" w:space="0" w:color="auto"/>
        <w:right w:val="none" w:sz="0" w:space="0" w:color="auto"/>
      </w:divBdr>
      <w:divsChild>
        <w:div w:id="963920889">
          <w:blockQuote w:val="1"/>
          <w:marLeft w:val="400"/>
          <w:marRight w:val="0"/>
          <w:marTop w:val="160"/>
          <w:marBottom w:val="200"/>
          <w:divBdr>
            <w:top w:val="none" w:sz="0" w:space="0" w:color="auto"/>
            <w:left w:val="none" w:sz="0" w:space="0" w:color="auto"/>
            <w:bottom w:val="none" w:sz="0" w:space="0" w:color="auto"/>
            <w:right w:val="none" w:sz="0" w:space="0" w:color="auto"/>
          </w:divBdr>
        </w:div>
        <w:div w:id="1103111614">
          <w:blockQuote w:val="1"/>
          <w:marLeft w:val="400"/>
          <w:marRight w:val="0"/>
          <w:marTop w:val="160"/>
          <w:marBottom w:val="200"/>
          <w:divBdr>
            <w:top w:val="none" w:sz="0" w:space="0" w:color="auto"/>
            <w:left w:val="none" w:sz="0" w:space="0" w:color="auto"/>
            <w:bottom w:val="none" w:sz="0" w:space="0" w:color="auto"/>
            <w:right w:val="none" w:sz="0" w:space="0" w:color="auto"/>
          </w:divBdr>
        </w:div>
        <w:div w:id="19501630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90773427">
              <w:marLeft w:val="0"/>
              <w:marRight w:val="0"/>
              <w:marTop w:val="0"/>
              <w:marBottom w:val="0"/>
              <w:divBdr>
                <w:top w:val="none" w:sz="0" w:space="0" w:color="auto"/>
                <w:left w:val="none" w:sz="0" w:space="0" w:color="auto"/>
                <w:bottom w:val="none" w:sz="0" w:space="0" w:color="auto"/>
                <w:right w:val="none" w:sz="0" w:space="0" w:color="auto"/>
              </w:divBdr>
              <w:divsChild>
                <w:div w:id="15526879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08973226">
              <w:marLeft w:val="0"/>
              <w:marRight w:val="0"/>
              <w:marTop w:val="0"/>
              <w:marBottom w:val="0"/>
              <w:divBdr>
                <w:top w:val="none" w:sz="0" w:space="0" w:color="auto"/>
                <w:left w:val="none" w:sz="0" w:space="0" w:color="auto"/>
                <w:bottom w:val="none" w:sz="0" w:space="0" w:color="auto"/>
                <w:right w:val="none" w:sz="0" w:space="0" w:color="auto"/>
              </w:divBdr>
              <w:divsChild>
                <w:div w:id="16784588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2865823">
              <w:marLeft w:val="0"/>
              <w:marRight w:val="0"/>
              <w:marTop w:val="0"/>
              <w:marBottom w:val="0"/>
              <w:divBdr>
                <w:top w:val="none" w:sz="0" w:space="0" w:color="auto"/>
                <w:left w:val="none" w:sz="0" w:space="0" w:color="auto"/>
                <w:bottom w:val="none" w:sz="0" w:space="0" w:color="auto"/>
                <w:right w:val="none" w:sz="0" w:space="0" w:color="auto"/>
              </w:divBdr>
              <w:divsChild>
                <w:div w:id="84111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08141062">
              <w:marLeft w:val="0"/>
              <w:marRight w:val="0"/>
              <w:marTop w:val="0"/>
              <w:marBottom w:val="0"/>
              <w:divBdr>
                <w:top w:val="none" w:sz="0" w:space="0" w:color="auto"/>
                <w:left w:val="none" w:sz="0" w:space="0" w:color="auto"/>
                <w:bottom w:val="none" w:sz="0" w:space="0" w:color="auto"/>
                <w:right w:val="none" w:sz="0" w:space="0" w:color="auto"/>
              </w:divBdr>
              <w:divsChild>
                <w:div w:id="9688982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29089089">
                      <w:marLeft w:val="0"/>
                      <w:marRight w:val="0"/>
                      <w:marTop w:val="0"/>
                      <w:marBottom w:val="0"/>
                      <w:divBdr>
                        <w:top w:val="none" w:sz="0" w:space="0" w:color="auto"/>
                        <w:left w:val="none" w:sz="0" w:space="0" w:color="auto"/>
                        <w:bottom w:val="none" w:sz="0" w:space="0" w:color="auto"/>
                        <w:right w:val="none" w:sz="0" w:space="0" w:color="auto"/>
                      </w:divBdr>
                      <w:divsChild>
                        <w:div w:id="2187131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784582">
                      <w:marLeft w:val="0"/>
                      <w:marRight w:val="0"/>
                      <w:marTop w:val="0"/>
                      <w:marBottom w:val="0"/>
                      <w:divBdr>
                        <w:top w:val="none" w:sz="0" w:space="0" w:color="auto"/>
                        <w:left w:val="none" w:sz="0" w:space="0" w:color="auto"/>
                        <w:bottom w:val="none" w:sz="0" w:space="0" w:color="auto"/>
                        <w:right w:val="none" w:sz="0" w:space="0" w:color="auto"/>
                      </w:divBdr>
                      <w:divsChild>
                        <w:div w:id="1321883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9632105">
                      <w:marLeft w:val="0"/>
                      <w:marRight w:val="0"/>
                      <w:marTop w:val="0"/>
                      <w:marBottom w:val="0"/>
                      <w:divBdr>
                        <w:top w:val="none" w:sz="0" w:space="0" w:color="auto"/>
                        <w:left w:val="none" w:sz="0" w:space="0" w:color="auto"/>
                        <w:bottom w:val="none" w:sz="0" w:space="0" w:color="auto"/>
                        <w:right w:val="none" w:sz="0" w:space="0" w:color="auto"/>
                      </w:divBdr>
                      <w:divsChild>
                        <w:div w:id="3799785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38199476">
              <w:marLeft w:val="0"/>
              <w:marRight w:val="0"/>
              <w:marTop w:val="0"/>
              <w:marBottom w:val="0"/>
              <w:divBdr>
                <w:top w:val="none" w:sz="0" w:space="0" w:color="auto"/>
                <w:left w:val="none" w:sz="0" w:space="0" w:color="auto"/>
                <w:bottom w:val="none" w:sz="0" w:space="0" w:color="auto"/>
                <w:right w:val="none" w:sz="0" w:space="0" w:color="auto"/>
              </w:divBdr>
              <w:divsChild>
                <w:div w:id="4596905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75594265">
      <w:bodyDiv w:val="1"/>
      <w:marLeft w:val="0"/>
      <w:marRight w:val="0"/>
      <w:marTop w:val="0"/>
      <w:marBottom w:val="0"/>
      <w:divBdr>
        <w:top w:val="none" w:sz="0" w:space="0" w:color="auto"/>
        <w:left w:val="none" w:sz="0" w:space="0" w:color="auto"/>
        <w:bottom w:val="none" w:sz="0" w:space="0" w:color="auto"/>
        <w:right w:val="none" w:sz="0" w:space="0" w:color="auto"/>
      </w:divBdr>
      <w:divsChild>
        <w:div w:id="692327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10770178">
              <w:marLeft w:val="0"/>
              <w:marRight w:val="0"/>
              <w:marTop w:val="0"/>
              <w:marBottom w:val="0"/>
              <w:divBdr>
                <w:top w:val="none" w:sz="0" w:space="0" w:color="auto"/>
                <w:left w:val="none" w:sz="0" w:space="0" w:color="auto"/>
                <w:bottom w:val="none" w:sz="0" w:space="0" w:color="auto"/>
                <w:right w:val="none" w:sz="0" w:space="0" w:color="auto"/>
              </w:divBdr>
              <w:divsChild>
                <w:div w:id="19390256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8604496">
              <w:marLeft w:val="0"/>
              <w:marRight w:val="0"/>
              <w:marTop w:val="0"/>
              <w:marBottom w:val="0"/>
              <w:divBdr>
                <w:top w:val="none" w:sz="0" w:space="0" w:color="auto"/>
                <w:left w:val="none" w:sz="0" w:space="0" w:color="auto"/>
                <w:bottom w:val="none" w:sz="0" w:space="0" w:color="auto"/>
                <w:right w:val="none" w:sz="0" w:space="0" w:color="auto"/>
              </w:divBdr>
              <w:divsChild>
                <w:div w:id="1117682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48368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377311">
      <w:bodyDiv w:val="1"/>
      <w:marLeft w:val="0"/>
      <w:marRight w:val="0"/>
      <w:marTop w:val="0"/>
      <w:marBottom w:val="0"/>
      <w:divBdr>
        <w:top w:val="none" w:sz="0" w:space="0" w:color="auto"/>
        <w:left w:val="none" w:sz="0" w:space="0" w:color="auto"/>
        <w:bottom w:val="none" w:sz="0" w:space="0" w:color="auto"/>
        <w:right w:val="none" w:sz="0" w:space="0" w:color="auto"/>
      </w:divBdr>
      <w:divsChild>
        <w:div w:id="149953573">
          <w:marLeft w:val="340"/>
          <w:marRight w:val="0"/>
          <w:marTop w:val="160"/>
          <w:marBottom w:val="200"/>
          <w:divBdr>
            <w:top w:val="none" w:sz="0" w:space="0" w:color="auto"/>
            <w:left w:val="none" w:sz="0" w:space="0" w:color="auto"/>
            <w:bottom w:val="none" w:sz="0" w:space="0" w:color="auto"/>
            <w:right w:val="none" w:sz="0" w:space="0" w:color="auto"/>
          </w:divBdr>
          <w:divsChild>
            <w:div w:id="1419256704">
              <w:marLeft w:val="0"/>
              <w:marRight w:val="0"/>
              <w:marTop w:val="150"/>
              <w:marBottom w:val="150"/>
              <w:divBdr>
                <w:top w:val="none" w:sz="0" w:space="0" w:color="auto"/>
                <w:left w:val="none" w:sz="0" w:space="0" w:color="auto"/>
                <w:bottom w:val="none" w:sz="0" w:space="0" w:color="auto"/>
                <w:right w:val="none" w:sz="0" w:space="0" w:color="auto"/>
              </w:divBdr>
            </w:div>
          </w:divsChild>
        </w:div>
        <w:div w:id="14736002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64691571">
              <w:blockQuote w:val="1"/>
              <w:marLeft w:val="400"/>
              <w:marRight w:val="0"/>
              <w:marTop w:val="160"/>
              <w:marBottom w:val="200"/>
              <w:divBdr>
                <w:top w:val="none" w:sz="0" w:space="0" w:color="auto"/>
                <w:left w:val="none" w:sz="0" w:space="0" w:color="auto"/>
                <w:bottom w:val="none" w:sz="0" w:space="0" w:color="auto"/>
                <w:right w:val="none" w:sz="0" w:space="0" w:color="auto"/>
              </w:divBdr>
            </w:div>
            <w:div w:id="1198351401">
              <w:blockQuote w:val="1"/>
              <w:marLeft w:val="400"/>
              <w:marRight w:val="0"/>
              <w:marTop w:val="160"/>
              <w:marBottom w:val="200"/>
              <w:divBdr>
                <w:top w:val="none" w:sz="0" w:space="0" w:color="auto"/>
                <w:left w:val="none" w:sz="0" w:space="0" w:color="auto"/>
                <w:bottom w:val="none" w:sz="0" w:space="0" w:color="auto"/>
                <w:right w:val="none" w:sz="0" w:space="0" w:color="auto"/>
              </w:divBdr>
            </w:div>
            <w:div w:id="612395481">
              <w:blockQuote w:val="1"/>
              <w:marLeft w:val="400"/>
              <w:marRight w:val="0"/>
              <w:marTop w:val="160"/>
              <w:marBottom w:val="200"/>
              <w:divBdr>
                <w:top w:val="none" w:sz="0" w:space="0" w:color="auto"/>
                <w:left w:val="none" w:sz="0" w:space="0" w:color="auto"/>
                <w:bottom w:val="none" w:sz="0" w:space="0" w:color="auto"/>
                <w:right w:val="none" w:sz="0" w:space="0" w:color="auto"/>
              </w:divBdr>
            </w:div>
            <w:div w:id="188239523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443095">
                  <w:marLeft w:val="0"/>
                  <w:marRight w:val="0"/>
                  <w:marTop w:val="0"/>
                  <w:marBottom w:val="0"/>
                  <w:divBdr>
                    <w:top w:val="none" w:sz="0" w:space="0" w:color="auto"/>
                    <w:left w:val="none" w:sz="0" w:space="0" w:color="auto"/>
                    <w:bottom w:val="none" w:sz="0" w:space="0" w:color="auto"/>
                    <w:right w:val="none" w:sz="0" w:space="0" w:color="auto"/>
                  </w:divBdr>
                  <w:divsChild>
                    <w:div w:id="15844912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2845442">
                  <w:marLeft w:val="0"/>
                  <w:marRight w:val="0"/>
                  <w:marTop w:val="0"/>
                  <w:marBottom w:val="0"/>
                  <w:divBdr>
                    <w:top w:val="none" w:sz="0" w:space="0" w:color="auto"/>
                    <w:left w:val="none" w:sz="0" w:space="0" w:color="auto"/>
                    <w:bottom w:val="none" w:sz="0" w:space="0" w:color="auto"/>
                    <w:right w:val="none" w:sz="0" w:space="0" w:color="auto"/>
                  </w:divBdr>
                  <w:divsChild>
                    <w:div w:id="7871640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1776175">
                  <w:marLeft w:val="0"/>
                  <w:marRight w:val="0"/>
                  <w:marTop w:val="0"/>
                  <w:marBottom w:val="0"/>
                  <w:divBdr>
                    <w:top w:val="none" w:sz="0" w:space="0" w:color="auto"/>
                    <w:left w:val="none" w:sz="0" w:space="0" w:color="auto"/>
                    <w:bottom w:val="none" w:sz="0" w:space="0" w:color="auto"/>
                    <w:right w:val="none" w:sz="0" w:space="0" w:color="auto"/>
                  </w:divBdr>
                  <w:divsChild>
                    <w:div w:id="20153042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5505641">
                  <w:marLeft w:val="0"/>
                  <w:marRight w:val="0"/>
                  <w:marTop w:val="0"/>
                  <w:marBottom w:val="0"/>
                  <w:divBdr>
                    <w:top w:val="none" w:sz="0" w:space="0" w:color="auto"/>
                    <w:left w:val="none" w:sz="0" w:space="0" w:color="auto"/>
                    <w:bottom w:val="none" w:sz="0" w:space="0" w:color="auto"/>
                    <w:right w:val="none" w:sz="0" w:space="0" w:color="auto"/>
                  </w:divBdr>
                  <w:divsChild>
                    <w:div w:id="12291958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376013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58643117">
                  <w:marLeft w:val="0"/>
                  <w:marRight w:val="0"/>
                  <w:marTop w:val="160"/>
                  <w:marBottom w:val="200"/>
                  <w:divBdr>
                    <w:top w:val="none" w:sz="0" w:space="0" w:color="auto"/>
                    <w:left w:val="none" w:sz="0" w:space="0" w:color="auto"/>
                    <w:bottom w:val="none" w:sz="0" w:space="0" w:color="auto"/>
                    <w:right w:val="none" w:sz="0" w:space="0" w:color="auto"/>
                  </w:divBdr>
                  <w:divsChild>
                    <w:div w:id="1124076322">
                      <w:marLeft w:val="0"/>
                      <w:marRight w:val="0"/>
                      <w:marTop w:val="0"/>
                      <w:marBottom w:val="0"/>
                      <w:divBdr>
                        <w:top w:val="none" w:sz="0" w:space="0" w:color="auto"/>
                        <w:left w:val="none" w:sz="0" w:space="0" w:color="auto"/>
                        <w:bottom w:val="none" w:sz="0" w:space="0" w:color="auto"/>
                        <w:right w:val="none" w:sz="0" w:space="0" w:color="auto"/>
                      </w:divBdr>
                      <w:divsChild>
                        <w:div w:id="11345214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0558340">
                      <w:marLeft w:val="0"/>
                      <w:marRight w:val="0"/>
                      <w:marTop w:val="0"/>
                      <w:marBottom w:val="0"/>
                      <w:divBdr>
                        <w:top w:val="none" w:sz="0" w:space="0" w:color="auto"/>
                        <w:left w:val="none" w:sz="0" w:space="0" w:color="auto"/>
                        <w:bottom w:val="none" w:sz="0" w:space="0" w:color="auto"/>
                        <w:right w:val="none" w:sz="0" w:space="0" w:color="auto"/>
                      </w:divBdr>
                      <w:divsChild>
                        <w:div w:id="4921111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357394881">
      <w:bodyDiv w:val="1"/>
      <w:marLeft w:val="0"/>
      <w:marRight w:val="0"/>
      <w:marTop w:val="0"/>
      <w:marBottom w:val="0"/>
      <w:divBdr>
        <w:top w:val="none" w:sz="0" w:space="0" w:color="auto"/>
        <w:left w:val="none" w:sz="0" w:space="0" w:color="auto"/>
        <w:bottom w:val="none" w:sz="0" w:space="0" w:color="auto"/>
        <w:right w:val="none" w:sz="0" w:space="0" w:color="auto"/>
      </w:divBdr>
    </w:div>
    <w:div w:id="424157018">
      <w:bodyDiv w:val="1"/>
      <w:marLeft w:val="0"/>
      <w:marRight w:val="0"/>
      <w:marTop w:val="0"/>
      <w:marBottom w:val="0"/>
      <w:divBdr>
        <w:top w:val="none" w:sz="0" w:space="0" w:color="auto"/>
        <w:left w:val="none" w:sz="0" w:space="0" w:color="auto"/>
        <w:bottom w:val="none" w:sz="0" w:space="0" w:color="auto"/>
        <w:right w:val="none" w:sz="0" w:space="0" w:color="auto"/>
      </w:divBdr>
    </w:div>
    <w:div w:id="424962747">
      <w:bodyDiv w:val="1"/>
      <w:marLeft w:val="0"/>
      <w:marRight w:val="0"/>
      <w:marTop w:val="0"/>
      <w:marBottom w:val="0"/>
      <w:divBdr>
        <w:top w:val="none" w:sz="0" w:space="0" w:color="auto"/>
        <w:left w:val="none" w:sz="0" w:space="0" w:color="auto"/>
        <w:bottom w:val="none" w:sz="0" w:space="0" w:color="auto"/>
        <w:right w:val="none" w:sz="0" w:space="0" w:color="auto"/>
      </w:divBdr>
    </w:div>
    <w:div w:id="474445779">
      <w:bodyDiv w:val="1"/>
      <w:marLeft w:val="0"/>
      <w:marRight w:val="0"/>
      <w:marTop w:val="0"/>
      <w:marBottom w:val="0"/>
      <w:divBdr>
        <w:top w:val="none" w:sz="0" w:space="0" w:color="auto"/>
        <w:left w:val="none" w:sz="0" w:space="0" w:color="auto"/>
        <w:bottom w:val="none" w:sz="0" w:space="0" w:color="auto"/>
        <w:right w:val="none" w:sz="0" w:space="0" w:color="auto"/>
      </w:divBdr>
    </w:div>
    <w:div w:id="637490250">
      <w:bodyDiv w:val="1"/>
      <w:marLeft w:val="0"/>
      <w:marRight w:val="0"/>
      <w:marTop w:val="0"/>
      <w:marBottom w:val="0"/>
      <w:divBdr>
        <w:top w:val="none" w:sz="0" w:space="0" w:color="auto"/>
        <w:left w:val="none" w:sz="0" w:space="0" w:color="auto"/>
        <w:bottom w:val="none" w:sz="0" w:space="0" w:color="auto"/>
        <w:right w:val="none" w:sz="0" w:space="0" w:color="auto"/>
      </w:divBdr>
    </w:div>
    <w:div w:id="815880048">
      <w:bodyDiv w:val="1"/>
      <w:marLeft w:val="0"/>
      <w:marRight w:val="0"/>
      <w:marTop w:val="0"/>
      <w:marBottom w:val="0"/>
      <w:divBdr>
        <w:top w:val="none" w:sz="0" w:space="0" w:color="auto"/>
        <w:left w:val="none" w:sz="0" w:space="0" w:color="auto"/>
        <w:bottom w:val="none" w:sz="0" w:space="0" w:color="auto"/>
        <w:right w:val="none" w:sz="0" w:space="0" w:color="auto"/>
      </w:divBdr>
      <w:divsChild>
        <w:div w:id="101657599">
          <w:marLeft w:val="340"/>
          <w:marRight w:val="0"/>
          <w:marTop w:val="160"/>
          <w:marBottom w:val="200"/>
          <w:divBdr>
            <w:top w:val="none" w:sz="0" w:space="0" w:color="auto"/>
            <w:left w:val="none" w:sz="0" w:space="0" w:color="auto"/>
            <w:bottom w:val="none" w:sz="0" w:space="0" w:color="auto"/>
            <w:right w:val="none" w:sz="0" w:space="0" w:color="auto"/>
          </w:divBdr>
          <w:divsChild>
            <w:div w:id="418599041">
              <w:marLeft w:val="0"/>
              <w:marRight w:val="0"/>
              <w:marTop w:val="150"/>
              <w:marBottom w:val="150"/>
              <w:divBdr>
                <w:top w:val="none" w:sz="0" w:space="0" w:color="auto"/>
                <w:left w:val="none" w:sz="0" w:space="0" w:color="auto"/>
                <w:bottom w:val="none" w:sz="0" w:space="0" w:color="auto"/>
                <w:right w:val="none" w:sz="0" w:space="0" w:color="auto"/>
              </w:divBdr>
            </w:div>
          </w:divsChild>
        </w:div>
        <w:div w:id="16055277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7371142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97319550">
                  <w:marLeft w:val="0"/>
                  <w:marRight w:val="0"/>
                  <w:marTop w:val="0"/>
                  <w:marBottom w:val="0"/>
                  <w:divBdr>
                    <w:top w:val="none" w:sz="0" w:space="0" w:color="auto"/>
                    <w:left w:val="none" w:sz="0" w:space="0" w:color="auto"/>
                    <w:bottom w:val="none" w:sz="0" w:space="0" w:color="auto"/>
                    <w:right w:val="none" w:sz="0" w:space="0" w:color="auto"/>
                  </w:divBdr>
                  <w:divsChild>
                    <w:div w:id="8394628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1054981">
                  <w:marLeft w:val="0"/>
                  <w:marRight w:val="0"/>
                  <w:marTop w:val="0"/>
                  <w:marBottom w:val="0"/>
                  <w:divBdr>
                    <w:top w:val="none" w:sz="0" w:space="0" w:color="auto"/>
                    <w:left w:val="none" w:sz="0" w:space="0" w:color="auto"/>
                    <w:bottom w:val="none" w:sz="0" w:space="0" w:color="auto"/>
                    <w:right w:val="none" w:sz="0" w:space="0" w:color="auto"/>
                  </w:divBdr>
                  <w:divsChild>
                    <w:div w:id="19872008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8055671">
                  <w:marLeft w:val="0"/>
                  <w:marRight w:val="0"/>
                  <w:marTop w:val="0"/>
                  <w:marBottom w:val="0"/>
                  <w:divBdr>
                    <w:top w:val="none" w:sz="0" w:space="0" w:color="auto"/>
                    <w:left w:val="none" w:sz="0" w:space="0" w:color="auto"/>
                    <w:bottom w:val="none" w:sz="0" w:space="0" w:color="auto"/>
                    <w:right w:val="none" w:sz="0" w:space="0" w:color="auto"/>
                  </w:divBdr>
                  <w:divsChild>
                    <w:div w:id="12631461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6729594">
                  <w:marLeft w:val="0"/>
                  <w:marRight w:val="0"/>
                  <w:marTop w:val="0"/>
                  <w:marBottom w:val="0"/>
                  <w:divBdr>
                    <w:top w:val="none" w:sz="0" w:space="0" w:color="auto"/>
                    <w:left w:val="none" w:sz="0" w:space="0" w:color="auto"/>
                    <w:bottom w:val="none" w:sz="0" w:space="0" w:color="auto"/>
                    <w:right w:val="none" w:sz="0" w:space="0" w:color="auto"/>
                  </w:divBdr>
                  <w:divsChild>
                    <w:div w:id="3539249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272427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5543762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51139482">
      <w:bodyDiv w:val="1"/>
      <w:marLeft w:val="0"/>
      <w:marRight w:val="0"/>
      <w:marTop w:val="0"/>
      <w:marBottom w:val="0"/>
      <w:divBdr>
        <w:top w:val="none" w:sz="0" w:space="0" w:color="auto"/>
        <w:left w:val="none" w:sz="0" w:space="0" w:color="auto"/>
        <w:bottom w:val="none" w:sz="0" w:space="0" w:color="auto"/>
        <w:right w:val="none" w:sz="0" w:space="0" w:color="auto"/>
      </w:divBdr>
    </w:div>
    <w:div w:id="926883774">
      <w:bodyDiv w:val="1"/>
      <w:marLeft w:val="0"/>
      <w:marRight w:val="0"/>
      <w:marTop w:val="0"/>
      <w:marBottom w:val="0"/>
      <w:divBdr>
        <w:top w:val="none" w:sz="0" w:space="0" w:color="auto"/>
        <w:left w:val="none" w:sz="0" w:space="0" w:color="auto"/>
        <w:bottom w:val="none" w:sz="0" w:space="0" w:color="auto"/>
        <w:right w:val="none" w:sz="0" w:space="0" w:color="auto"/>
      </w:divBdr>
      <w:divsChild>
        <w:div w:id="71251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8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6787936">
      <w:bodyDiv w:val="1"/>
      <w:marLeft w:val="0"/>
      <w:marRight w:val="0"/>
      <w:marTop w:val="0"/>
      <w:marBottom w:val="0"/>
      <w:divBdr>
        <w:top w:val="none" w:sz="0" w:space="0" w:color="auto"/>
        <w:left w:val="none" w:sz="0" w:space="0" w:color="auto"/>
        <w:bottom w:val="none" w:sz="0" w:space="0" w:color="auto"/>
        <w:right w:val="none" w:sz="0" w:space="0" w:color="auto"/>
      </w:divBdr>
      <w:divsChild>
        <w:div w:id="349067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184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203391">
      <w:bodyDiv w:val="1"/>
      <w:marLeft w:val="0"/>
      <w:marRight w:val="0"/>
      <w:marTop w:val="0"/>
      <w:marBottom w:val="0"/>
      <w:divBdr>
        <w:top w:val="none" w:sz="0" w:space="0" w:color="auto"/>
        <w:left w:val="none" w:sz="0" w:space="0" w:color="auto"/>
        <w:bottom w:val="none" w:sz="0" w:space="0" w:color="auto"/>
        <w:right w:val="none" w:sz="0" w:space="0" w:color="auto"/>
      </w:divBdr>
    </w:div>
    <w:div w:id="1127891093">
      <w:bodyDiv w:val="1"/>
      <w:marLeft w:val="0"/>
      <w:marRight w:val="0"/>
      <w:marTop w:val="0"/>
      <w:marBottom w:val="0"/>
      <w:divBdr>
        <w:top w:val="none" w:sz="0" w:space="0" w:color="auto"/>
        <w:left w:val="none" w:sz="0" w:space="0" w:color="auto"/>
        <w:bottom w:val="none" w:sz="0" w:space="0" w:color="auto"/>
        <w:right w:val="none" w:sz="0" w:space="0" w:color="auto"/>
      </w:divBdr>
    </w:div>
    <w:div w:id="1388648755">
      <w:bodyDiv w:val="1"/>
      <w:marLeft w:val="0"/>
      <w:marRight w:val="0"/>
      <w:marTop w:val="0"/>
      <w:marBottom w:val="0"/>
      <w:divBdr>
        <w:top w:val="none" w:sz="0" w:space="0" w:color="auto"/>
        <w:left w:val="none" w:sz="0" w:space="0" w:color="auto"/>
        <w:bottom w:val="none" w:sz="0" w:space="0" w:color="auto"/>
        <w:right w:val="none" w:sz="0" w:space="0" w:color="auto"/>
      </w:divBdr>
    </w:div>
    <w:div w:id="1399206186">
      <w:bodyDiv w:val="1"/>
      <w:marLeft w:val="0"/>
      <w:marRight w:val="0"/>
      <w:marTop w:val="0"/>
      <w:marBottom w:val="0"/>
      <w:divBdr>
        <w:top w:val="none" w:sz="0" w:space="0" w:color="auto"/>
        <w:left w:val="none" w:sz="0" w:space="0" w:color="auto"/>
        <w:bottom w:val="none" w:sz="0" w:space="0" w:color="auto"/>
        <w:right w:val="none" w:sz="0" w:space="0" w:color="auto"/>
      </w:divBdr>
      <w:divsChild>
        <w:div w:id="127624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29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903077">
      <w:bodyDiv w:val="1"/>
      <w:marLeft w:val="0"/>
      <w:marRight w:val="0"/>
      <w:marTop w:val="0"/>
      <w:marBottom w:val="0"/>
      <w:divBdr>
        <w:top w:val="none" w:sz="0" w:space="0" w:color="auto"/>
        <w:left w:val="none" w:sz="0" w:space="0" w:color="auto"/>
        <w:bottom w:val="none" w:sz="0" w:space="0" w:color="auto"/>
        <w:right w:val="none" w:sz="0" w:space="0" w:color="auto"/>
      </w:divBdr>
      <w:divsChild>
        <w:div w:id="206452315">
          <w:blockQuote w:val="1"/>
          <w:marLeft w:val="0"/>
          <w:marRight w:val="0"/>
          <w:marTop w:val="120"/>
          <w:marBottom w:val="120"/>
          <w:divBdr>
            <w:top w:val="none" w:sz="0" w:space="0" w:color="auto"/>
            <w:left w:val="none" w:sz="0" w:space="0" w:color="auto"/>
            <w:bottom w:val="none" w:sz="0" w:space="0" w:color="auto"/>
            <w:right w:val="none" w:sz="0" w:space="0" w:color="auto"/>
          </w:divBdr>
        </w:div>
        <w:div w:id="758478688">
          <w:blockQuote w:val="1"/>
          <w:marLeft w:val="0"/>
          <w:marRight w:val="0"/>
          <w:marTop w:val="120"/>
          <w:marBottom w:val="120"/>
          <w:divBdr>
            <w:top w:val="none" w:sz="0" w:space="0" w:color="auto"/>
            <w:left w:val="none" w:sz="0" w:space="0" w:color="auto"/>
            <w:bottom w:val="none" w:sz="0" w:space="0" w:color="auto"/>
            <w:right w:val="none" w:sz="0" w:space="0" w:color="auto"/>
          </w:divBdr>
        </w:div>
        <w:div w:id="1060594281">
          <w:blockQuote w:val="1"/>
          <w:marLeft w:val="0"/>
          <w:marRight w:val="0"/>
          <w:marTop w:val="120"/>
          <w:marBottom w:val="120"/>
          <w:divBdr>
            <w:top w:val="none" w:sz="0" w:space="0" w:color="auto"/>
            <w:left w:val="none" w:sz="0" w:space="0" w:color="auto"/>
            <w:bottom w:val="none" w:sz="0" w:space="0" w:color="auto"/>
            <w:right w:val="none" w:sz="0" w:space="0" w:color="auto"/>
          </w:divBdr>
        </w:div>
        <w:div w:id="1300922040">
          <w:blockQuote w:val="1"/>
          <w:marLeft w:val="0"/>
          <w:marRight w:val="0"/>
          <w:marTop w:val="120"/>
          <w:marBottom w:val="120"/>
          <w:divBdr>
            <w:top w:val="none" w:sz="0" w:space="0" w:color="auto"/>
            <w:left w:val="none" w:sz="0" w:space="0" w:color="auto"/>
            <w:bottom w:val="none" w:sz="0" w:space="0" w:color="auto"/>
            <w:right w:val="none" w:sz="0" w:space="0" w:color="auto"/>
          </w:divBdr>
        </w:div>
        <w:div w:id="208175723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77325600">
      <w:bodyDiv w:val="1"/>
      <w:marLeft w:val="0"/>
      <w:marRight w:val="0"/>
      <w:marTop w:val="0"/>
      <w:marBottom w:val="0"/>
      <w:divBdr>
        <w:top w:val="none" w:sz="0" w:space="0" w:color="auto"/>
        <w:left w:val="none" w:sz="0" w:space="0" w:color="auto"/>
        <w:bottom w:val="none" w:sz="0" w:space="0" w:color="auto"/>
        <w:right w:val="none" w:sz="0" w:space="0" w:color="auto"/>
      </w:divBdr>
    </w:div>
    <w:div w:id="1692802674">
      <w:bodyDiv w:val="1"/>
      <w:marLeft w:val="0"/>
      <w:marRight w:val="0"/>
      <w:marTop w:val="0"/>
      <w:marBottom w:val="0"/>
      <w:divBdr>
        <w:top w:val="none" w:sz="0" w:space="0" w:color="auto"/>
        <w:left w:val="none" w:sz="0" w:space="0" w:color="auto"/>
        <w:bottom w:val="none" w:sz="0" w:space="0" w:color="auto"/>
        <w:right w:val="none" w:sz="0" w:space="0" w:color="auto"/>
      </w:divBdr>
      <w:divsChild>
        <w:div w:id="1500657971">
          <w:marLeft w:val="0"/>
          <w:marRight w:val="0"/>
          <w:marTop w:val="0"/>
          <w:marBottom w:val="0"/>
          <w:divBdr>
            <w:top w:val="none" w:sz="0" w:space="0" w:color="auto"/>
            <w:left w:val="none" w:sz="0" w:space="0" w:color="auto"/>
            <w:bottom w:val="none" w:sz="0" w:space="0" w:color="auto"/>
            <w:right w:val="none" w:sz="0" w:space="0" w:color="auto"/>
          </w:divBdr>
        </w:div>
      </w:divsChild>
    </w:div>
    <w:div w:id="1702632970">
      <w:bodyDiv w:val="1"/>
      <w:marLeft w:val="0"/>
      <w:marRight w:val="0"/>
      <w:marTop w:val="0"/>
      <w:marBottom w:val="0"/>
      <w:divBdr>
        <w:top w:val="none" w:sz="0" w:space="0" w:color="auto"/>
        <w:left w:val="none" w:sz="0" w:space="0" w:color="auto"/>
        <w:bottom w:val="none" w:sz="0" w:space="0" w:color="auto"/>
        <w:right w:val="none" w:sz="0" w:space="0" w:color="auto"/>
      </w:divBdr>
    </w:div>
    <w:div w:id="19737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yperlink" Target="http://www.austlii.edu.au/cgi-bin/viewdoc/au/legis/nsw/repealed_act/fpa1982209/s27.html" TargetMode="Externa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oter" Target="footer1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hyperlink" Target="http://www.austlii.edu.au/cgi-bin/viewdoc/au/legis/nsw/repealed_act/fpa1982209/s26.html" TargetMode="External"/><Relationship Id="rId54" Type="http://schemas.openxmlformats.org/officeDocument/2006/relationships/hyperlink" Target="http://www.austlii.edu.au/cgi-bin/viewdoc/au/cases/tas/TASSC/2012/8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0.xml"/><Relationship Id="rId53" Type="http://schemas.openxmlformats.org/officeDocument/2006/relationships/header" Target="header30.xml"/><Relationship Id="rId58" Type="http://schemas.openxmlformats.org/officeDocument/2006/relationships/header" Target="header3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header" Target="header19.xml"/><Relationship Id="rId49" Type="http://schemas.openxmlformats.org/officeDocument/2006/relationships/header" Target="header26.xml"/><Relationship Id="rId57" Type="http://schemas.openxmlformats.org/officeDocument/2006/relationships/header" Target="header3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yperlink" Target="http://www.austlii.edu.au/cgi-bin/viewdoc/au/legis/nsw/repealed_act/fpa1982209/s27.html" TargetMode="External"/><Relationship Id="rId48" Type="http://schemas.openxmlformats.org/officeDocument/2006/relationships/footer" Target="footer12.xml"/><Relationship Id="rId56" Type="http://schemas.openxmlformats.org/officeDocument/2006/relationships/header" Target="header32.xml"/><Relationship Id="rId8" Type="http://schemas.openxmlformats.org/officeDocument/2006/relationships/image" Target="media/image1.png"/><Relationship Id="rId51" Type="http://schemas.openxmlformats.org/officeDocument/2006/relationships/header" Target="header28.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austlii.edu.au/cgi-bin/viewdoc/au/cases/nsw/NSWSC/2013/919.html" TargetMode="External"/><Relationship Id="rId1" Type="http://schemas.openxmlformats.org/officeDocument/2006/relationships/hyperlink" Target="http://www.austlii.edu.au/cgi-bin/viewdoc/au/cases/nsw/NSWSC/2004/11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940E-83ED-4A3F-A476-5DE4A335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38647</Words>
  <Characters>205212</Characters>
  <Application>Microsoft Office Word</Application>
  <DocSecurity>8</DocSecurity>
  <Lines>4663</Lines>
  <Paragraphs>1553</Paragraphs>
  <ScaleCrop>false</ScaleCrop>
  <HeadingPairs>
    <vt:vector size="2" baseType="variant">
      <vt:variant>
        <vt:lpstr>Title</vt:lpstr>
      </vt:variant>
      <vt:variant>
        <vt:i4>1</vt:i4>
      </vt:variant>
    </vt:vector>
  </HeadingPairs>
  <TitlesOfParts>
    <vt:vector size="1" baseType="lpstr">
      <vt:lpstr>Preliminary matter (insert at end)</vt:lpstr>
    </vt:vector>
  </TitlesOfParts>
  <Manager/>
  <Company>Faculty of Law</Company>
  <LinksUpToDate>false</LinksUpToDate>
  <CharactersWithSpaces>242306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matter (insert at end)</dc:title>
  <dc:subject/>
  <dc:creator>Heather Philp</dc:creator>
  <cp:keywords/>
  <dc:description/>
  <cp:lastModifiedBy>Kira White</cp:lastModifiedBy>
  <cp:revision>2</cp:revision>
  <cp:lastPrinted>2019-07-19T01:22:00Z</cp:lastPrinted>
  <dcterms:created xsi:type="dcterms:W3CDTF">2019-09-02T05:53:00Z</dcterms:created>
  <dcterms:modified xsi:type="dcterms:W3CDTF">2019-09-02T05:53:00Z</dcterms:modified>
  <cp:category/>
</cp:coreProperties>
</file>