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8F" w:rsidRDefault="00295D8F" w:rsidP="00447BDF">
      <w:pPr>
        <w:rPr>
          <w:rFonts w:ascii="Calibri" w:hAnsi="Calibri" w:cs="Calibri"/>
          <w:sz w:val="24"/>
        </w:rPr>
      </w:pPr>
    </w:p>
    <w:p w:rsidR="00447BDF" w:rsidRDefault="003B0D55" w:rsidP="00295D8F">
      <w:pPr>
        <w:spacing w:before="120" w:after="12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public value scorecard (PVA) is a format for reporting the organisation’s performance against key measures across the domains of mission, operations and legitimacy. It is developed from the public value account (PVA). </w:t>
      </w:r>
      <w:r w:rsidR="00447BDF" w:rsidRPr="00390D0F">
        <w:rPr>
          <w:rFonts w:ascii="Calibri" w:hAnsi="Calibri" w:cs="Calibri"/>
          <w:sz w:val="24"/>
        </w:rPr>
        <w:t xml:space="preserve">Evidence for each claim will need to be provided in an accompanying document. This scorecard was developed for a program administration unit in </w:t>
      </w:r>
      <w:r w:rsidR="00390D0F" w:rsidRPr="00390D0F">
        <w:rPr>
          <w:rFonts w:ascii="Calibri" w:hAnsi="Calibri" w:cs="Calibri"/>
          <w:sz w:val="24"/>
        </w:rPr>
        <w:t xml:space="preserve">a </w:t>
      </w:r>
      <w:r w:rsidR="00447BDF" w:rsidRPr="00390D0F">
        <w:rPr>
          <w:rFonts w:ascii="Calibri" w:hAnsi="Calibri" w:cs="Calibri"/>
          <w:sz w:val="24"/>
        </w:rPr>
        <w:t>health</w:t>
      </w:r>
      <w:r w:rsidR="00390D0F" w:rsidRPr="00390D0F">
        <w:rPr>
          <w:rFonts w:ascii="Calibri" w:hAnsi="Calibri" w:cs="Calibri"/>
          <w:sz w:val="24"/>
        </w:rPr>
        <w:t xml:space="preserve"> department</w:t>
      </w:r>
      <w:r w:rsidR="00447BDF" w:rsidRPr="00390D0F">
        <w:rPr>
          <w:rFonts w:ascii="Calibri" w:hAnsi="Calibri" w:cs="Calibri"/>
          <w:sz w:val="24"/>
        </w:rPr>
        <w:t xml:space="preserve">. </w:t>
      </w:r>
    </w:p>
    <w:p w:rsidR="00295D8F" w:rsidRDefault="00295D8F" w:rsidP="00295D8F">
      <w:pPr>
        <w:spacing w:before="120" w:after="120" w:line="360" w:lineRule="auto"/>
        <w:rPr>
          <w:rFonts w:ascii="Calibri" w:hAnsi="Calibri" w:cs="Calibri"/>
          <w:sz w:val="24"/>
        </w:rPr>
      </w:pPr>
    </w:p>
    <w:p w:rsidR="000450A0" w:rsidRPr="000450A0" w:rsidRDefault="000450A0" w:rsidP="00295D8F">
      <w:pPr>
        <w:spacing w:before="120" w:after="120" w:line="360" w:lineRule="auto"/>
        <w:rPr>
          <w:rFonts w:ascii="Calibri" w:hAnsi="Calibri" w:cs="Calibri"/>
          <w:i/>
          <w:sz w:val="24"/>
        </w:rPr>
      </w:pPr>
      <w:r w:rsidRPr="000450A0">
        <w:rPr>
          <w:rFonts w:ascii="Calibri" w:hAnsi="Calibri" w:cs="Calibri"/>
          <w:sz w:val="24"/>
        </w:rPr>
        <w:t>When developing a PVS ask yourself</w:t>
      </w:r>
      <w:r w:rsidRPr="000450A0">
        <w:rPr>
          <w:rFonts w:ascii="Calibri" w:hAnsi="Calibri" w:cs="Calibri"/>
          <w:i/>
          <w:sz w:val="24"/>
        </w:rPr>
        <w:t>: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 xml:space="preserve">What is your organisation’s mission? 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What are the social outcomes you are pursuing?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What specific things are you doing to realise your mission?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What are all the dimensions of value to what you do?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Who are your constituencies – who are you accountable to?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Are you being accountable to all of your constituencies, or do you have any neglected constituencies?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 xml:space="preserve">What are you doing to ensure you are prepared for a changing future? 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Have you developed innovation for flexibility?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 xml:space="preserve">What and how are you reporting? 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What and how should you be reporting?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Can your reporting /performance measures appeal more effectively to authorisers?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 xml:space="preserve">Where on the value chain are you reporting (inputs, outputs, </w:t>
      </w:r>
      <w:proofErr w:type="gramStart"/>
      <w:r w:rsidRPr="000450A0">
        <w:rPr>
          <w:rFonts w:ascii="Calibri" w:hAnsi="Calibri" w:cs="Calibri"/>
          <w:sz w:val="24"/>
        </w:rPr>
        <w:t>outcomes</w:t>
      </w:r>
      <w:proofErr w:type="gramEnd"/>
      <w:r w:rsidRPr="000450A0">
        <w:rPr>
          <w:rFonts w:ascii="Calibri" w:hAnsi="Calibri" w:cs="Calibri"/>
          <w:sz w:val="24"/>
        </w:rPr>
        <w:t>)?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How are you demonstrating the legitimacy of your activities?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 xml:space="preserve">How/by whom has the legitimacy of your activities been determined? 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 xml:space="preserve">Do you have constituencies that can be engaged to provide support for the legitimacy of your activities? </w:t>
      </w:r>
    </w:p>
    <w:p w:rsid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 xml:space="preserve">Where are the obstacles to greater legitimacy? </w:t>
      </w:r>
    </w:p>
    <w:p w:rsidR="000450A0" w:rsidRPr="000450A0" w:rsidRDefault="000450A0" w:rsidP="00295D8F">
      <w:pPr>
        <w:pStyle w:val="ListParagraph"/>
        <w:numPr>
          <w:ilvl w:val="0"/>
          <w:numId w:val="29"/>
        </w:numPr>
        <w:tabs>
          <w:tab w:val="clear" w:pos="567"/>
        </w:tabs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0450A0">
        <w:rPr>
          <w:rFonts w:ascii="Calibri" w:hAnsi="Calibri" w:cs="Calibri"/>
          <w:sz w:val="24"/>
        </w:rPr>
        <w:t>Where do you need to put value-creating imagination to work</w:t>
      </w:r>
    </w:p>
    <w:p w:rsidR="00295D8F" w:rsidRDefault="00295D8F" w:rsidP="001C3DDA">
      <w:pPr>
        <w:rPr>
          <w:rFonts w:ascii="Calibri" w:hAnsi="Calibri" w:cs="Calibri"/>
          <w:i/>
          <w:color w:val="FF0000"/>
          <w:sz w:val="24"/>
        </w:rPr>
      </w:pPr>
    </w:p>
    <w:p w:rsidR="00295D8F" w:rsidRDefault="00295D8F" w:rsidP="001C3DDA">
      <w:pPr>
        <w:rPr>
          <w:rFonts w:ascii="Calibri" w:hAnsi="Calibri" w:cs="Calibri"/>
          <w:i/>
          <w:color w:val="FF0000"/>
          <w:sz w:val="24"/>
        </w:rPr>
      </w:pPr>
    </w:p>
    <w:p w:rsidR="00295D8F" w:rsidRDefault="00295D8F" w:rsidP="001C3DDA">
      <w:pPr>
        <w:rPr>
          <w:rFonts w:ascii="Calibri" w:hAnsi="Calibri" w:cs="Calibri"/>
          <w:i/>
          <w:color w:val="FF0000"/>
          <w:sz w:val="24"/>
        </w:rPr>
      </w:pPr>
    </w:p>
    <w:p w:rsidR="00295D8F" w:rsidRDefault="00295D8F" w:rsidP="001C3DDA">
      <w:pPr>
        <w:rPr>
          <w:rFonts w:ascii="Calibri" w:hAnsi="Calibri" w:cs="Calibri"/>
          <w:i/>
          <w:color w:val="FF0000"/>
          <w:sz w:val="24"/>
        </w:rPr>
      </w:pPr>
    </w:p>
    <w:p w:rsidR="00295D8F" w:rsidRDefault="00295D8F" w:rsidP="001C3DDA">
      <w:pPr>
        <w:rPr>
          <w:rFonts w:ascii="Calibri" w:hAnsi="Calibri" w:cs="Calibri"/>
          <w:i/>
          <w:color w:val="FF0000"/>
          <w:sz w:val="24"/>
        </w:rPr>
      </w:pPr>
      <w:bookmarkStart w:id="0" w:name="_GoBack"/>
      <w:bookmarkEnd w:id="0"/>
    </w:p>
    <w:p w:rsidR="0066099F" w:rsidRPr="001C3DDA" w:rsidRDefault="00447BDF" w:rsidP="001C3DDA">
      <w:pPr>
        <w:rPr>
          <w:rFonts w:ascii="Calibri" w:hAnsi="Calibri" w:cs="Calibri"/>
          <w:sz w:val="36"/>
          <w:szCs w:val="32"/>
        </w:rPr>
      </w:pPr>
      <w:r w:rsidRPr="001C3DDA">
        <w:rPr>
          <w:rFonts w:ascii="Calibri" w:hAnsi="Calibri" w:cs="Calibri"/>
          <w:i/>
          <w:color w:val="FF0000"/>
          <w:sz w:val="24"/>
        </w:rPr>
        <w:t>&lt; Name of organisation&gt;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207"/>
        <w:gridCol w:w="1904"/>
      </w:tblGrid>
      <w:tr w:rsidR="0066099F" w:rsidRPr="00447BDF" w:rsidTr="0044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b/>
                <w:sz w:val="24"/>
              </w:rPr>
            </w:pPr>
            <w:r w:rsidRPr="00447BDF">
              <w:rPr>
                <w:rFonts w:ascii="Calibri" w:hAnsi="Calibri" w:cs="Calibri"/>
                <w:b/>
                <w:sz w:val="24"/>
              </w:rPr>
              <w:t>Domain 1: Mission</w:t>
            </w:r>
          </w:p>
        </w:tc>
        <w:tc>
          <w:tcPr>
            <w:tcW w:w="1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b/>
                <w:sz w:val="24"/>
              </w:rPr>
            </w:pPr>
            <w:r w:rsidRPr="00447BDF">
              <w:rPr>
                <w:rFonts w:ascii="Calibri" w:hAnsi="Calibri" w:cs="Calibri"/>
                <w:b/>
                <w:sz w:val="24"/>
              </w:rPr>
              <w:t>Met?</w:t>
            </w:r>
          </w:p>
        </w:tc>
      </w:tr>
      <w:tr w:rsidR="0066099F" w:rsidRPr="00447BDF" w:rsidTr="00447BDF">
        <w:tc>
          <w:tcPr>
            <w:tcW w:w="411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6207" w:type="dxa"/>
          </w:tcPr>
          <w:p w:rsidR="0066099F" w:rsidRPr="00447BDF" w:rsidRDefault="00447BD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H</w:t>
            </w:r>
            <w:r w:rsidR="0066099F" w:rsidRPr="00447BDF">
              <w:rPr>
                <w:rFonts w:ascii="Calibri" w:hAnsi="Calibri" w:cs="Calibri"/>
                <w:sz w:val="24"/>
              </w:rPr>
              <w:t>as a clearly articulated and well-communicated mission to</w:t>
            </w:r>
            <w:r w:rsidRPr="00447BDF">
              <w:rPr>
                <w:rFonts w:ascii="Calibri" w:hAnsi="Calibri" w:cs="Calibri"/>
                <w:sz w:val="24"/>
              </w:rPr>
              <w:t xml:space="preserve"> </w:t>
            </w:r>
            <w:r w:rsidRPr="00447BDF">
              <w:rPr>
                <w:rFonts w:ascii="Calibri" w:hAnsi="Calibri" w:cs="Calibri"/>
                <w:i/>
                <w:color w:val="FF0000"/>
                <w:sz w:val="24"/>
              </w:rPr>
              <w:t>&lt;insert mission&gt;</w:t>
            </w:r>
          </w:p>
        </w:tc>
        <w:tc>
          <w:tcPr>
            <w:tcW w:w="1904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11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6207" w:type="dxa"/>
          </w:tcPr>
          <w:p w:rsidR="0066099F" w:rsidRPr="00447BDF" w:rsidRDefault="00447BD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 xml:space="preserve"> H</w:t>
            </w:r>
            <w:r w:rsidR="0066099F" w:rsidRPr="00447BDF">
              <w:rPr>
                <w:rFonts w:ascii="Calibri" w:hAnsi="Calibri" w:cs="Calibri"/>
                <w:sz w:val="24"/>
              </w:rPr>
              <w:t xml:space="preserve">as a strategic plan in place with </w:t>
            </w:r>
          </w:p>
          <w:p w:rsidR="0066099F" w:rsidRPr="00447BDF" w:rsidRDefault="0066099F" w:rsidP="00447BDF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</w:tabs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 xml:space="preserve">clearly articulated strategic goals </w:t>
            </w:r>
          </w:p>
          <w:p w:rsidR="0066099F" w:rsidRPr="00447BDF" w:rsidRDefault="0066099F" w:rsidP="00447BDF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</w:tabs>
              <w:spacing w:after="60" w:line="240" w:lineRule="auto"/>
              <w:rPr>
                <w:rFonts w:ascii="Calibri" w:hAnsi="Calibri" w:cs="Calibri"/>
                <w:sz w:val="24"/>
              </w:rPr>
            </w:pPr>
            <w:proofErr w:type="gramStart"/>
            <w:r w:rsidRPr="00447BDF">
              <w:rPr>
                <w:rFonts w:ascii="Calibri" w:hAnsi="Calibri" w:cs="Calibri"/>
                <w:sz w:val="24"/>
              </w:rPr>
              <w:t>clearly</w:t>
            </w:r>
            <w:proofErr w:type="gramEnd"/>
            <w:r w:rsidRPr="00447BDF">
              <w:rPr>
                <w:rFonts w:ascii="Calibri" w:hAnsi="Calibri" w:cs="Calibri"/>
                <w:sz w:val="24"/>
              </w:rPr>
              <w:t xml:space="preserve"> articulated pathways to goals.</w:t>
            </w:r>
          </w:p>
        </w:tc>
        <w:tc>
          <w:tcPr>
            <w:tcW w:w="1904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66099F" w:rsidRDefault="0066099F" w:rsidP="0066099F">
      <w:pPr>
        <w:spacing w:line="24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237"/>
        <w:gridCol w:w="1842"/>
      </w:tblGrid>
      <w:tr w:rsidR="0066099F" w:rsidRPr="00447BDF" w:rsidTr="0044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2D050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b/>
                <w:sz w:val="24"/>
              </w:rPr>
              <w:t>Domain 2: Operational capacity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2D050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b/>
                <w:sz w:val="24"/>
              </w:rPr>
            </w:pPr>
            <w:r w:rsidRPr="00447BDF">
              <w:rPr>
                <w:rFonts w:ascii="Calibri" w:hAnsi="Calibri" w:cs="Calibri"/>
                <w:b/>
                <w:sz w:val="24"/>
              </w:rPr>
              <w:t>Met?</w:t>
            </w: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6237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An operational plan is in place with</w:t>
            </w:r>
          </w:p>
          <w:p w:rsidR="0066099F" w:rsidRPr="00447BDF" w:rsidRDefault="0066099F" w:rsidP="00447BDF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clearly defined inputs</w:t>
            </w:r>
          </w:p>
          <w:p w:rsidR="0066099F" w:rsidRPr="00447BDF" w:rsidRDefault="0066099F" w:rsidP="00447BDF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clearly defined outputs</w:t>
            </w:r>
          </w:p>
          <w:p w:rsidR="00B07CD4" w:rsidRPr="00447BDF" w:rsidRDefault="0066099F" w:rsidP="00447BDF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 xml:space="preserve">clearly defined and measureable outcomes </w:t>
            </w:r>
          </w:p>
          <w:p w:rsidR="0066099F" w:rsidRPr="00447BDF" w:rsidRDefault="00B07CD4" w:rsidP="00447BDF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an operational</w:t>
            </w:r>
            <w:r w:rsidR="0066099F" w:rsidRPr="00447BDF">
              <w:rPr>
                <w:rFonts w:ascii="Calibri" w:hAnsi="Calibri" w:cs="Calibri"/>
                <w:sz w:val="24"/>
              </w:rPr>
              <w:t xml:space="preserve"> reporting</w:t>
            </w:r>
            <w:r w:rsidRPr="00447BDF">
              <w:rPr>
                <w:rFonts w:ascii="Calibri" w:hAnsi="Calibri" w:cs="Calibri"/>
                <w:sz w:val="24"/>
              </w:rPr>
              <w:t xml:space="preserve"> process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4</w:t>
            </w:r>
          </w:p>
        </w:tc>
        <w:tc>
          <w:tcPr>
            <w:tcW w:w="6237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 xml:space="preserve">Quality of outputs is high 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5</w:t>
            </w:r>
          </w:p>
        </w:tc>
        <w:tc>
          <w:tcPr>
            <w:tcW w:w="6237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Service utilisation growth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6</w:t>
            </w:r>
          </w:p>
        </w:tc>
        <w:tc>
          <w:tcPr>
            <w:tcW w:w="6237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Demonstrable savings</w:t>
            </w:r>
            <w:r w:rsidR="00B07CD4" w:rsidRPr="00447BDF">
              <w:rPr>
                <w:rFonts w:ascii="Calibri" w:hAnsi="Calibri" w:cs="Calibri"/>
                <w:sz w:val="24"/>
              </w:rPr>
              <w:t xml:space="preserve"> or cost avoidance for</w:t>
            </w:r>
            <w:r w:rsidRPr="00447BDF">
              <w:rPr>
                <w:rFonts w:ascii="Calibri" w:hAnsi="Calibri" w:cs="Calibri"/>
                <w:sz w:val="24"/>
              </w:rPr>
              <w:t xml:space="preserve"> clients 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7</w:t>
            </w:r>
          </w:p>
        </w:tc>
        <w:tc>
          <w:tcPr>
            <w:tcW w:w="6237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Staff turnover &lt; 0.10 total staffing pa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8</w:t>
            </w:r>
          </w:p>
        </w:tc>
        <w:tc>
          <w:tcPr>
            <w:tcW w:w="6237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Evidence of innovation and learning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66099F" w:rsidRDefault="0066099F" w:rsidP="0066099F">
      <w:pPr>
        <w:spacing w:line="24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237"/>
        <w:gridCol w:w="1842"/>
      </w:tblGrid>
      <w:tr w:rsidR="0066099F" w:rsidRPr="00447BDF" w:rsidTr="0044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b/>
                <w:sz w:val="24"/>
              </w:rPr>
              <w:t>Domain 3: Legitimacy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b/>
                <w:sz w:val="24"/>
              </w:rPr>
            </w:pPr>
            <w:r w:rsidRPr="00447BDF">
              <w:rPr>
                <w:rFonts w:ascii="Calibri" w:hAnsi="Calibri" w:cs="Calibri"/>
                <w:b/>
                <w:sz w:val="24"/>
              </w:rPr>
              <w:t>Met?</w:t>
            </w: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9</w:t>
            </w:r>
          </w:p>
        </w:tc>
        <w:tc>
          <w:tcPr>
            <w:tcW w:w="6237" w:type="dxa"/>
          </w:tcPr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 xml:space="preserve">Has governance structure that </w:t>
            </w:r>
            <w:r w:rsidR="00B07CD4" w:rsidRPr="00447BDF">
              <w:rPr>
                <w:rFonts w:ascii="Calibri" w:hAnsi="Calibri" w:cs="Calibri"/>
                <w:sz w:val="24"/>
              </w:rPr>
              <w:t>allows</w:t>
            </w:r>
            <w:r w:rsidRPr="00447BDF">
              <w:rPr>
                <w:rFonts w:ascii="Calibri" w:hAnsi="Calibri" w:cs="Calibri"/>
                <w:sz w:val="24"/>
              </w:rPr>
              <w:t xml:space="preserve"> partners / co-producers </w:t>
            </w:r>
            <w:r w:rsidR="00B07CD4" w:rsidRPr="00447BDF">
              <w:rPr>
                <w:rFonts w:ascii="Calibri" w:hAnsi="Calibri" w:cs="Calibri"/>
                <w:sz w:val="24"/>
              </w:rPr>
              <w:t>to be</w:t>
            </w:r>
            <w:r w:rsidRPr="00447BDF">
              <w:rPr>
                <w:rFonts w:ascii="Calibri" w:hAnsi="Calibri" w:cs="Calibri"/>
                <w:sz w:val="24"/>
              </w:rPr>
              <w:t xml:space="preserve"> key influencers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6237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 xml:space="preserve">&gt;80% of surveyed partners report high satisfaction </w:t>
            </w:r>
            <w:r w:rsidR="00B07CD4" w:rsidRPr="00447BDF">
              <w:rPr>
                <w:rFonts w:ascii="Calibri" w:hAnsi="Calibri" w:cs="Calibri"/>
                <w:sz w:val="24"/>
              </w:rPr>
              <w:t>with service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1</w:t>
            </w:r>
            <w:r w:rsidR="003B75B9" w:rsidRPr="00447BDF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6237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 xml:space="preserve">&gt;75% </w:t>
            </w:r>
            <w:r w:rsidR="003B75B9" w:rsidRPr="00447BDF">
              <w:rPr>
                <w:rFonts w:ascii="Calibri" w:hAnsi="Calibri" w:cs="Calibri"/>
                <w:sz w:val="24"/>
              </w:rPr>
              <w:t>clients</w:t>
            </w:r>
            <w:r w:rsidRPr="00447BDF">
              <w:rPr>
                <w:rFonts w:ascii="Calibri" w:hAnsi="Calibri" w:cs="Calibri"/>
                <w:sz w:val="24"/>
              </w:rPr>
              <w:t xml:space="preserve"> surveyed report that </w:t>
            </w:r>
            <w:r w:rsidR="00B07CD4" w:rsidRPr="00447BDF">
              <w:rPr>
                <w:rFonts w:ascii="Calibri" w:hAnsi="Calibri" w:cs="Calibri"/>
                <w:sz w:val="24"/>
              </w:rPr>
              <w:t>the service</w:t>
            </w:r>
            <w:r w:rsidR="002F2509" w:rsidRPr="00447BDF">
              <w:rPr>
                <w:rFonts w:ascii="Calibri" w:hAnsi="Calibri" w:cs="Calibri"/>
                <w:sz w:val="24"/>
              </w:rPr>
              <w:t xml:space="preserve"> </w:t>
            </w:r>
            <w:r w:rsidRPr="00447BDF">
              <w:rPr>
                <w:rFonts w:ascii="Calibri" w:hAnsi="Calibri" w:cs="Calibri"/>
                <w:sz w:val="24"/>
              </w:rPr>
              <w:t>has a good reputation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12</w:t>
            </w:r>
          </w:p>
        </w:tc>
        <w:tc>
          <w:tcPr>
            <w:tcW w:w="6237" w:type="dxa"/>
          </w:tcPr>
          <w:p w:rsidR="003B75B9" w:rsidRPr="00447BDF" w:rsidRDefault="00B07CD4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 xml:space="preserve">Service </w:t>
            </w:r>
            <w:r w:rsidR="0066099F" w:rsidRPr="00447BDF">
              <w:rPr>
                <w:rFonts w:ascii="Calibri" w:hAnsi="Calibri" w:cs="Calibri"/>
                <w:sz w:val="24"/>
              </w:rPr>
              <w:t>has a communication strategy which facilitates</w:t>
            </w:r>
            <w:r w:rsidR="003B75B9" w:rsidRPr="00447BDF">
              <w:rPr>
                <w:rFonts w:ascii="Calibri" w:hAnsi="Calibri" w:cs="Calibri"/>
                <w:sz w:val="24"/>
              </w:rPr>
              <w:t xml:space="preserve"> critical</w:t>
            </w:r>
            <w:r w:rsidR="0066099F" w:rsidRPr="00447BDF">
              <w:rPr>
                <w:rFonts w:ascii="Calibri" w:hAnsi="Calibri" w:cs="Calibri"/>
                <w:sz w:val="24"/>
              </w:rPr>
              <w:t xml:space="preserve"> feedback</w:t>
            </w:r>
            <w:r w:rsidRPr="00447BDF">
              <w:rPr>
                <w:rFonts w:ascii="Calibri" w:hAnsi="Calibri" w:cs="Calibri"/>
                <w:sz w:val="24"/>
              </w:rPr>
              <w:t xml:space="preserve"> from multiple stakeholder groups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66099F" w:rsidRPr="00447BDF" w:rsidTr="00447BDF">
        <w:tc>
          <w:tcPr>
            <w:tcW w:w="426" w:type="dxa"/>
          </w:tcPr>
          <w:p w:rsidR="0066099F" w:rsidRPr="00447BDF" w:rsidRDefault="003B75B9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>13</w:t>
            </w:r>
          </w:p>
        </w:tc>
        <w:tc>
          <w:tcPr>
            <w:tcW w:w="6237" w:type="dxa"/>
          </w:tcPr>
          <w:p w:rsidR="0066099F" w:rsidRPr="00447BDF" w:rsidRDefault="00B07CD4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  <w:r w:rsidRPr="00447BDF">
              <w:rPr>
                <w:rFonts w:ascii="Calibri" w:hAnsi="Calibri" w:cs="Calibri"/>
                <w:sz w:val="24"/>
              </w:rPr>
              <w:t xml:space="preserve">Service </w:t>
            </w:r>
            <w:r w:rsidR="0066099F" w:rsidRPr="00447BDF">
              <w:rPr>
                <w:rFonts w:ascii="Calibri" w:hAnsi="Calibri" w:cs="Calibri"/>
                <w:sz w:val="24"/>
              </w:rPr>
              <w:t xml:space="preserve">makes its annual review results and other feedback publicly available </w:t>
            </w:r>
          </w:p>
        </w:tc>
        <w:tc>
          <w:tcPr>
            <w:tcW w:w="1842" w:type="dxa"/>
          </w:tcPr>
          <w:p w:rsidR="0066099F" w:rsidRPr="00447BDF" w:rsidRDefault="0066099F" w:rsidP="00447BDF">
            <w:pPr>
              <w:spacing w:after="6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3B75B9" w:rsidRDefault="003B75B9" w:rsidP="0066099F"/>
    <w:sectPr w:rsidR="003B75B9" w:rsidSect="003B0D55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E9" w:rsidRDefault="00C746E9" w:rsidP="00447BDF">
      <w:pPr>
        <w:spacing w:after="0" w:line="240" w:lineRule="auto"/>
      </w:pPr>
      <w:r>
        <w:separator/>
      </w:r>
    </w:p>
  </w:endnote>
  <w:endnote w:type="continuationSeparator" w:id="0">
    <w:p w:rsidR="00C746E9" w:rsidRDefault="00C746E9" w:rsidP="0044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E9" w:rsidRDefault="00C746E9" w:rsidP="00447BDF">
      <w:pPr>
        <w:spacing w:after="0" w:line="240" w:lineRule="auto"/>
      </w:pPr>
      <w:r>
        <w:separator/>
      </w:r>
    </w:p>
  </w:footnote>
  <w:footnote w:type="continuationSeparator" w:id="0">
    <w:p w:rsidR="00C746E9" w:rsidRDefault="00C746E9" w:rsidP="0044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DF" w:rsidRDefault="00447BDF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A92AA13" wp14:editId="67939B1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750050" cy="530225"/>
              <wp:effectExtent l="0" t="0" r="1270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005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5" y="360"/>
                          <a:ext cx="3977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47BDF" w:rsidRPr="00447BDF" w:rsidRDefault="00447BDF">
                                <w:pPr>
                                  <w:pStyle w:val="Header"/>
                                  <w:rPr>
                                    <w:rFonts w:ascii="Cambria" w:hAnsi="Cambria"/>
                                    <w:color w:val="FFFFFF" w:themeColor="background1"/>
                                    <w:sz w:val="24"/>
                                    <w:szCs w:val="28"/>
                                  </w:rPr>
                                </w:pPr>
                                <w:r w:rsidRPr="00447BDF">
                                  <w:rPr>
                                    <w:rFonts w:ascii="Cambria" w:hAnsi="Cambria"/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>The Public Value Interest Group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4254" y="360"/>
                          <a:ext cx="7575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47BDF" w:rsidRDefault="00447BD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   Public Value Scorecard example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31.5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" o:allowincell="f">
              <v:rect id="Rectangle 197" o:spid="_x0000_s1027" style="position:absolute;left:375;top:360;width:397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s68YA&#10;AADcAAAADwAAAGRycy9kb3ducmV2LnhtbESPQWvCQBSE74X+h+UVvNVNA2qJbkRKCx60UC1Yb4/s&#10;MxvMvg3ZTYz++m5B6HGYmW+YxXKwteip9ZVjBS/jBARx4XTFpYLv/cfzKwgfkDXWjknBlTws88eH&#10;BWbaXfiL+l0oRYSwz1CBCaHJpPSFIYt+7Bri6J1cazFE2ZZSt3iJcFvLNEmm0mLFccFgQ2+GivOu&#10;swq2k8psjwd/WNU/m3e+7ambfXZKjZ6G1RxEoCH8h+/ttVaQpl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Js68YAAADcAAAADwAAAAAAAAAAAAAAAACYAgAAZHJz&#10;L2Rvd25yZXYueG1sUEsFBgAAAAAEAAQA9QAAAIsDAAAAAA==&#10;" fillcolor="#95b3d7 [1940]" stroked="f" strokecolor="white" strokeweight="1.5pt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z w:val="24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47BDF" w:rsidRPr="00447BDF" w:rsidRDefault="00447BDF">
                          <w:pPr>
                            <w:pStyle w:val="Header"/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447BDF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8"/>
                            </w:rPr>
                            <w:t>The Public Value Interest Group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4254;top:360;width:757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47BDF" w:rsidRDefault="00447BD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  Public Value Scorecard example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447BDF" w:rsidRDefault="00447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FF2"/>
    <w:multiLevelType w:val="hybridMultilevel"/>
    <w:tmpl w:val="2FA41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85E"/>
    <w:multiLevelType w:val="hybridMultilevel"/>
    <w:tmpl w:val="2ACC2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718C"/>
    <w:multiLevelType w:val="hybridMultilevel"/>
    <w:tmpl w:val="BAC81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A7597"/>
    <w:multiLevelType w:val="hybridMultilevel"/>
    <w:tmpl w:val="ED1E5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423F"/>
    <w:multiLevelType w:val="hybridMultilevel"/>
    <w:tmpl w:val="7EEA788C"/>
    <w:lvl w:ilvl="0" w:tplc="0C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>
    <w:nsid w:val="209D5BBC"/>
    <w:multiLevelType w:val="hybridMultilevel"/>
    <w:tmpl w:val="10981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E750A"/>
    <w:multiLevelType w:val="hybridMultilevel"/>
    <w:tmpl w:val="9176C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4111A"/>
    <w:multiLevelType w:val="hybridMultilevel"/>
    <w:tmpl w:val="7F707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86D3E"/>
    <w:multiLevelType w:val="hybridMultilevel"/>
    <w:tmpl w:val="5FEC7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5455"/>
    <w:multiLevelType w:val="hybridMultilevel"/>
    <w:tmpl w:val="F4DAF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1A54"/>
    <w:multiLevelType w:val="hybridMultilevel"/>
    <w:tmpl w:val="8416A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E7B99"/>
    <w:multiLevelType w:val="hybridMultilevel"/>
    <w:tmpl w:val="C5E6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55469"/>
    <w:multiLevelType w:val="hybridMultilevel"/>
    <w:tmpl w:val="F2984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612C0"/>
    <w:multiLevelType w:val="hybridMultilevel"/>
    <w:tmpl w:val="19B81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628B"/>
    <w:multiLevelType w:val="hybridMultilevel"/>
    <w:tmpl w:val="54C21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B6859"/>
    <w:multiLevelType w:val="hybridMultilevel"/>
    <w:tmpl w:val="F9C6E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C6026"/>
    <w:multiLevelType w:val="hybridMultilevel"/>
    <w:tmpl w:val="D86C4B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095B"/>
    <w:multiLevelType w:val="hybridMultilevel"/>
    <w:tmpl w:val="1488E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8A8"/>
    <w:multiLevelType w:val="hybridMultilevel"/>
    <w:tmpl w:val="1AB4C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46B0"/>
    <w:multiLevelType w:val="hybridMultilevel"/>
    <w:tmpl w:val="12849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2746D"/>
    <w:multiLevelType w:val="hybridMultilevel"/>
    <w:tmpl w:val="75385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63CCB"/>
    <w:multiLevelType w:val="hybridMultilevel"/>
    <w:tmpl w:val="5C24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443A5"/>
    <w:multiLevelType w:val="hybridMultilevel"/>
    <w:tmpl w:val="F8928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42D11"/>
    <w:multiLevelType w:val="hybridMultilevel"/>
    <w:tmpl w:val="5358BCC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AB6722"/>
    <w:multiLevelType w:val="hybridMultilevel"/>
    <w:tmpl w:val="B846F0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D64BB8"/>
    <w:multiLevelType w:val="hybridMultilevel"/>
    <w:tmpl w:val="4E4E9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666A7"/>
    <w:multiLevelType w:val="hybridMultilevel"/>
    <w:tmpl w:val="A50439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FD09D3"/>
    <w:multiLevelType w:val="hybridMultilevel"/>
    <w:tmpl w:val="1B56F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E1349"/>
    <w:multiLevelType w:val="hybridMultilevel"/>
    <w:tmpl w:val="F970C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8"/>
  </w:num>
  <w:num w:numId="5">
    <w:abstractNumId w:val="26"/>
  </w:num>
  <w:num w:numId="6">
    <w:abstractNumId w:val="20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17"/>
  </w:num>
  <w:num w:numId="16">
    <w:abstractNumId w:val="19"/>
  </w:num>
  <w:num w:numId="17">
    <w:abstractNumId w:val="10"/>
  </w:num>
  <w:num w:numId="18">
    <w:abstractNumId w:val="28"/>
  </w:num>
  <w:num w:numId="19">
    <w:abstractNumId w:val="2"/>
  </w:num>
  <w:num w:numId="20">
    <w:abstractNumId w:val="14"/>
  </w:num>
  <w:num w:numId="21">
    <w:abstractNumId w:val="13"/>
  </w:num>
  <w:num w:numId="22">
    <w:abstractNumId w:val="3"/>
  </w:num>
  <w:num w:numId="23">
    <w:abstractNumId w:val="23"/>
  </w:num>
  <w:num w:numId="24">
    <w:abstractNumId w:val="16"/>
  </w:num>
  <w:num w:numId="25">
    <w:abstractNumId w:val="21"/>
  </w:num>
  <w:num w:numId="26">
    <w:abstractNumId w:val="24"/>
  </w:num>
  <w:num w:numId="27">
    <w:abstractNumId w:val="2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9F"/>
    <w:rsid w:val="000450A0"/>
    <w:rsid w:val="001C3DDA"/>
    <w:rsid w:val="00275B14"/>
    <w:rsid w:val="0029447E"/>
    <w:rsid w:val="00295D8F"/>
    <w:rsid w:val="002F2509"/>
    <w:rsid w:val="00314778"/>
    <w:rsid w:val="00342834"/>
    <w:rsid w:val="00390D0F"/>
    <w:rsid w:val="003B0D55"/>
    <w:rsid w:val="003B75B9"/>
    <w:rsid w:val="00447BDF"/>
    <w:rsid w:val="0066099F"/>
    <w:rsid w:val="0072008B"/>
    <w:rsid w:val="00737E29"/>
    <w:rsid w:val="00903E34"/>
    <w:rsid w:val="00933C0B"/>
    <w:rsid w:val="00B07CD4"/>
    <w:rsid w:val="00B16263"/>
    <w:rsid w:val="00B45B72"/>
    <w:rsid w:val="00B97B4E"/>
    <w:rsid w:val="00BD7762"/>
    <w:rsid w:val="00C746E9"/>
    <w:rsid w:val="00E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9F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12D5C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lang w:val="en-US" w:eastAsia="ja-JP"/>
    </w:rPr>
  </w:style>
  <w:style w:type="paragraph" w:styleId="ListParagraph">
    <w:name w:val="List Paragraph"/>
    <w:basedOn w:val="Normal"/>
    <w:uiPriority w:val="34"/>
    <w:qFormat/>
    <w:rsid w:val="00E12D5C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E12D5C"/>
    <w:rPr>
      <w:i/>
      <w:iCs/>
      <w:color w:val="7F7F7F" w:themeColor="text1" w:themeTint="80"/>
    </w:rPr>
  </w:style>
  <w:style w:type="table" w:styleId="TableGrid">
    <w:name w:val="Table Grid"/>
    <w:basedOn w:val="TableNormal"/>
    <w:uiPriority w:val="59"/>
    <w:rsid w:val="0066099F"/>
    <w:pPr>
      <w:tabs>
        <w:tab w:val="left" w:pos="425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/>
    <w:tcPr>
      <w:vAlign w:val="center"/>
    </w:tcPr>
    <w:tblStylePr w:type="firstRow"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7BDF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DF"/>
    <w:rPr>
      <w:rFonts w:ascii="Gill Sans MT" w:eastAsia="Times New Roman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447BDF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DF"/>
    <w:rPr>
      <w:rFonts w:ascii="Gill Sans MT" w:eastAsia="Times New Roman" w:hAnsi="Gill Sans M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9F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12D5C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lang w:val="en-US" w:eastAsia="ja-JP"/>
    </w:rPr>
  </w:style>
  <w:style w:type="paragraph" w:styleId="ListParagraph">
    <w:name w:val="List Paragraph"/>
    <w:basedOn w:val="Normal"/>
    <w:uiPriority w:val="34"/>
    <w:qFormat/>
    <w:rsid w:val="00E12D5C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E12D5C"/>
    <w:rPr>
      <w:i/>
      <w:iCs/>
      <w:color w:val="7F7F7F" w:themeColor="text1" w:themeTint="80"/>
    </w:rPr>
  </w:style>
  <w:style w:type="table" w:styleId="TableGrid">
    <w:name w:val="Table Grid"/>
    <w:basedOn w:val="TableNormal"/>
    <w:uiPriority w:val="59"/>
    <w:rsid w:val="0066099F"/>
    <w:pPr>
      <w:tabs>
        <w:tab w:val="left" w:pos="425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/>
    <w:tcPr>
      <w:vAlign w:val="center"/>
    </w:tcPr>
    <w:tblStylePr w:type="firstRow"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7BDF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DF"/>
    <w:rPr>
      <w:rFonts w:ascii="Gill Sans MT" w:eastAsia="Times New Roman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447BDF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DF"/>
    <w:rPr>
      <w:rFonts w:ascii="Gill Sans MT" w:eastAsia="Times New Roman" w:hAnsi="Gill Sans M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Public Value Scorecard example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4D95DFB0.dotm</Template>
  <TotalTime>23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 Value Interest Group</dc:title>
  <dc:creator>kmatkins</dc:creator>
  <cp:lastModifiedBy>kmatkins</cp:lastModifiedBy>
  <cp:revision>11</cp:revision>
  <dcterms:created xsi:type="dcterms:W3CDTF">2015-05-31T05:37:00Z</dcterms:created>
  <dcterms:modified xsi:type="dcterms:W3CDTF">2015-06-29T06:20:00Z</dcterms:modified>
</cp:coreProperties>
</file>