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Default="00254A97" w:rsidP="00766EB4">
      <w:pPr>
        <w:pStyle w:val="Header"/>
        <w:rPr>
          <w:rFonts w:ascii="Calibri" w:hAnsi="Calibri" w:cs="Calibri"/>
          <w:sz w:val="24"/>
        </w:rPr>
      </w:pPr>
    </w:p>
    <w:p w:rsidR="00766EB4" w:rsidRPr="00254A97" w:rsidRDefault="00766EB4" w:rsidP="00766EB4">
      <w:pPr>
        <w:pStyle w:val="Header"/>
        <w:rPr>
          <w:rFonts w:ascii="Calibri" w:hAnsi="Calibri" w:cs="Calibri"/>
          <w:sz w:val="24"/>
        </w:rPr>
      </w:pPr>
      <w:r w:rsidRPr="00254A97">
        <w:rPr>
          <w:rFonts w:ascii="Calibri" w:hAnsi="Calibri" w:cs="Calibri"/>
          <w:noProof/>
          <w:sz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26BFE16" wp14:editId="03FF4DB7">
                <wp:simplePos x="0" y="0"/>
                <wp:positionH relativeFrom="page">
                  <wp:align>center</wp:align>
                </wp:positionH>
                <wp:positionV relativeFrom="topMargin">
                  <wp:align>center</wp:align>
                </wp:positionV>
                <wp:extent cx="6530340" cy="530225"/>
                <wp:effectExtent l="0" t="0" r="22860" b="22225"/>
                <wp:wrapNone/>
                <wp:docPr id="22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530225"/>
                          <a:chOff x="330" y="308"/>
                          <a:chExt cx="11586" cy="835"/>
                        </a:xfrm>
                      </wpg:grpSpPr>
                      <wps:wsp>
                        <wps:cNvPr id="22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76" y="360"/>
                            <a:ext cx="6829" cy="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mbria" w:hAnsi="Cambria"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Title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766EB4" w:rsidRPr="00766EB4" w:rsidRDefault="00766EB4" w:rsidP="00766EB4">
                                  <w:pPr>
                                    <w:pStyle w:val="Header"/>
                                    <w:rPr>
                                      <w:rFonts w:ascii="Cambria" w:hAnsi="Cambr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66EB4">
                                    <w:rPr>
                                      <w:rFonts w:ascii="Cambria" w:hAnsi="Cambr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The Public Value Interest Group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751" y="360"/>
                            <a:ext cx="6888" cy="72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theme="minorHAnsi"/>
                                  <w:b/>
                                  <w:caps/>
                                  <w:sz w:val="28"/>
                                  <w:szCs w:val="36"/>
                                </w:rPr>
                                <w:alias w:val="Year"/>
                                <w:id w:val="787099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766EB4" w:rsidRPr="0065250E" w:rsidRDefault="00D71CD2" w:rsidP="00766EB4">
                                  <w:pPr>
                                    <w:pStyle w:val="Header"/>
                                    <w:ind w:right="-58"/>
                                    <w:rPr>
                                      <w:rFonts w:cstheme="minorHAnsi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AA1F56">
                                    <w:rPr>
                                      <w:rFonts w:cstheme="minorHAnsi"/>
                                      <w:b/>
                                      <w:caps/>
                                      <w:sz w:val="28"/>
                                      <w:szCs w:val="36"/>
                                    </w:rPr>
                                    <w:t xml:space="preserve">      </w:t>
                                  </w:r>
                                  <w:r w:rsidR="00766EB4" w:rsidRPr="00AA1F56">
                                    <w:rPr>
                                      <w:rFonts w:cstheme="minorHAnsi"/>
                                      <w:b/>
                                      <w:caps/>
                                      <w:sz w:val="28"/>
                                      <w:szCs w:val="36"/>
                                    </w:rPr>
                                    <w:t>Scorecard Planning Matrix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0;margin-top:0;width:514.2pt;height:41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PpygMAAGwNAAAOAAAAZHJzL2Uyb0RvYy54bWzsV9tu3DYQfS+QfyD0LuuulQTLgbMXo4Db&#10;BEn7AVyJuiASqZBca92i/97haK92WrsxauQh+6AlNeRw5szlUJdvt31H7phUreC55V24FmG8EGXL&#10;69z6/beVnVhEacpL2gnOcuueKevt1ZufLschY75oRFcySUAJV9k45Faj9ZA5jioa1lN1IQbGQVgJ&#10;2VMNU1k7paQjaO87x3fd2BmFLAcpCqYUvF1MQusK9VcVK/T7qlJMky63wDaNT4nPtXk6V5c0qyUd&#10;mrbYmUG/wYqethwOPahaUE3JRraPVPVtIYUSlb4oRO+IqmoLhj6AN577wJsbKTYD+lJnYz0cYAJo&#10;H+D0zWqLX+8+SNKWueX7kUU47SFIeC7x0tjAMw51Bqtu5PBp+CAnH2F4K4rPCsTOQ7mZ19Nish5/&#10;ESUopBstEJ5tJXujAhwnW4zC/SEKbKtJAS/jKHCDEIJVgAzGxjAMU9FALM22IAApCAM32UuWu82e&#10;FyXxtDUJcJ9Ds+lUtHRnmXELEk4dMVUvw/RTQweGoVIGrQOmYMuE6UdIRcrrjgGuswlXXLkHVU2I&#10;Ei7mDaxj11KKsWG0BMM8sx7MP9lgJgri8STEwQxMMFjFu2Q/wJz46QTUzEfRASiaDVLpGyZ6Yga5&#10;JcF2DB+9u1Xa2HJcYqKpRNeWq7brcGJKl807Se4oFB0tCsa1h9u7TQ/5ML2PXfhN0YPXJrC4PNy/&#10;hiOwCRhNeODZIeAEWGKOM+5gof2Zen7ovvNTexUnMztchZGdztzEdr30XRq7YRouVn8ZO7wwa9qy&#10;ZPy25Wxf9F74vATYtZ+pXLHsyQgRSt3IRR/PzFSyXh+QWOEPQ/kAsr7V0AS7ts+txPi/w8VEf8lL&#10;zH1N224aO+f2IzYAwv4fYcFcMekx5bnerregxeTMWpT3kDVSQFihiKBzw6AR8g+LjNAFc0t92VDJ&#10;LNL9zCHzUi80lahxEkYmU4g8laxPJZQXoCq3Ci0tMk3memq2m0G2dQNnTZnAxTW0hKrFZDraBU6Y&#10;CdTlqxXo7GsFim3FWAKl/H8XaDiLvH+q0ATY03TBV6jQ4GuJ+b2VmR9Bf/iuywypFPv1Mat/VNuB&#10;DiGfH9NhalLvlart0dXB8Ie5dfzLxeFIds/kQy4MGWLf7jjSgz97Mm+x8e+J+IxF/iM9ZB3fEeNj&#10;inTTZbJMQjv046UduouFfb2ah3a88mbRIljM5wvvnCKNIy+nSLwXnF0SnkOMJ0w3XS7gTvAE070K&#10;vemXkxveReFKj6y9+/ww3wyncyTD40fS1d8AAAD//wMAUEsDBBQABgAIAAAAIQCiCdbS3QAAAAUB&#10;AAAPAAAAZHJzL2Rvd25yZXYueG1sTI/NasMwEITvhb6D2EJvjez8FONaDiEkPYVCk0LpbWNtbBNr&#10;ZSzFdt4+Si/tZWGYYebbbDmaRvTUudqygngSgSAurK65VPB12L4kIJxH1thYJgVXcrDMHx8yTLUd&#10;+JP6vS9FKGGXooLK+zaV0hUVGXQT2xIH72Q7gz7IrpS6wyGUm0ZOo+hVGqw5LFTY0rqi4ry/GAXv&#10;Aw6rWbzpd+fT+vpzWHx872JS6vlpXL2B8DT6vzDc8QM65IHpaC+snWgUhEf877170TSZgzgqSGYL&#10;kHkm/9PnNwAAAP//AwBQSwECLQAUAAYACAAAACEAtoM4kv4AAADhAQAAEwAAAAAAAAAAAAAAAAAA&#10;AAAAW0NvbnRlbnRfVHlwZXNdLnhtbFBLAQItABQABgAIAAAAIQA4/SH/1gAAAJQBAAALAAAAAAAA&#10;AAAAAAAAAC8BAABfcmVscy8ucmVsc1BLAQItABQABgAIAAAAIQCu1XPpygMAAGwNAAAOAAAAAAAA&#10;AAAAAAAAAC4CAABkcnMvZTJvRG9jLnhtbFBLAQItABQABgAIAAAAIQCiCdbS3QAAAAUBAAAPAAAA&#10;AAAAAAAAAAAAACQGAABkcnMvZG93bnJldi54bWxQSwUGAAAAAAQABADzAAAALgcAAAAA&#10;" o:allowincell="f">
                <v:rect id="Rectangle 197" o:spid="_x0000_s1027" style="position:absolute;left:376;top:360;width:682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s68YA&#10;AADcAAAADwAAAGRycy9kb3ducmV2LnhtbESPQWvCQBSE74X+h+UVvNVNA2qJbkRKCx60UC1Yb4/s&#10;MxvMvg3ZTYz++m5B6HGYmW+YxXKwteip9ZVjBS/jBARx4XTFpYLv/cfzKwgfkDXWjknBlTws88eH&#10;BWbaXfiL+l0oRYSwz1CBCaHJpPSFIYt+7Bri6J1cazFE2ZZSt3iJcFvLNEmm0mLFccFgQ2+GivOu&#10;swq2k8psjwd/WNU/m3e+7ambfXZKjZ6G1RxEoCH8h+/ttVaQpl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Js68YAAADcAAAADwAAAAAAAAAAAAAAAACYAgAAZHJz&#10;L2Rvd25yZXYueG1sUEsFBgAAAAAEAAQA9QAAAIsDAAAAAA==&#10;" fillcolor="#95b3d7 [1940]" stroked="f" strokecolor="white" strokeweight="1.5pt">
                  <v:textbox>
                    <w:txbxContent>
                      <w:sdt>
                        <w:sdtPr>
                          <w:rPr>
                            <w:rFonts w:ascii="Cambria" w:hAnsi="Cambria"/>
                            <w:color w:val="FFFFFF" w:themeColor="background1"/>
                            <w:sz w:val="24"/>
                            <w:szCs w:val="24"/>
                          </w:rPr>
                          <w:alias w:val="Title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766EB4" w:rsidRPr="00766EB4" w:rsidRDefault="00766EB4" w:rsidP="00766EB4">
                            <w:pPr>
                              <w:pStyle w:val="Header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6EB4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The Public Value Interest Group</w:t>
                            </w:r>
                          </w:p>
                        </w:sdtContent>
                      </w:sdt>
                    </w:txbxContent>
                  </v:textbox>
                </v:rect>
                <v:rect id="Rectangle 198" o:spid="_x0000_s1028" style="position:absolute;left:4751;top:360;width:688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  <v:textbox>
                    <w:txbxContent>
                      <w:sdt>
                        <w:sdtPr>
                          <w:rPr>
                            <w:rFonts w:cstheme="minorHAnsi"/>
                            <w:b/>
                            <w:caps/>
                            <w:sz w:val="28"/>
                            <w:szCs w:val="36"/>
                          </w:rPr>
                          <w:alias w:val="Year"/>
                          <w:id w:val="7870992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66EB4" w:rsidRPr="0065250E" w:rsidRDefault="00D71CD2" w:rsidP="00766EB4">
                            <w:pPr>
                              <w:pStyle w:val="Header"/>
                              <w:ind w:right="-58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A1F56"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36"/>
                              </w:rPr>
                              <w:t xml:space="preserve">      </w:t>
                            </w:r>
                            <w:r w:rsidR="00766EB4" w:rsidRPr="00AA1F56"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36"/>
                              </w:rPr>
                              <w:t>Scorecard Planning Matrix</w:t>
                            </w:r>
                          </w:p>
                        </w:sdtContent>
                      </w:sdt>
                    </w:txbxContent>
                  </v:textbox>
                </v:rect>
  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  <w10:wrap anchorx="page" anchory="margin"/>
              </v:group>
            </w:pict>
          </mc:Fallback>
        </mc:AlternateContent>
      </w:r>
      <w:r w:rsidR="005748DC">
        <w:rPr>
          <w:rFonts w:ascii="Calibri" w:hAnsi="Calibri" w:cs="Calibri"/>
          <w:noProof/>
          <w:sz w:val="24"/>
          <w:lang w:eastAsia="en-AU"/>
        </w:rPr>
        <w:t>This</w:t>
      </w:r>
      <w:r w:rsidR="00254A97" w:rsidRPr="00254A97">
        <w:rPr>
          <w:rFonts w:ascii="Calibri" w:hAnsi="Calibri" w:cs="Calibri"/>
          <w:sz w:val="24"/>
        </w:rPr>
        <w:t xml:space="preserve"> table </w:t>
      </w:r>
      <w:r w:rsidR="005748DC">
        <w:rPr>
          <w:rFonts w:ascii="Calibri" w:hAnsi="Calibri" w:cs="Calibri"/>
          <w:sz w:val="24"/>
        </w:rPr>
        <w:t>sets out the four main areas of consideration when</w:t>
      </w:r>
      <w:r w:rsidR="0068622E">
        <w:rPr>
          <w:rFonts w:ascii="Calibri" w:hAnsi="Calibri" w:cs="Calibri"/>
          <w:sz w:val="24"/>
        </w:rPr>
        <w:t xml:space="preserve"> develop</w:t>
      </w:r>
      <w:r w:rsidR="005748DC">
        <w:rPr>
          <w:rFonts w:ascii="Calibri" w:hAnsi="Calibri" w:cs="Calibri"/>
          <w:sz w:val="24"/>
        </w:rPr>
        <w:t>ing</w:t>
      </w:r>
      <w:r w:rsidR="0068622E">
        <w:rPr>
          <w:rFonts w:ascii="Calibri" w:hAnsi="Calibri" w:cs="Calibri"/>
          <w:sz w:val="24"/>
        </w:rPr>
        <w:t xml:space="preserve"> useful and appropriate </w:t>
      </w:r>
      <w:r w:rsidR="00254A97">
        <w:rPr>
          <w:rFonts w:ascii="Calibri" w:hAnsi="Calibri" w:cs="Calibri"/>
          <w:sz w:val="24"/>
        </w:rPr>
        <w:t>performance measures</w:t>
      </w:r>
      <w:r w:rsidR="005748DC">
        <w:rPr>
          <w:rFonts w:ascii="Calibri" w:hAnsi="Calibri" w:cs="Calibri"/>
          <w:sz w:val="24"/>
        </w:rPr>
        <w:t xml:space="preserve"> for a public value scorecard</w:t>
      </w:r>
      <w:r w:rsidR="00254A97">
        <w:rPr>
          <w:rFonts w:ascii="Calibri" w:hAnsi="Calibri" w:cs="Calibri"/>
          <w:sz w:val="24"/>
        </w:rPr>
        <w:t xml:space="preserve">. </w:t>
      </w:r>
    </w:p>
    <w:p w:rsidR="00766EB4" w:rsidRDefault="00766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3022"/>
        <w:gridCol w:w="2882"/>
        <w:gridCol w:w="2851"/>
        <w:gridCol w:w="2710"/>
      </w:tblGrid>
      <w:tr w:rsidR="00766EB4" w:rsidRPr="00766EB4" w:rsidTr="00766EB4">
        <w:tc>
          <w:tcPr>
            <w:tcW w:w="2709" w:type="dxa"/>
          </w:tcPr>
          <w:p w:rsidR="00766EB4" w:rsidRPr="00766EB4" w:rsidRDefault="00766EB4" w:rsidP="001033CA">
            <w:pPr>
              <w:rPr>
                <w:b/>
                <w:i/>
                <w:caps/>
                <w:color w:val="FF0000"/>
                <w:sz w:val="24"/>
              </w:rPr>
            </w:pPr>
          </w:p>
        </w:tc>
        <w:tc>
          <w:tcPr>
            <w:tcW w:w="3022" w:type="dxa"/>
          </w:tcPr>
          <w:p w:rsidR="00766EB4" w:rsidRPr="00766EB4" w:rsidRDefault="00766EB4" w:rsidP="001033CA">
            <w:pPr>
              <w:rPr>
                <w:caps/>
                <w:sz w:val="24"/>
              </w:rPr>
            </w:pPr>
            <w:r w:rsidRPr="00766EB4">
              <w:rPr>
                <w:b/>
                <w:caps/>
                <w:sz w:val="24"/>
              </w:rPr>
              <w:t>Technical</w:t>
            </w:r>
          </w:p>
        </w:tc>
        <w:tc>
          <w:tcPr>
            <w:tcW w:w="2882" w:type="dxa"/>
          </w:tcPr>
          <w:p w:rsidR="00766EB4" w:rsidRPr="00766EB4" w:rsidRDefault="00766EB4" w:rsidP="001033CA">
            <w:pPr>
              <w:rPr>
                <w:b/>
                <w:caps/>
                <w:sz w:val="24"/>
              </w:rPr>
            </w:pPr>
            <w:r w:rsidRPr="00766EB4">
              <w:rPr>
                <w:b/>
                <w:caps/>
                <w:sz w:val="24"/>
              </w:rPr>
              <w:t>Managerial</w:t>
            </w:r>
          </w:p>
        </w:tc>
        <w:tc>
          <w:tcPr>
            <w:tcW w:w="2851" w:type="dxa"/>
          </w:tcPr>
          <w:p w:rsidR="00766EB4" w:rsidRPr="00766EB4" w:rsidRDefault="00766EB4" w:rsidP="001033CA">
            <w:pPr>
              <w:rPr>
                <w:b/>
                <w:caps/>
                <w:sz w:val="24"/>
              </w:rPr>
            </w:pPr>
            <w:r w:rsidRPr="00766EB4">
              <w:rPr>
                <w:b/>
                <w:caps/>
                <w:sz w:val="24"/>
              </w:rPr>
              <w:t>Philosophical</w:t>
            </w:r>
          </w:p>
        </w:tc>
        <w:tc>
          <w:tcPr>
            <w:tcW w:w="2710" w:type="dxa"/>
          </w:tcPr>
          <w:p w:rsidR="00766EB4" w:rsidRPr="00766EB4" w:rsidRDefault="00766EB4" w:rsidP="001033CA">
            <w:pPr>
              <w:rPr>
                <w:b/>
                <w:caps/>
                <w:sz w:val="24"/>
              </w:rPr>
            </w:pPr>
            <w:r w:rsidRPr="00766EB4">
              <w:rPr>
                <w:b/>
                <w:caps/>
                <w:sz w:val="24"/>
              </w:rPr>
              <w:t>Political</w:t>
            </w:r>
          </w:p>
        </w:tc>
      </w:tr>
      <w:tr w:rsidR="00766EB4" w:rsidRPr="002D222D" w:rsidTr="00766EB4">
        <w:tc>
          <w:tcPr>
            <w:tcW w:w="2709" w:type="dxa"/>
          </w:tcPr>
          <w:p w:rsidR="00766EB4" w:rsidRPr="002D222D" w:rsidRDefault="00766EB4" w:rsidP="001033CA">
            <w:pPr>
              <w:rPr>
                <w:b/>
                <w:i/>
                <w:color w:val="FF0000"/>
                <w:sz w:val="20"/>
              </w:rPr>
            </w:pPr>
          </w:p>
          <w:p w:rsidR="00766EB4" w:rsidRPr="002D222D" w:rsidRDefault="00766EB4" w:rsidP="001033CA">
            <w:pPr>
              <w:rPr>
                <w:b/>
                <w:i/>
                <w:color w:val="FF0000"/>
                <w:sz w:val="20"/>
              </w:rPr>
            </w:pPr>
          </w:p>
          <w:p w:rsidR="00766EB4" w:rsidRPr="002D222D" w:rsidRDefault="00766EB4" w:rsidP="001033CA">
            <w:pPr>
              <w:rPr>
                <w:b/>
                <w:i/>
                <w:color w:val="FF0000"/>
                <w:sz w:val="20"/>
              </w:rPr>
            </w:pPr>
          </w:p>
          <w:p w:rsidR="00766EB4" w:rsidRPr="002D222D" w:rsidRDefault="00766EB4" w:rsidP="001033CA">
            <w:pPr>
              <w:rPr>
                <w:b/>
                <w:i/>
                <w:color w:val="FF0000"/>
                <w:sz w:val="20"/>
              </w:rPr>
            </w:pPr>
          </w:p>
          <w:p w:rsidR="00766EB4" w:rsidRPr="002D222D" w:rsidRDefault="00766EB4" w:rsidP="001033CA">
            <w:pPr>
              <w:rPr>
                <w:b/>
                <w:i/>
                <w:color w:val="FF0000"/>
                <w:sz w:val="20"/>
              </w:rPr>
            </w:pPr>
          </w:p>
          <w:p w:rsidR="00766EB4" w:rsidRPr="002D222D" w:rsidRDefault="00766EB4" w:rsidP="001033CA">
            <w:pPr>
              <w:rPr>
                <w:i/>
              </w:rPr>
            </w:pPr>
            <w:r w:rsidRPr="002D222D">
              <w:rPr>
                <w:i/>
                <w:color w:val="FF0000"/>
              </w:rPr>
              <w:t>List measures under each domain:</w:t>
            </w:r>
          </w:p>
        </w:tc>
        <w:tc>
          <w:tcPr>
            <w:tcW w:w="3022" w:type="dxa"/>
          </w:tcPr>
          <w:p w:rsidR="00766EB4" w:rsidRPr="002D222D" w:rsidRDefault="00766EB4" w:rsidP="00766EB4">
            <w:pPr>
              <w:rPr>
                <w:i/>
              </w:rPr>
            </w:pPr>
            <w:r w:rsidRPr="002D222D">
              <w:rPr>
                <w:i/>
                <w:color w:val="365F91" w:themeColor="accent1" w:themeShade="BF"/>
              </w:rPr>
              <w:t>What are the technical requirements for developing specific measurement instruments that can adequately capture the extent of value produced?</w:t>
            </w:r>
          </w:p>
        </w:tc>
        <w:tc>
          <w:tcPr>
            <w:tcW w:w="2882" w:type="dxa"/>
          </w:tcPr>
          <w:p w:rsidR="00766EB4" w:rsidRPr="002D222D" w:rsidRDefault="00766EB4" w:rsidP="001033CA">
            <w:pPr>
              <w:rPr>
                <w:i/>
              </w:rPr>
            </w:pPr>
            <w:r w:rsidRPr="002D222D">
              <w:rPr>
                <w:i/>
                <w:color w:val="365F91" w:themeColor="accent1" w:themeShade="BF"/>
              </w:rPr>
              <w:t>What actions of managers are required to build and use performance measurement instruments?</w:t>
            </w:r>
          </w:p>
        </w:tc>
        <w:tc>
          <w:tcPr>
            <w:tcW w:w="2851" w:type="dxa"/>
          </w:tcPr>
          <w:p w:rsidR="00766EB4" w:rsidRPr="002D222D" w:rsidRDefault="00766EB4" w:rsidP="001033CA">
            <w:pPr>
              <w:rPr>
                <w:i/>
                <w:color w:val="365F91" w:themeColor="accent1" w:themeShade="BF"/>
              </w:rPr>
            </w:pPr>
            <w:r w:rsidRPr="002D222D">
              <w:rPr>
                <w:i/>
                <w:color w:val="365F91" w:themeColor="accent1" w:themeShade="BF"/>
              </w:rPr>
              <w:t>What is the normative concept of what is valuable?</w:t>
            </w:r>
          </w:p>
          <w:p w:rsidR="00766EB4" w:rsidRPr="002D222D" w:rsidRDefault="00766EB4" w:rsidP="001033CA">
            <w:pPr>
              <w:rPr>
                <w:i/>
                <w:color w:val="365F91" w:themeColor="accent1" w:themeShade="BF"/>
              </w:rPr>
            </w:pPr>
            <w:r w:rsidRPr="002D222D">
              <w:rPr>
                <w:i/>
                <w:color w:val="365F91" w:themeColor="accent1" w:themeShade="BF"/>
              </w:rPr>
              <w:t>utilitarian = material condition of the public;</w:t>
            </w:r>
          </w:p>
          <w:p w:rsidR="00766EB4" w:rsidRPr="002D222D" w:rsidRDefault="00766EB4" w:rsidP="00766EB4">
            <w:pPr>
              <w:rPr>
                <w:i/>
              </w:rPr>
            </w:pPr>
            <w:proofErr w:type="gramStart"/>
            <w:r w:rsidRPr="002D222D">
              <w:rPr>
                <w:i/>
                <w:color w:val="365F91" w:themeColor="accent1" w:themeShade="BF"/>
              </w:rPr>
              <w:t>deontological</w:t>
            </w:r>
            <w:proofErr w:type="gramEnd"/>
            <w:r w:rsidRPr="002D222D">
              <w:rPr>
                <w:i/>
                <w:color w:val="365F91" w:themeColor="accent1" w:themeShade="BF"/>
              </w:rPr>
              <w:t xml:space="preserve"> = social duty, including fairness.</w:t>
            </w:r>
          </w:p>
        </w:tc>
        <w:tc>
          <w:tcPr>
            <w:tcW w:w="2710" w:type="dxa"/>
          </w:tcPr>
          <w:p w:rsidR="00766EB4" w:rsidRPr="002D222D" w:rsidRDefault="00766EB4" w:rsidP="001033CA">
            <w:pPr>
              <w:rPr>
                <w:i/>
              </w:rPr>
            </w:pPr>
            <w:r w:rsidRPr="002D222D">
              <w:rPr>
                <w:i/>
                <w:color w:val="365F91" w:themeColor="accent1" w:themeShade="BF"/>
              </w:rPr>
              <w:t>What must be done to ensure that the system is endorsed and embraced by those in positions of legitimation, including funders?</w:t>
            </w:r>
          </w:p>
        </w:tc>
      </w:tr>
      <w:tr w:rsidR="00766EB4" w:rsidTr="00766EB4">
        <w:tc>
          <w:tcPr>
            <w:tcW w:w="2709" w:type="dxa"/>
            <w:shd w:val="clear" w:color="auto" w:fill="FDE9D9" w:themeFill="accent6" w:themeFillTint="33"/>
          </w:tcPr>
          <w:p w:rsidR="00766EB4" w:rsidRPr="00766EB4" w:rsidRDefault="00766EB4" w:rsidP="001033CA">
            <w:pPr>
              <w:rPr>
                <w:b/>
                <w:caps/>
                <w:sz w:val="24"/>
              </w:rPr>
            </w:pPr>
            <w:r w:rsidRPr="00766EB4">
              <w:rPr>
                <w:b/>
                <w:caps/>
                <w:sz w:val="24"/>
              </w:rPr>
              <w:t>Mission</w:t>
            </w:r>
          </w:p>
        </w:tc>
        <w:tc>
          <w:tcPr>
            <w:tcW w:w="3022" w:type="dxa"/>
            <w:shd w:val="clear" w:color="auto" w:fill="FDE9D9" w:themeFill="accent6" w:themeFillTint="33"/>
          </w:tcPr>
          <w:p w:rsidR="00766EB4" w:rsidRDefault="00766EB4" w:rsidP="001033CA"/>
        </w:tc>
        <w:tc>
          <w:tcPr>
            <w:tcW w:w="2882" w:type="dxa"/>
            <w:shd w:val="clear" w:color="auto" w:fill="FDE9D9" w:themeFill="accent6" w:themeFillTint="33"/>
          </w:tcPr>
          <w:p w:rsidR="00766EB4" w:rsidRDefault="00766EB4" w:rsidP="001033CA"/>
        </w:tc>
        <w:tc>
          <w:tcPr>
            <w:tcW w:w="2851" w:type="dxa"/>
            <w:shd w:val="clear" w:color="auto" w:fill="FDE9D9" w:themeFill="accent6" w:themeFillTint="33"/>
          </w:tcPr>
          <w:p w:rsidR="00766EB4" w:rsidRDefault="00766EB4" w:rsidP="001033CA"/>
        </w:tc>
        <w:tc>
          <w:tcPr>
            <w:tcW w:w="2710" w:type="dxa"/>
            <w:shd w:val="clear" w:color="auto" w:fill="FDE9D9" w:themeFill="accent6" w:themeFillTint="33"/>
          </w:tcPr>
          <w:p w:rsidR="00766EB4" w:rsidRDefault="00766EB4" w:rsidP="001033CA"/>
        </w:tc>
      </w:tr>
      <w:tr w:rsidR="00766EB4" w:rsidTr="00766EB4">
        <w:tc>
          <w:tcPr>
            <w:tcW w:w="2709" w:type="dxa"/>
          </w:tcPr>
          <w:p w:rsidR="00766EB4" w:rsidRDefault="00766EB4" w:rsidP="001033CA"/>
        </w:tc>
        <w:tc>
          <w:tcPr>
            <w:tcW w:w="3022" w:type="dxa"/>
          </w:tcPr>
          <w:p w:rsidR="00766EB4" w:rsidRDefault="00766EB4" w:rsidP="001033CA">
            <w:bookmarkStart w:id="0" w:name="_GoBack"/>
            <w:bookmarkEnd w:id="0"/>
          </w:p>
        </w:tc>
        <w:tc>
          <w:tcPr>
            <w:tcW w:w="2882" w:type="dxa"/>
          </w:tcPr>
          <w:p w:rsidR="00766EB4" w:rsidRDefault="00766EB4" w:rsidP="001033CA"/>
        </w:tc>
        <w:tc>
          <w:tcPr>
            <w:tcW w:w="2851" w:type="dxa"/>
          </w:tcPr>
          <w:p w:rsidR="00766EB4" w:rsidRDefault="00766EB4" w:rsidP="001033CA"/>
        </w:tc>
        <w:tc>
          <w:tcPr>
            <w:tcW w:w="2710" w:type="dxa"/>
          </w:tcPr>
          <w:p w:rsidR="00766EB4" w:rsidRDefault="00766EB4" w:rsidP="001033CA"/>
        </w:tc>
      </w:tr>
      <w:tr w:rsidR="00766EB4" w:rsidTr="00766EB4">
        <w:tc>
          <w:tcPr>
            <w:tcW w:w="2709" w:type="dxa"/>
          </w:tcPr>
          <w:p w:rsidR="00766EB4" w:rsidRDefault="00766EB4" w:rsidP="001033CA"/>
        </w:tc>
        <w:tc>
          <w:tcPr>
            <w:tcW w:w="3022" w:type="dxa"/>
          </w:tcPr>
          <w:p w:rsidR="00766EB4" w:rsidRDefault="00766EB4" w:rsidP="001033CA"/>
        </w:tc>
        <w:tc>
          <w:tcPr>
            <w:tcW w:w="2882" w:type="dxa"/>
          </w:tcPr>
          <w:p w:rsidR="00766EB4" w:rsidRDefault="00766EB4" w:rsidP="001033CA"/>
        </w:tc>
        <w:tc>
          <w:tcPr>
            <w:tcW w:w="2851" w:type="dxa"/>
          </w:tcPr>
          <w:p w:rsidR="00766EB4" w:rsidRDefault="00766EB4" w:rsidP="001033CA"/>
        </w:tc>
        <w:tc>
          <w:tcPr>
            <w:tcW w:w="2710" w:type="dxa"/>
          </w:tcPr>
          <w:p w:rsidR="00766EB4" w:rsidRDefault="00766EB4" w:rsidP="001033CA"/>
        </w:tc>
      </w:tr>
      <w:tr w:rsidR="00766EB4" w:rsidTr="00766EB4">
        <w:tc>
          <w:tcPr>
            <w:tcW w:w="2709" w:type="dxa"/>
          </w:tcPr>
          <w:p w:rsidR="00766EB4" w:rsidRDefault="00766EB4" w:rsidP="001033CA"/>
        </w:tc>
        <w:tc>
          <w:tcPr>
            <w:tcW w:w="3022" w:type="dxa"/>
          </w:tcPr>
          <w:p w:rsidR="00766EB4" w:rsidRDefault="00766EB4" w:rsidP="001033CA"/>
        </w:tc>
        <w:tc>
          <w:tcPr>
            <w:tcW w:w="2882" w:type="dxa"/>
          </w:tcPr>
          <w:p w:rsidR="00766EB4" w:rsidRDefault="00766EB4" w:rsidP="001033CA"/>
        </w:tc>
        <w:tc>
          <w:tcPr>
            <w:tcW w:w="2851" w:type="dxa"/>
          </w:tcPr>
          <w:p w:rsidR="00766EB4" w:rsidRDefault="00766EB4" w:rsidP="001033CA"/>
        </w:tc>
        <w:tc>
          <w:tcPr>
            <w:tcW w:w="2710" w:type="dxa"/>
          </w:tcPr>
          <w:p w:rsidR="00766EB4" w:rsidRDefault="00766EB4" w:rsidP="001033CA"/>
        </w:tc>
      </w:tr>
      <w:tr w:rsidR="00766EB4" w:rsidTr="00766EB4">
        <w:tc>
          <w:tcPr>
            <w:tcW w:w="2709" w:type="dxa"/>
            <w:shd w:val="clear" w:color="auto" w:fill="DBE5F1" w:themeFill="accent1" w:themeFillTint="33"/>
          </w:tcPr>
          <w:p w:rsidR="00766EB4" w:rsidRPr="00766EB4" w:rsidRDefault="00766EB4" w:rsidP="001033CA">
            <w:pPr>
              <w:rPr>
                <w:b/>
                <w:caps/>
                <w:sz w:val="24"/>
              </w:rPr>
            </w:pPr>
            <w:r w:rsidRPr="00766EB4">
              <w:rPr>
                <w:b/>
                <w:caps/>
                <w:sz w:val="24"/>
              </w:rPr>
              <w:t>Operational capacity</w:t>
            </w:r>
          </w:p>
        </w:tc>
        <w:tc>
          <w:tcPr>
            <w:tcW w:w="3022" w:type="dxa"/>
            <w:shd w:val="clear" w:color="auto" w:fill="DBE5F1" w:themeFill="accent1" w:themeFillTint="33"/>
          </w:tcPr>
          <w:p w:rsidR="00766EB4" w:rsidRDefault="00766EB4" w:rsidP="001033CA"/>
        </w:tc>
        <w:tc>
          <w:tcPr>
            <w:tcW w:w="2882" w:type="dxa"/>
            <w:shd w:val="clear" w:color="auto" w:fill="DBE5F1" w:themeFill="accent1" w:themeFillTint="33"/>
          </w:tcPr>
          <w:p w:rsidR="00766EB4" w:rsidRDefault="00766EB4" w:rsidP="001033CA"/>
        </w:tc>
        <w:tc>
          <w:tcPr>
            <w:tcW w:w="2851" w:type="dxa"/>
            <w:shd w:val="clear" w:color="auto" w:fill="DBE5F1" w:themeFill="accent1" w:themeFillTint="33"/>
          </w:tcPr>
          <w:p w:rsidR="00766EB4" w:rsidRDefault="00766EB4" w:rsidP="001033CA"/>
        </w:tc>
        <w:tc>
          <w:tcPr>
            <w:tcW w:w="2710" w:type="dxa"/>
            <w:shd w:val="clear" w:color="auto" w:fill="DBE5F1" w:themeFill="accent1" w:themeFillTint="33"/>
          </w:tcPr>
          <w:p w:rsidR="00766EB4" w:rsidRDefault="00766EB4" w:rsidP="001033CA"/>
        </w:tc>
      </w:tr>
      <w:tr w:rsidR="00766EB4" w:rsidTr="00766EB4">
        <w:tc>
          <w:tcPr>
            <w:tcW w:w="2709" w:type="dxa"/>
          </w:tcPr>
          <w:p w:rsidR="00766EB4" w:rsidRDefault="00766EB4" w:rsidP="001033CA"/>
        </w:tc>
        <w:tc>
          <w:tcPr>
            <w:tcW w:w="3022" w:type="dxa"/>
          </w:tcPr>
          <w:p w:rsidR="00766EB4" w:rsidRDefault="00766EB4" w:rsidP="001033CA"/>
        </w:tc>
        <w:tc>
          <w:tcPr>
            <w:tcW w:w="2882" w:type="dxa"/>
          </w:tcPr>
          <w:p w:rsidR="00766EB4" w:rsidRDefault="00766EB4" w:rsidP="001033CA"/>
        </w:tc>
        <w:tc>
          <w:tcPr>
            <w:tcW w:w="2851" w:type="dxa"/>
          </w:tcPr>
          <w:p w:rsidR="00766EB4" w:rsidRDefault="00766EB4" w:rsidP="001033CA"/>
        </w:tc>
        <w:tc>
          <w:tcPr>
            <w:tcW w:w="2710" w:type="dxa"/>
          </w:tcPr>
          <w:p w:rsidR="00766EB4" w:rsidRDefault="00766EB4" w:rsidP="001033CA"/>
        </w:tc>
      </w:tr>
      <w:tr w:rsidR="00766EB4" w:rsidTr="00766EB4">
        <w:tc>
          <w:tcPr>
            <w:tcW w:w="2709" w:type="dxa"/>
          </w:tcPr>
          <w:p w:rsidR="00766EB4" w:rsidRDefault="00766EB4" w:rsidP="001033CA"/>
        </w:tc>
        <w:tc>
          <w:tcPr>
            <w:tcW w:w="3022" w:type="dxa"/>
          </w:tcPr>
          <w:p w:rsidR="00766EB4" w:rsidRDefault="00766EB4" w:rsidP="001033CA"/>
        </w:tc>
        <w:tc>
          <w:tcPr>
            <w:tcW w:w="2882" w:type="dxa"/>
          </w:tcPr>
          <w:p w:rsidR="00766EB4" w:rsidRDefault="00766EB4" w:rsidP="001033CA"/>
        </w:tc>
        <w:tc>
          <w:tcPr>
            <w:tcW w:w="2851" w:type="dxa"/>
          </w:tcPr>
          <w:p w:rsidR="00766EB4" w:rsidRDefault="00766EB4" w:rsidP="001033CA"/>
        </w:tc>
        <w:tc>
          <w:tcPr>
            <w:tcW w:w="2710" w:type="dxa"/>
          </w:tcPr>
          <w:p w:rsidR="00766EB4" w:rsidRDefault="00766EB4" w:rsidP="001033CA"/>
        </w:tc>
      </w:tr>
      <w:tr w:rsidR="00766EB4" w:rsidTr="00766EB4">
        <w:tc>
          <w:tcPr>
            <w:tcW w:w="2709" w:type="dxa"/>
          </w:tcPr>
          <w:p w:rsidR="00766EB4" w:rsidRDefault="00766EB4" w:rsidP="001033CA"/>
        </w:tc>
        <w:tc>
          <w:tcPr>
            <w:tcW w:w="3022" w:type="dxa"/>
          </w:tcPr>
          <w:p w:rsidR="00766EB4" w:rsidRDefault="00766EB4" w:rsidP="001033CA"/>
        </w:tc>
        <w:tc>
          <w:tcPr>
            <w:tcW w:w="2882" w:type="dxa"/>
          </w:tcPr>
          <w:p w:rsidR="00766EB4" w:rsidRDefault="00766EB4" w:rsidP="001033CA"/>
        </w:tc>
        <w:tc>
          <w:tcPr>
            <w:tcW w:w="2851" w:type="dxa"/>
          </w:tcPr>
          <w:p w:rsidR="00766EB4" w:rsidRDefault="00766EB4" w:rsidP="001033CA"/>
        </w:tc>
        <w:tc>
          <w:tcPr>
            <w:tcW w:w="2710" w:type="dxa"/>
          </w:tcPr>
          <w:p w:rsidR="00766EB4" w:rsidRDefault="00766EB4" w:rsidP="001033CA"/>
        </w:tc>
      </w:tr>
      <w:tr w:rsidR="00766EB4" w:rsidTr="00766EB4">
        <w:tc>
          <w:tcPr>
            <w:tcW w:w="2709" w:type="dxa"/>
            <w:shd w:val="clear" w:color="auto" w:fill="EAF1DD" w:themeFill="accent3" w:themeFillTint="33"/>
          </w:tcPr>
          <w:p w:rsidR="00766EB4" w:rsidRPr="00766EB4" w:rsidRDefault="00766EB4" w:rsidP="001033CA">
            <w:pPr>
              <w:rPr>
                <w:b/>
                <w:caps/>
                <w:sz w:val="24"/>
              </w:rPr>
            </w:pPr>
            <w:r w:rsidRPr="00766EB4">
              <w:rPr>
                <w:b/>
                <w:caps/>
                <w:sz w:val="24"/>
              </w:rPr>
              <w:t>Legitimacy</w:t>
            </w:r>
          </w:p>
        </w:tc>
        <w:tc>
          <w:tcPr>
            <w:tcW w:w="3022" w:type="dxa"/>
            <w:shd w:val="clear" w:color="auto" w:fill="EAF1DD" w:themeFill="accent3" w:themeFillTint="33"/>
          </w:tcPr>
          <w:p w:rsidR="00766EB4" w:rsidRDefault="00766EB4" w:rsidP="001033CA"/>
        </w:tc>
        <w:tc>
          <w:tcPr>
            <w:tcW w:w="2882" w:type="dxa"/>
            <w:shd w:val="clear" w:color="auto" w:fill="EAF1DD" w:themeFill="accent3" w:themeFillTint="33"/>
          </w:tcPr>
          <w:p w:rsidR="00766EB4" w:rsidRDefault="00766EB4" w:rsidP="001033CA"/>
        </w:tc>
        <w:tc>
          <w:tcPr>
            <w:tcW w:w="2851" w:type="dxa"/>
            <w:shd w:val="clear" w:color="auto" w:fill="EAF1DD" w:themeFill="accent3" w:themeFillTint="33"/>
          </w:tcPr>
          <w:p w:rsidR="00766EB4" w:rsidRDefault="00766EB4" w:rsidP="001033CA"/>
        </w:tc>
        <w:tc>
          <w:tcPr>
            <w:tcW w:w="2710" w:type="dxa"/>
            <w:shd w:val="clear" w:color="auto" w:fill="EAF1DD" w:themeFill="accent3" w:themeFillTint="33"/>
          </w:tcPr>
          <w:p w:rsidR="00766EB4" w:rsidRDefault="00766EB4" w:rsidP="001033CA"/>
        </w:tc>
      </w:tr>
      <w:tr w:rsidR="00766EB4" w:rsidTr="00766EB4">
        <w:tc>
          <w:tcPr>
            <w:tcW w:w="2709" w:type="dxa"/>
          </w:tcPr>
          <w:p w:rsidR="00766EB4" w:rsidRDefault="00766EB4" w:rsidP="001033CA"/>
        </w:tc>
        <w:tc>
          <w:tcPr>
            <w:tcW w:w="3022" w:type="dxa"/>
          </w:tcPr>
          <w:p w:rsidR="00766EB4" w:rsidRDefault="00766EB4" w:rsidP="001033CA"/>
        </w:tc>
        <w:tc>
          <w:tcPr>
            <w:tcW w:w="2882" w:type="dxa"/>
          </w:tcPr>
          <w:p w:rsidR="00766EB4" w:rsidRDefault="00766EB4" w:rsidP="001033CA"/>
        </w:tc>
        <w:tc>
          <w:tcPr>
            <w:tcW w:w="2851" w:type="dxa"/>
          </w:tcPr>
          <w:p w:rsidR="00766EB4" w:rsidRDefault="00766EB4" w:rsidP="001033CA"/>
        </w:tc>
        <w:tc>
          <w:tcPr>
            <w:tcW w:w="2710" w:type="dxa"/>
          </w:tcPr>
          <w:p w:rsidR="00766EB4" w:rsidRDefault="00766EB4" w:rsidP="001033CA"/>
        </w:tc>
      </w:tr>
      <w:tr w:rsidR="00766EB4" w:rsidTr="00766EB4">
        <w:tc>
          <w:tcPr>
            <w:tcW w:w="2709" w:type="dxa"/>
          </w:tcPr>
          <w:p w:rsidR="00766EB4" w:rsidRDefault="00766EB4" w:rsidP="001033CA"/>
        </w:tc>
        <w:tc>
          <w:tcPr>
            <w:tcW w:w="3022" w:type="dxa"/>
          </w:tcPr>
          <w:p w:rsidR="00766EB4" w:rsidRDefault="00766EB4" w:rsidP="001033CA"/>
        </w:tc>
        <w:tc>
          <w:tcPr>
            <w:tcW w:w="2882" w:type="dxa"/>
          </w:tcPr>
          <w:p w:rsidR="00766EB4" w:rsidRDefault="00766EB4" w:rsidP="001033CA"/>
        </w:tc>
        <w:tc>
          <w:tcPr>
            <w:tcW w:w="2851" w:type="dxa"/>
          </w:tcPr>
          <w:p w:rsidR="00766EB4" w:rsidRDefault="00766EB4" w:rsidP="001033CA"/>
        </w:tc>
        <w:tc>
          <w:tcPr>
            <w:tcW w:w="2710" w:type="dxa"/>
          </w:tcPr>
          <w:p w:rsidR="00766EB4" w:rsidRDefault="00766EB4" w:rsidP="001033CA"/>
        </w:tc>
      </w:tr>
      <w:tr w:rsidR="00766EB4" w:rsidTr="00766EB4">
        <w:tc>
          <w:tcPr>
            <w:tcW w:w="2709" w:type="dxa"/>
          </w:tcPr>
          <w:p w:rsidR="00766EB4" w:rsidRDefault="00766EB4" w:rsidP="001033CA"/>
        </w:tc>
        <w:tc>
          <w:tcPr>
            <w:tcW w:w="3022" w:type="dxa"/>
          </w:tcPr>
          <w:p w:rsidR="00766EB4" w:rsidRDefault="00766EB4" w:rsidP="001033CA"/>
        </w:tc>
        <w:tc>
          <w:tcPr>
            <w:tcW w:w="2882" w:type="dxa"/>
          </w:tcPr>
          <w:p w:rsidR="00766EB4" w:rsidRDefault="00766EB4" w:rsidP="001033CA"/>
        </w:tc>
        <w:tc>
          <w:tcPr>
            <w:tcW w:w="2851" w:type="dxa"/>
          </w:tcPr>
          <w:p w:rsidR="00766EB4" w:rsidRDefault="00766EB4" w:rsidP="001033CA"/>
        </w:tc>
        <w:tc>
          <w:tcPr>
            <w:tcW w:w="2710" w:type="dxa"/>
          </w:tcPr>
          <w:p w:rsidR="00766EB4" w:rsidRDefault="00766EB4" w:rsidP="001033CA"/>
        </w:tc>
      </w:tr>
    </w:tbl>
    <w:p w:rsidR="00766EB4" w:rsidRDefault="00766EB4"/>
    <w:sectPr w:rsidR="00766EB4" w:rsidSect="00766E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B4"/>
    <w:rsid w:val="00071757"/>
    <w:rsid w:val="00254A97"/>
    <w:rsid w:val="00275B14"/>
    <w:rsid w:val="002D222D"/>
    <w:rsid w:val="00314778"/>
    <w:rsid w:val="00342834"/>
    <w:rsid w:val="005748DC"/>
    <w:rsid w:val="0068622E"/>
    <w:rsid w:val="00737E29"/>
    <w:rsid w:val="00766EB4"/>
    <w:rsid w:val="00933C0B"/>
    <w:rsid w:val="00AA1F56"/>
    <w:rsid w:val="00B45B72"/>
    <w:rsid w:val="00D71CD2"/>
    <w:rsid w:val="00E1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12D5C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lang w:val="en-US" w:eastAsia="ja-JP"/>
    </w:rPr>
  </w:style>
  <w:style w:type="paragraph" w:styleId="ListParagraph">
    <w:name w:val="List Paragraph"/>
    <w:basedOn w:val="Normal"/>
    <w:uiPriority w:val="34"/>
    <w:qFormat/>
    <w:rsid w:val="00E12D5C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E12D5C"/>
    <w:rPr>
      <w:i/>
      <w:iCs/>
      <w:color w:val="7F7F7F" w:themeColor="text1" w:themeTint="80"/>
    </w:rPr>
  </w:style>
  <w:style w:type="table" w:styleId="TableGrid">
    <w:name w:val="Table Grid"/>
    <w:basedOn w:val="TableNormal"/>
    <w:uiPriority w:val="59"/>
    <w:rsid w:val="0076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EB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6EB4"/>
  </w:style>
  <w:style w:type="paragraph" w:styleId="BalloonText">
    <w:name w:val="Balloon Text"/>
    <w:basedOn w:val="Normal"/>
    <w:link w:val="BalloonTextChar"/>
    <w:uiPriority w:val="99"/>
    <w:semiHidden/>
    <w:unhideWhenUsed/>
    <w:rsid w:val="00766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12D5C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lang w:val="en-US" w:eastAsia="ja-JP"/>
    </w:rPr>
  </w:style>
  <w:style w:type="paragraph" w:styleId="ListParagraph">
    <w:name w:val="List Paragraph"/>
    <w:basedOn w:val="Normal"/>
    <w:uiPriority w:val="34"/>
    <w:qFormat/>
    <w:rsid w:val="00E12D5C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E12D5C"/>
    <w:rPr>
      <w:i/>
      <w:iCs/>
      <w:color w:val="7F7F7F" w:themeColor="text1" w:themeTint="80"/>
    </w:rPr>
  </w:style>
  <w:style w:type="table" w:styleId="TableGrid">
    <w:name w:val="Table Grid"/>
    <w:basedOn w:val="TableNormal"/>
    <w:uiPriority w:val="59"/>
    <w:rsid w:val="0076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EB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6EB4"/>
  </w:style>
  <w:style w:type="paragraph" w:styleId="BalloonText">
    <w:name w:val="Balloon Text"/>
    <w:basedOn w:val="Normal"/>
    <w:link w:val="BalloonTextChar"/>
    <w:uiPriority w:val="99"/>
    <w:semiHidden/>
    <w:unhideWhenUsed/>
    <w:rsid w:val="00766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Scorecard Planning Matrix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Public Value Interest Group</vt:lpstr>
    </vt:vector>
  </TitlesOfParts>
  <Company>DHHS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Public Value Interest Group</dc:title>
  <dc:creator>kmatkins</dc:creator>
  <cp:lastModifiedBy>Kim and Nigel</cp:lastModifiedBy>
  <cp:revision>6</cp:revision>
  <dcterms:created xsi:type="dcterms:W3CDTF">2015-06-22T04:42:00Z</dcterms:created>
  <dcterms:modified xsi:type="dcterms:W3CDTF">2015-06-29T09:42:00Z</dcterms:modified>
</cp:coreProperties>
</file>